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1BD74" w14:textId="5F338E44" w:rsidR="009E246E" w:rsidRPr="002322E3" w:rsidRDefault="009E246E" w:rsidP="009E246E">
      <w:pPr>
        <w:tabs>
          <w:tab w:val="left" w:pos="2160"/>
        </w:tabs>
        <w:ind w:left="2160" w:hanging="2160"/>
        <w:rPr>
          <w:color w:val="auto"/>
        </w:rPr>
      </w:pPr>
      <w:r w:rsidRPr="002322E3">
        <w:rPr>
          <w:b/>
          <w:color w:val="auto"/>
        </w:rPr>
        <w:t>NCI Protocol #:</w:t>
      </w:r>
      <w:r w:rsidRPr="002322E3">
        <w:rPr>
          <w:i/>
          <w:color w:val="auto"/>
        </w:rPr>
        <w:tab/>
      </w:r>
      <w:r w:rsidR="009C3138" w:rsidRPr="002322E3">
        <w:rPr>
          <w:iCs/>
          <w:color w:val="auto"/>
        </w:rPr>
        <w:t>10699</w:t>
      </w:r>
    </w:p>
    <w:p w14:paraId="78FDFD54" w14:textId="77777777" w:rsidR="009E246E" w:rsidRPr="002322E3" w:rsidRDefault="009E246E" w:rsidP="009E246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color w:val="auto"/>
        </w:rPr>
      </w:pPr>
    </w:p>
    <w:p w14:paraId="42EC78D3" w14:textId="6BFE923D" w:rsidR="009E246E" w:rsidRPr="002322E3" w:rsidRDefault="009E246E" w:rsidP="009E246E">
      <w:pPr>
        <w:suppressAutoHyphens/>
        <w:ind w:left="2160" w:hanging="2160"/>
        <w:rPr>
          <w:color w:val="auto"/>
        </w:rPr>
      </w:pPr>
      <w:r w:rsidRPr="002322E3">
        <w:rPr>
          <w:b/>
          <w:color w:val="auto"/>
        </w:rPr>
        <w:t>Local Protocol #:</w:t>
      </w:r>
      <w:r w:rsidRPr="002322E3">
        <w:rPr>
          <w:b/>
          <w:color w:val="auto"/>
        </w:rPr>
        <w:tab/>
      </w:r>
      <w:r w:rsidR="0091638B">
        <w:rPr>
          <w:iCs/>
          <w:color w:val="auto"/>
        </w:rPr>
        <w:t>PhI-151</w:t>
      </w:r>
    </w:p>
    <w:p w14:paraId="04E4137E" w14:textId="77777777" w:rsidR="00BE03A4" w:rsidRPr="002322E3" w:rsidRDefault="00BE03A4" w:rsidP="00BE03A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color w:val="auto"/>
        </w:rPr>
      </w:pPr>
    </w:p>
    <w:p w14:paraId="3CCC7E46" w14:textId="0619D11F" w:rsidR="00BE03A4" w:rsidRPr="002322E3" w:rsidRDefault="00BE03A4" w:rsidP="00BE03A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b/>
          <w:i/>
          <w:color w:val="auto"/>
        </w:rPr>
      </w:pPr>
      <w:r w:rsidRPr="002322E3">
        <w:rPr>
          <w:b/>
          <w:color w:val="auto"/>
        </w:rPr>
        <w:t>ClinicalTrials.gov Identifier:</w:t>
      </w:r>
      <w:r w:rsidRPr="002322E3">
        <w:rPr>
          <w:color w:val="auto"/>
        </w:rPr>
        <w:t xml:space="preserve">  </w:t>
      </w:r>
      <w:r w:rsidR="009C3138" w:rsidRPr="002322E3">
        <w:rPr>
          <w:iCs/>
          <w:color w:val="auto"/>
        </w:rPr>
        <w:t>TBD</w:t>
      </w:r>
    </w:p>
    <w:p w14:paraId="0C15116F" w14:textId="77777777" w:rsidR="009E246E" w:rsidRPr="002322E3" w:rsidRDefault="009E246E" w:rsidP="009E246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color w:val="auto"/>
        </w:rPr>
      </w:pPr>
    </w:p>
    <w:p w14:paraId="1F4A862D" w14:textId="6220D84B" w:rsidR="009E246E" w:rsidRPr="002322E3" w:rsidRDefault="009E246E" w:rsidP="009E246E">
      <w:pPr>
        <w:suppressAutoHyphens/>
        <w:jc w:val="center"/>
        <w:rPr>
          <w:color w:val="auto"/>
        </w:rPr>
      </w:pPr>
      <w:r w:rsidRPr="002322E3">
        <w:rPr>
          <w:b/>
          <w:color w:val="auto"/>
        </w:rPr>
        <w:t>TITLE:</w:t>
      </w:r>
      <w:r w:rsidRPr="002322E3">
        <w:rPr>
          <w:color w:val="auto"/>
        </w:rPr>
        <w:t xml:space="preserve">  A Phase </w:t>
      </w:r>
      <w:r w:rsidR="006C7FB1">
        <w:rPr>
          <w:color w:val="auto"/>
        </w:rPr>
        <w:t>I</w:t>
      </w:r>
      <w:r w:rsidRPr="002322E3">
        <w:rPr>
          <w:color w:val="auto"/>
        </w:rPr>
        <w:t xml:space="preserve"> </w:t>
      </w:r>
      <w:r w:rsidR="0019628B" w:rsidRPr="002322E3">
        <w:rPr>
          <w:color w:val="auto"/>
        </w:rPr>
        <w:t>Trial Combining Triapine with Radiation Therapy for Recurrent Glioblastoma</w:t>
      </w:r>
    </w:p>
    <w:p w14:paraId="28330ABB" w14:textId="77777777" w:rsidR="009E246E" w:rsidRPr="002322E3" w:rsidRDefault="009E246E" w:rsidP="009E246E">
      <w:pPr>
        <w:tabs>
          <w:tab w:val="center" w:pos="4680"/>
        </w:tabs>
        <w:suppressAutoHyphens/>
        <w:rPr>
          <w:color w:val="auto"/>
        </w:rPr>
      </w:pPr>
    </w:p>
    <w:p w14:paraId="492F6EAA" w14:textId="4AB1FDD5" w:rsidR="00B44837" w:rsidRPr="002322E3" w:rsidRDefault="003E3E56" w:rsidP="003E3E56">
      <w:pPr>
        <w:tabs>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240" w:hanging="3240"/>
        <w:rPr>
          <w:i/>
          <w:color w:val="auto"/>
        </w:rPr>
      </w:pPr>
      <w:r w:rsidRPr="002322E3">
        <w:rPr>
          <w:b/>
          <w:color w:val="auto"/>
        </w:rPr>
        <w:t>Corresponding Organization</w:t>
      </w:r>
      <w:r w:rsidR="009E246E" w:rsidRPr="002322E3">
        <w:rPr>
          <w:b/>
          <w:color w:val="auto"/>
        </w:rPr>
        <w:t>:</w:t>
      </w:r>
      <w:r w:rsidR="009E246E" w:rsidRPr="002322E3">
        <w:rPr>
          <w:color w:val="auto"/>
        </w:rPr>
        <w:tab/>
      </w:r>
      <w:r w:rsidR="009E6A3A" w:rsidRPr="002322E3">
        <w:rPr>
          <w:color w:val="auto"/>
        </w:rPr>
        <w:t>LAO-</w:t>
      </w:r>
      <w:r w:rsidR="009E38CC" w:rsidRPr="002322E3">
        <w:rPr>
          <w:color w:val="auto"/>
        </w:rPr>
        <w:t>CA043</w:t>
      </w:r>
      <w:r w:rsidR="009E6A3A" w:rsidRPr="002322E3">
        <w:rPr>
          <w:color w:val="auto"/>
        </w:rPr>
        <w:t xml:space="preserve"> / </w:t>
      </w:r>
      <w:r w:rsidR="009E38CC" w:rsidRPr="002322E3">
        <w:rPr>
          <w:color w:val="auto"/>
        </w:rPr>
        <w:t xml:space="preserve">City of Hope Comprehensive Cancer Center </w:t>
      </w:r>
      <w:r w:rsidR="00CC7C3A" w:rsidRPr="002322E3">
        <w:rPr>
          <w:color w:val="auto"/>
        </w:rPr>
        <w:t>LAO</w:t>
      </w:r>
    </w:p>
    <w:p w14:paraId="3338F0D1" w14:textId="77777777" w:rsidR="00655E03" w:rsidRPr="002322E3" w:rsidRDefault="00655E03" w:rsidP="00785447">
      <w:pPr>
        <w:tabs>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
          <w:color w:val="auto"/>
        </w:rPr>
      </w:pPr>
    </w:p>
    <w:p w14:paraId="0EDD6441" w14:textId="03F98289" w:rsidR="009E246E" w:rsidRPr="002322E3" w:rsidRDefault="009E246E" w:rsidP="003E3E56">
      <w:pPr>
        <w:tabs>
          <w:tab w:val="left" w:pos="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
          <w:color w:val="auto"/>
        </w:rPr>
      </w:pPr>
      <w:r w:rsidRPr="002322E3">
        <w:rPr>
          <w:b/>
          <w:color w:val="auto"/>
        </w:rPr>
        <w:t>Principal Investigator:</w:t>
      </w:r>
      <w:r w:rsidRPr="002322E3">
        <w:rPr>
          <w:i/>
          <w:color w:val="auto"/>
        </w:rPr>
        <w:tab/>
      </w:r>
      <w:r w:rsidR="00AB1413" w:rsidRPr="002322E3">
        <w:rPr>
          <w:iCs/>
          <w:color w:val="auto"/>
        </w:rPr>
        <w:t>Stephanie Yoon, M.D.</w:t>
      </w:r>
    </w:p>
    <w:p w14:paraId="5E5BDC2A" w14:textId="57C5AD38" w:rsidR="0067469D" w:rsidRPr="002322E3" w:rsidRDefault="00D230B6" w:rsidP="003E3E56">
      <w:pPr>
        <w:tabs>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240"/>
        <w:rPr>
          <w:i/>
          <w:color w:val="auto"/>
        </w:rPr>
      </w:pPr>
      <w:r w:rsidRPr="002322E3">
        <w:rPr>
          <w:iCs/>
          <w:color w:val="auto"/>
        </w:rPr>
        <w:t>City of Hope</w:t>
      </w:r>
      <w:r w:rsidR="002D0DDF" w:rsidRPr="002322E3">
        <w:rPr>
          <w:iCs/>
          <w:color w:val="auto"/>
        </w:rPr>
        <w:t xml:space="preserve"> Cancer Center</w:t>
      </w:r>
    </w:p>
    <w:p w14:paraId="051A2D33" w14:textId="7E2475EA" w:rsidR="009E246E" w:rsidRPr="002322E3" w:rsidRDefault="00D230B6" w:rsidP="003E3E56">
      <w:pPr>
        <w:tabs>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240"/>
        <w:rPr>
          <w:i/>
          <w:color w:val="auto"/>
        </w:rPr>
      </w:pPr>
      <w:r w:rsidRPr="002322E3">
        <w:rPr>
          <w:iCs/>
          <w:color w:val="auto"/>
        </w:rPr>
        <w:t>Department of Radiation Oncology</w:t>
      </w:r>
    </w:p>
    <w:p w14:paraId="5844AD41" w14:textId="66029A0E" w:rsidR="009E246E" w:rsidRPr="002322E3" w:rsidRDefault="00D230B6" w:rsidP="003E3E56">
      <w:pPr>
        <w:tabs>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240"/>
        <w:rPr>
          <w:iCs/>
          <w:color w:val="auto"/>
        </w:rPr>
      </w:pPr>
      <w:r w:rsidRPr="002322E3">
        <w:rPr>
          <w:iCs/>
          <w:color w:val="auto"/>
        </w:rPr>
        <w:t>1500 E Duarte Road</w:t>
      </w:r>
    </w:p>
    <w:p w14:paraId="5DB78B80" w14:textId="73F2317E" w:rsidR="00873C3D" w:rsidRPr="002322E3" w:rsidRDefault="00D230B6" w:rsidP="00873C3D">
      <w:pPr>
        <w:tabs>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240"/>
        <w:rPr>
          <w:i/>
          <w:color w:val="auto"/>
        </w:rPr>
      </w:pPr>
      <w:r w:rsidRPr="002322E3">
        <w:rPr>
          <w:iCs/>
          <w:color w:val="auto"/>
        </w:rPr>
        <w:t>Du</w:t>
      </w:r>
      <w:r w:rsidR="00E923EA" w:rsidRPr="002322E3">
        <w:rPr>
          <w:iCs/>
          <w:color w:val="auto"/>
        </w:rPr>
        <w:t>ar</w:t>
      </w:r>
      <w:r w:rsidRPr="002322E3">
        <w:rPr>
          <w:iCs/>
          <w:color w:val="auto"/>
        </w:rPr>
        <w:t>te</w:t>
      </w:r>
      <w:r w:rsidR="00A3705E" w:rsidRPr="002322E3">
        <w:rPr>
          <w:iCs/>
          <w:color w:val="auto"/>
        </w:rPr>
        <w:t>, CA, 91010, USA</w:t>
      </w:r>
    </w:p>
    <w:p w14:paraId="656F9520" w14:textId="0EE66BDD" w:rsidR="009E246E" w:rsidRPr="002322E3" w:rsidRDefault="00E923EA" w:rsidP="003E3E56">
      <w:pPr>
        <w:tabs>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240"/>
        <w:rPr>
          <w:i/>
          <w:color w:val="auto"/>
        </w:rPr>
      </w:pPr>
      <w:r w:rsidRPr="002322E3">
        <w:rPr>
          <w:iCs/>
          <w:color w:val="auto"/>
        </w:rPr>
        <w:t>Phone:  626-218-2276</w:t>
      </w:r>
    </w:p>
    <w:p w14:paraId="04B8CE7C" w14:textId="215D92CC" w:rsidR="009E246E" w:rsidRPr="002322E3" w:rsidRDefault="00E923EA" w:rsidP="003E3E56">
      <w:pPr>
        <w:tabs>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240"/>
        <w:rPr>
          <w:i/>
          <w:color w:val="auto"/>
        </w:rPr>
      </w:pPr>
      <w:r w:rsidRPr="002322E3">
        <w:rPr>
          <w:iCs/>
          <w:color w:val="auto"/>
        </w:rPr>
        <w:t>Fax:  626-218-5334</w:t>
      </w:r>
    </w:p>
    <w:p w14:paraId="40D62711" w14:textId="15C3051A" w:rsidR="009E246E" w:rsidRPr="002322E3" w:rsidRDefault="003B13CC" w:rsidP="003E3E56">
      <w:pPr>
        <w:tabs>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240"/>
        <w:rPr>
          <w:iCs/>
          <w:color w:val="auto"/>
        </w:rPr>
      </w:pPr>
      <w:hyperlink r:id="rId13" w:history="1">
        <w:r w:rsidR="00EC0840" w:rsidRPr="006B09AE">
          <w:rPr>
            <w:rStyle w:val="Hyperlink"/>
            <w:iCs/>
          </w:rPr>
          <w:t>styoon@coh.org</w:t>
        </w:r>
      </w:hyperlink>
      <w:r w:rsidR="00EC0840">
        <w:rPr>
          <w:iCs/>
          <w:color w:val="auto"/>
        </w:rPr>
        <w:t xml:space="preserve"> </w:t>
      </w:r>
    </w:p>
    <w:p w14:paraId="72A57D9B" w14:textId="77777777" w:rsidR="009E246E" w:rsidRPr="002322E3" w:rsidRDefault="009E246E" w:rsidP="009E246E">
      <w:pPr>
        <w:tabs>
          <w:tab w:val="left" w:pos="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b/>
          <w:color w:val="auto"/>
        </w:rPr>
      </w:pPr>
    </w:p>
    <w:p w14:paraId="1A63DC18" w14:textId="236D9EB1" w:rsidR="00E94E26" w:rsidRPr="002322E3" w:rsidRDefault="002A19D4" w:rsidP="00E94E26">
      <w:pPr>
        <w:tabs>
          <w:tab w:val="left" w:pos="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
          <w:color w:val="auto"/>
        </w:rPr>
      </w:pPr>
      <w:r w:rsidRPr="002322E3">
        <w:rPr>
          <w:b/>
          <w:color w:val="auto"/>
        </w:rPr>
        <w:t>Translational PI</w:t>
      </w:r>
      <w:r w:rsidR="00E94E26" w:rsidRPr="002322E3">
        <w:rPr>
          <w:b/>
          <w:color w:val="auto"/>
        </w:rPr>
        <w:t>:</w:t>
      </w:r>
      <w:r w:rsidR="00E94E26" w:rsidRPr="002322E3">
        <w:rPr>
          <w:i/>
          <w:color w:val="auto"/>
        </w:rPr>
        <w:tab/>
      </w:r>
      <w:r w:rsidR="00E94E26" w:rsidRPr="002322E3">
        <w:rPr>
          <w:iCs/>
          <w:color w:val="auto"/>
        </w:rPr>
        <w:t>Terence Williams, M.D., Ph.D.</w:t>
      </w:r>
    </w:p>
    <w:p w14:paraId="03FF33A1" w14:textId="77777777" w:rsidR="00E94E26" w:rsidRPr="002322E3" w:rsidRDefault="00E94E26" w:rsidP="00E94E26">
      <w:pPr>
        <w:tabs>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240"/>
        <w:rPr>
          <w:i/>
          <w:color w:val="auto"/>
        </w:rPr>
      </w:pPr>
      <w:r w:rsidRPr="002322E3">
        <w:rPr>
          <w:iCs/>
          <w:color w:val="auto"/>
        </w:rPr>
        <w:t>City of Hope Cancer Center</w:t>
      </w:r>
    </w:p>
    <w:p w14:paraId="706C4FB9" w14:textId="77777777" w:rsidR="00E94E26" w:rsidRPr="002322E3" w:rsidRDefault="00E94E26" w:rsidP="00E94E26">
      <w:pPr>
        <w:tabs>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240"/>
        <w:rPr>
          <w:i/>
          <w:color w:val="auto"/>
        </w:rPr>
      </w:pPr>
      <w:r w:rsidRPr="002322E3">
        <w:rPr>
          <w:iCs/>
          <w:color w:val="auto"/>
        </w:rPr>
        <w:t>Department of Radiation Oncology</w:t>
      </w:r>
    </w:p>
    <w:p w14:paraId="063B5ACE" w14:textId="77777777" w:rsidR="00E94E26" w:rsidRPr="002322E3" w:rsidRDefault="00E94E26" w:rsidP="00E94E26">
      <w:pPr>
        <w:tabs>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240"/>
        <w:rPr>
          <w:iCs/>
          <w:color w:val="auto"/>
        </w:rPr>
      </w:pPr>
      <w:r w:rsidRPr="002322E3">
        <w:rPr>
          <w:iCs/>
          <w:color w:val="auto"/>
        </w:rPr>
        <w:t>1500 E Duarte Road</w:t>
      </w:r>
    </w:p>
    <w:p w14:paraId="2E174836" w14:textId="77777777" w:rsidR="00E94E26" w:rsidRPr="002322E3" w:rsidRDefault="00E94E26" w:rsidP="00E94E26">
      <w:pPr>
        <w:tabs>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240"/>
        <w:rPr>
          <w:i/>
          <w:color w:val="auto"/>
        </w:rPr>
      </w:pPr>
      <w:r w:rsidRPr="002322E3">
        <w:rPr>
          <w:iCs/>
          <w:color w:val="auto"/>
        </w:rPr>
        <w:t>Duarte, CA, 91010, USA</w:t>
      </w:r>
    </w:p>
    <w:p w14:paraId="4E39FC02" w14:textId="77777777" w:rsidR="00E94E26" w:rsidRPr="002322E3" w:rsidRDefault="00E94E26" w:rsidP="00E94E26">
      <w:pPr>
        <w:tabs>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240"/>
        <w:rPr>
          <w:i/>
          <w:color w:val="auto"/>
        </w:rPr>
      </w:pPr>
      <w:r w:rsidRPr="002322E3">
        <w:rPr>
          <w:iCs/>
          <w:color w:val="auto"/>
        </w:rPr>
        <w:t>Phone:  626-218-2276</w:t>
      </w:r>
    </w:p>
    <w:p w14:paraId="2185C201" w14:textId="77777777" w:rsidR="00E94E26" w:rsidRPr="002322E3" w:rsidRDefault="00E94E26" w:rsidP="00E94E26">
      <w:pPr>
        <w:tabs>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240"/>
        <w:rPr>
          <w:i/>
          <w:color w:val="auto"/>
        </w:rPr>
      </w:pPr>
      <w:r w:rsidRPr="002322E3">
        <w:rPr>
          <w:iCs/>
          <w:color w:val="auto"/>
        </w:rPr>
        <w:t>Fax:  626-218-5334</w:t>
      </w:r>
    </w:p>
    <w:p w14:paraId="4D53940F" w14:textId="35887286" w:rsidR="00E94E26" w:rsidRPr="002322E3" w:rsidRDefault="00E94E26" w:rsidP="00E94E26">
      <w:pPr>
        <w:tabs>
          <w:tab w:val="left" w:pos="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b/>
          <w:color w:val="auto"/>
        </w:rPr>
      </w:pPr>
      <w:r w:rsidRPr="002322E3">
        <w:rPr>
          <w:iCs/>
          <w:color w:val="auto"/>
        </w:rPr>
        <w:tab/>
      </w:r>
      <w:hyperlink r:id="rId14" w:history="1">
        <w:r w:rsidR="00EC0840" w:rsidRPr="006B09AE">
          <w:rPr>
            <w:rStyle w:val="Hyperlink"/>
            <w:iCs/>
          </w:rPr>
          <w:t>terwilliams@coh.org</w:t>
        </w:r>
      </w:hyperlink>
      <w:r w:rsidR="00EC0840">
        <w:rPr>
          <w:iCs/>
          <w:color w:val="auto"/>
        </w:rPr>
        <w:t xml:space="preserve"> </w:t>
      </w:r>
    </w:p>
    <w:p w14:paraId="21A9F49C" w14:textId="77777777" w:rsidR="009E246E" w:rsidRDefault="009E246E" w:rsidP="009E246E">
      <w:pPr>
        <w:tabs>
          <w:tab w:val="left" w:pos="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pPr>
    </w:p>
    <w:p w14:paraId="5AA89960" w14:textId="77777777" w:rsidR="00A654F0" w:rsidRDefault="00A654F0" w:rsidP="009E246E">
      <w:pPr>
        <w:tabs>
          <w:tab w:val="left" w:pos="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pPr>
    </w:p>
    <w:p w14:paraId="1019D0CD" w14:textId="33D520B1" w:rsidR="009E246E" w:rsidRPr="00760768" w:rsidRDefault="009E246E" w:rsidP="00D431B7">
      <w:pPr>
        <w:tabs>
          <w:tab w:val="left" w:pos="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after="120"/>
        <w:rPr>
          <w:i/>
          <w:color w:val="auto"/>
          <w:szCs w:val="22"/>
          <w:lang w:val="de-DE"/>
        </w:rPr>
      </w:pPr>
      <w:r>
        <w:rPr>
          <w:b/>
          <w:color w:val="auto"/>
          <w:szCs w:val="22"/>
          <w:lang w:val="de-DE"/>
        </w:rPr>
        <w:t>Participating O</w:t>
      </w:r>
      <w:r w:rsidRPr="00760768">
        <w:rPr>
          <w:b/>
          <w:color w:val="auto"/>
          <w:szCs w:val="22"/>
          <w:lang w:val="de-DE"/>
        </w:rPr>
        <w:t>rganizations</w:t>
      </w:r>
    </w:p>
    <w:tbl>
      <w:tblPr>
        <w:tblStyle w:val="TableGrid"/>
        <w:tblW w:w="9360" w:type="dxa"/>
        <w:tblInd w:w="144" w:type="dxa"/>
        <w:tblLook w:val="04A0" w:firstRow="1" w:lastRow="0" w:firstColumn="1" w:lastColumn="0" w:noHBand="0" w:noVBand="1"/>
      </w:tblPr>
      <w:tblGrid>
        <w:gridCol w:w="9360"/>
      </w:tblGrid>
      <w:tr w:rsidR="009E246E" w:rsidRPr="00F81067" w14:paraId="51D246BD" w14:textId="77777777" w:rsidTr="0067469D">
        <w:tc>
          <w:tcPr>
            <w:tcW w:w="9360" w:type="dxa"/>
          </w:tcPr>
          <w:p w14:paraId="496C10EE" w14:textId="77777777" w:rsidR="009E246E" w:rsidRPr="00350C29" w:rsidRDefault="009E246E" w:rsidP="0067469D">
            <w:pPr>
              <w:tabs>
                <w:tab w:val="left" w:pos="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40" w:after="40"/>
            </w:pPr>
            <w:r w:rsidRPr="00350C29">
              <w:rPr>
                <w:b/>
              </w:rPr>
              <w:t>LAO-11030</w:t>
            </w:r>
            <w:r w:rsidRPr="00350C29">
              <w:t xml:space="preserve"> / University Health Network Princess Margaret Cancer Center LAO</w:t>
            </w:r>
          </w:p>
        </w:tc>
      </w:tr>
      <w:tr w:rsidR="009E246E" w:rsidRPr="00F25E6B" w14:paraId="4ADFB81F" w14:textId="77777777" w:rsidTr="0067469D">
        <w:tc>
          <w:tcPr>
            <w:tcW w:w="9360" w:type="dxa"/>
          </w:tcPr>
          <w:p w14:paraId="0AF0970E" w14:textId="77777777" w:rsidR="009E246E" w:rsidRPr="00350C29" w:rsidRDefault="009E246E" w:rsidP="0067469D">
            <w:pPr>
              <w:tabs>
                <w:tab w:val="left" w:pos="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40" w:after="40"/>
            </w:pPr>
            <w:r w:rsidRPr="00350C29">
              <w:rPr>
                <w:b/>
              </w:rPr>
              <w:t xml:space="preserve">LAO-CA043 </w:t>
            </w:r>
            <w:r w:rsidRPr="00350C29">
              <w:t>/ City of Hope Comprehensive Cancer Center LAO</w:t>
            </w:r>
          </w:p>
        </w:tc>
      </w:tr>
      <w:tr w:rsidR="003758DA" w:rsidRPr="00F25E6B" w14:paraId="455DD6C6" w14:textId="77777777" w:rsidTr="0067469D">
        <w:tc>
          <w:tcPr>
            <w:tcW w:w="9360" w:type="dxa"/>
          </w:tcPr>
          <w:p w14:paraId="03A75468" w14:textId="77777777" w:rsidR="003758DA" w:rsidRPr="00350C29" w:rsidRDefault="003758DA" w:rsidP="0067469D">
            <w:pPr>
              <w:tabs>
                <w:tab w:val="left" w:pos="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40" w:after="40"/>
              <w:rPr>
                <w:b/>
              </w:rPr>
            </w:pPr>
            <w:r w:rsidRPr="00350C29">
              <w:rPr>
                <w:b/>
              </w:rPr>
              <w:t>LAO-</w:t>
            </w:r>
            <w:r>
              <w:rPr>
                <w:b/>
              </w:rPr>
              <w:t>CT018</w:t>
            </w:r>
            <w:r w:rsidRPr="00350C29">
              <w:rPr>
                <w:b/>
              </w:rPr>
              <w:t xml:space="preserve"> </w:t>
            </w:r>
            <w:r w:rsidRPr="00350C29">
              <w:t xml:space="preserve">/ </w:t>
            </w:r>
            <w:r>
              <w:t>Yale University Cancer Center LAO</w:t>
            </w:r>
          </w:p>
        </w:tc>
      </w:tr>
      <w:tr w:rsidR="009E246E" w:rsidRPr="00F25E6B" w14:paraId="3030F7CF" w14:textId="77777777" w:rsidTr="0067469D">
        <w:tc>
          <w:tcPr>
            <w:tcW w:w="9360" w:type="dxa"/>
          </w:tcPr>
          <w:p w14:paraId="3C053E39" w14:textId="77777777" w:rsidR="009E246E" w:rsidRPr="00350C29" w:rsidRDefault="009E246E" w:rsidP="0067469D">
            <w:pPr>
              <w:tabs>
                <w:tab w:val="left" w:pos="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40" w:after="40"/>
            </w:pPr>
            <w:r w:rsidRPr="00350C29">
              <w:rPr>
                <w:b/>
              </w:rPr>
              <w:t xml:space="preserve">LAO-MA036 </w:t>
            </w:r>
            <w:r w:rsidRPr="00350C29">
              <w:t>/ Dana-Farber - Harvard Cancer Center LAO</w:t>
            </w:r>
          </w:p>
        </w:tc>
      </w:tr>
      <w:tr w:rsidR="009E246E" w:rsidRPr="00F25E6B" w14:paraId="42894771" w14:textId="77777777" w:rsidTr="0067469D">
        <w:tc>
          <w:tcPr>
            <w:tcW w:w="9360" w:type="dxa"/>
          </w:tcPr>
          <w:p w14:paraId="619F97A4" w14:textId="77777777" w:rsidR="009E246E" w:rsidRPr="00350C29" w:rsidRDefault="009E246E" w:rsidP="0067469D">
            <w:pPr>
              <w:tabs>
                <w:tab w:val="left" w:pos="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40" w:after="40"/>
            </w:pPr>
            <w:r w:rsidRPr="00350C29">
              <w:rPr>
                <w:b/>
              </w:rPr>
              <w:t xml:space="preserve">LAO-MD017 </w:t>
            </w:r>
            <w:r w:rsidRPr="00350C29">
              <w:t>/ JHU Sidney Kimmel Comprehensive Cancer Center LAO</w:t>
            </w:r>
          </w:p>
        </w:tc>
      </w:tr>
      <w:tr w:rsidR="009E246E" w:rsidRPr="00F25E6B" w14:paraId="0AE9D3AA" w14:textId="77777777" w:rsidTr="0067469D">
        <w:tc>
          <w:tcPr>
            <w:tcW w:w="9360" w:type="dxa"/>
          </w:tcPr>
          <w:p w14:paraId="26D3156E" w14:textId="77777777" w:rsidR="009E246E" w:rsidRDefault="009E246E" w:rsidP="0067469D">
            <w:pPr>
              <w:tabs>
                <w:tab w:val="left" w:pos="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40" w:after="40"/>
            </w:pPr>
            <w:r w:rsidRPr="00350C29">
              <w:rPr>
                <w:b/>
              </w:rPr>
              <w:t xml:space="preserve">LAO-OH007 </w:t>
            </w:r>
            <w:r w:rsidRPr="00350C29">
              <w:t>/ Ohio State University Comprehensive Cancer Center LAO</w:t>
            </w:r>
          </w:p>
        </w:tc>
      </w:tr>
      <w:tr w:rsidR="009E246E" w:rsidRPr="00F25E6B" w14:paraId="3FAFAE1C" w14:textId="77777777" w:rsidTr="0067469D">
        <w:tc>
          <w:tcPr>
            <w:tcW w:w="9360" w:type="dxa"/>
          </w:tcPr>
          <w:p w14:paraId="4769C4CC" w14:textId="293C8275" w:rsidR="009E246E" w:rsidRDefault="009E246E" w:rsidP="0067469D">
            <w:pPr>
              <w:tabs>
                <w:tab w:val="left" w:pos="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40" w:after="40"/>
            </w:pPr>
            <w:r w:rsidRPr="00350C29">
              <w:rPr>
                <w:b/>
              </w:rPr>
              <w:t xml:space="preserve">LAO-PA015 </w:t>
            </w:r>
            <w:r w:rsidRPr="00350C29">
              <w:t xml:space="preserve">/ </w:t>
            </w:r>
            <w:r w:rsidR="004C6C65" w:rsidRPr="004C6C65">
              <w:t>UPMC Hillman Cancer Center LAO</w:t>
            </w:r>
          </w:p>
        </w:tc>
      </w:tr>
      <w:tr w:rsidR="009E246E" w:rsidRPr="00F25E6B" w14:paraId="7F18B700" w14:textId="77777777" w:rsidTr="0067469D">
        <w:tc>
          <w:tcPr>
            <w:tcW w:w="9360" w:type="dxa"/>
          </w:tcPr>
          <w:p w14:paraId="51B74681" w14:textId="77777777" w:rsidR="009E246E" w:rsidRDefault="009E246E" w:rsidP="0067469D">
            <w:pPr>
              <w:tabs>
                <w:tab w:val="left" w:pos="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40" w:after="40"/>
            </w:pPr>
            <w:r w:rsidRPr="00350C29">
              <w:rPr>
                <w:b/>
              </w:rPr>
              <w:t xml:space="preserve">LAO-TX035 </w:t>
            </w:r>
            <w:r w:rsidRPr="00350C29">
              <w:t>/ University of Texas MD Anderson Cancer Center LAO</w:t>
            </w:r>
          </w:p>
        </w:tc>
      </w:tr>
      <w:tr w:rsidR="009E246E" w:rsidRPr="00F25E6B" w14:paraId="6CAFA9E6" w14:textId="77777777" w:rsidTr="0067469D">
        <w:tc>
          <w:tcPr>
            <w:tcW w:w="9360" w:type="dxa"/>
          </w:tcPr>
          <w:p w14:paraId="723169AB" w14:textId="77777777" w:rsidR="009E246E" w:rsidRDefault="009E246E" w:rsidP="00070175">
            <w:pPr>
              <w:tabs>
                <w:tab w:val="left" w:pos="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40" w:after="40"/>
            </w:pPr>
            <w:r w:rsidRPr="00350C29">
              <w:rPr>
                <w:b/>
              </w:rPr>
              <w:t>LAO-NCI</w:t>
            </w:r>
            <w:r w:rsidRPr="00350C29">
              <w:t xml:space="preserve"> / National Cancer Institute LAO</w:t>
            </w:r>
          </w:p>
        </w:tc>
      </w:tr>
    </w:tbl>
    <w:p w14:paraId="4734DF41" w14:textId="77777777" w:rsidR="009E246E" w:rsidRPr="007300F3" w:rsidRDefault="009E246E" w:rsidP="009E246E">
      <w:pPr>
        <w:tabs>
          <w:tab w:val="left" w:pos="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pPr>
    </w:p>
    <w:p w14:paraId="52659D4C" w14:textId="0932339B" w:rsidR="005E4FDA" w:rsidRPr="002322E3" w:rsidRDefault="00F817EF" w:rsidP="005E4FDA">
      <w:pPr>
        <w:widowControl/>
        <w:tabs>
          <w:tab w:val="left" w:pos="-1080"/>
          <w:tab w:val="left" w:pos="-720"/>
          <w:tab w:val="left" w:pos="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2920" w:hanging="2920"/>
        <w:rPr>
          <w:iCs/>
          <w:color w:val="auto"/>
        </w:rPr>
      </w:pPr>
      <w:r w:rsidRPr="002322E3">
        <w:rPr>
          <w:b/>
          <w:bCs/>
          <w:iCs/>
          <w:color w:val="auto"/>
        </w:rPr>
        <w:lastRenderedPageBreak/>
        <w:t>Statistician</w:t>
      </w:r>
      <w:r w:rsidR="005E4FDA" w:rsidRPr="002322E3">
        <w:rPr>
          <w:b/>
          <w:bCs/>
          <w:iCs/>
          <w:color w:val="auto"/>
        </w:rPr>
        <w:t>:</w:t>
      </w:r>
      <w:r w:rsidR="00447096">
        <w:rPr>
          <w:b/>
          <w:bCs/>
          <w:iCs/>
          <w:color w:val="auto"/>
        </w:rPr>
        <w:tab/>
      </w:r>
      <w:r w:rsidR="00447096">
        <w:rPr>
          <w:b/>
          <w:bCs/>
          <w:iCs/>
          <w:color w:val="auto"/>
        </w:rPr>
        <w:tab/>
      </w:r>
      <w:r w:rsidR="00447096">
        <w:rPr>
          <w:b/>
          <w:bCs/>
          <w:iCs/>
          <w:color w:val="auto"/>
        </w:rPr>
        <w:tab/>
      </w:r>
      <w:r w:rsidR="00CC3BB4" w:rsidRPr="009A0A1B">
        <w:rPr>
          <w:b/>
          <w:bCs/>
          <w:iCs/>
        </w:rPr>
        <w:t>Study Coordinator</w:t>
      </w:r>
      <w:r w:rsidR="00CC3BB4" w:rsidRPr="007300F3">
        <w:rPr>
          <w:b/>
        </w:rPr>
        <w:t>:</w:t>
      </w:r>
    </w:p>
    <w:p w14:paraId="1F5060E7" w14:textId="3E9A915F" w:rsidR="005E4FDA" w:rsidRPr="007300F3" w:rsidRDefault="005E4FDA" w:rsidP="005E4FDA">
      <w:pPr>
        <w:widowControl/>
        <w:tabs>
          <w:tab w:val="left" w:pos="-1080"/>
          <w:tab w:val="left" w:pos="-720"/>
          <w:tab w:val="left" w:pos="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i/>
        </w:rPr>
      </w:pPr>
      <w:r w:rsidRPr="007300F3">
        <w:rPr>
          <w:i/>
        </w:rPr>
        <w:tab/>
      </w:r>
    </w:p>
    <w:p w14:paraId="69A22DCC" w14:textId="0A2EE399" w:rsidR="005E4FDA" w:rsidRPr="00395026" w:rsidRDefault="00395026" w:rsidP="00CC3BB4">
      <w:pPr>
        <w:widowControl/>
        <w:tabs>
          <w:tab w:val="left" w:pos="-1080"/>
          <w:tab w:val="left" w:pos="-720"/>
          <w:tab w:val="left" w:pos="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iCs/>
        </w:rPr>
      </w:pPr>
      <w:r>
        <w:rPr>
          <w:iCs/>
        </w:rPr>
        <w:t>Joycelynn</w:t>
      </w:r>
      <w:r w:rsidR="009C6967">
        <w:rPr>
          <w:iCs/>
        </w:rPr>
        <w:t>e</w:t>
      </w:r>
      <w:r>
        <w:rPr>
          <w:iCs/>
        </w:rPr>
        <w:t xml:space="preserve"> Palmer, Ph.D.</w:t>
      </w:r>
      <w:r w:rsidR="00CC3BB4">
        <w:rPr>
          <w:iCs/>
        </w:rPr>
        <w:tab/>
      </w:r>
      <w:r w:rsidR="00CC3BB4">
        <w:rPr>
          <w:iCs/>
        </w:rPr>
        <w:tab/>
      </w:r>
      <w:r w:rsidR="00CC3BB4" w:rsidRPr="002059F8">
        <w:rPr>
          <w:iCs/>
        </w:rPr>
        <w:t>Stella Khoo, MBA</w:t>
      </w:r>
    </w:p>
    <w:p w14:paraId="0DC3C793" w14:textId="4BD56010" w:rsidR="005E4FDA" w:rsidRPr="00395026" w:rsidRDefault="00395026" w:rsidP="005E4FDA">
      <w:pPr>
        <w:widowControl/>
        <w:tabs>
          <w:tab w:val="left" w:pos="-1080"/>
          <w:tab w:val="left" w:pos="-720"/>
          <w:tab w:val="left" w:pos="0"/>
          <w:tab w:val="left" w:pos="36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iCs/>
        </w:rPr>
      </w:pPr>
      <w:r>
        <w:rPr>
          <w:iCs/>
        </w:rPr>
        <w:t>Division of Biostatistics</w:t>
      </w:r>
      <w:r w:rsidR="00CC3BB4">
        <w:rPr>
          <w:iCs/>
        </w:rPr>
        <w:tab/>
      </w:r>
      <w:r w:rsidR="00CC3BB4" w:rsidRPr="002059F8">
        <w:rPr>
          <w:iCs/>
        </w:rPr>
        <w:t>City of Hope</w:t>
      </w:r>
    </w:p>
    <w:p w14:paraId="2ACC0B6D" w14:textId="3FA16A98" w:rsidR="005E4FDA" w:rsidRPr="00395026" w:rsidRDefault="00395026" w:rsidP="005E4FDA">
      <w:pPr>
        <w:widowControl/>
        <w:tabs>
          <w:tab w:val="left" w:pos="-1080"/>
          <w:tab w:val="left" w:pos="-720"/>
          <w:tab w:val="left" w:pos="0"/>
          <w:tab w:val="left" w:pos="36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iCs/>
        </w:rPr>
      </w:pPr>
      <w:r>
        <w:rPr>
          <w:iCs/>
        </w:rPr>
        <w:t>1500 E Duarte R</w:t>
      </w:r>
      <w:r w:rsidR="00E148C0">
        <w:rPr>
          <w:iCs/>
        </w:rPr>
        <w:t>oa</w:t>
      </w:r>
      <w:r>
        <w:rPr>
          <w:iCs/>
        </w:rPr>
        <w:t>d</w:t>
      </w:r>
      <w:r w:rsidR="00CC3BB4">
        <w:rPr>
          <w:iCs/>
        </w:rPr>
        <w:tab/>
      </w:r>
      <w:r w:rsidR="00CC3BB4" w:rsidRPr="002059F8">
        <w:rPr>
          <w:iCs/>
        </w:rPr>
        <w:t>1500 E. Duarte Road</w:t>
      </w:r>
    </w:p>
    <w:p w14:paraId="70DF10D6" w14:textId="23CF62EC" w:rsidR="005E4FDA" w:rsidRPr="00E148C0" w:rsidRDefault="00E148C0" w:rsidP="005E4FDA">
      <w:pPr>
        <w:widowControl/>
        <w:tabs>
          <w:tab w:val="left" w:pos="-1080"/>
          <w:tab w:val="left" w:pos="-720"/>
          <w:tab w:val="left" w:pos="0"/>
          <w:tab w:val="left" w:pos="36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iCs/>
        </w:rPr>
      </w:pPr>
      <w:r>
        <w:rPr>
          <w:iCs/>
        </w:rPr>
        <w:t>Duarte, CA, USA, 91010</w:t>
      </w:r>
      <w:r w:rsidR="00CC3BB4">
        <w:rPr>
          <w:iCs/>
        </w:rPr>
        <w:tab/>
      </w:r>
      <w:r w:rsidR="00CC3BB4" w:rsidRPr="002059F8">
        <w:rPr>
          <w:iCs/>
        </w:rPr>
        <w:t>Duarte, CA, USA 91010</w:t>
      </w:r>
    </w:p>
    <w:p w14:paraId="3895E372" w14:textId="1831BE9B" w:rsidR="005E4FDA" w:rsidRPr="00E148C0" w:rsidRDefault="005D1D7B" w:rsidP="00CC3BB4">
      <w:pPr>
        <w:widowControl/>
        <w:tabs>
          <w:tab w:val="left" w:pos="-1080"/>
          <w:tab w:val="left" w:pos="-720"/>
          <w:tab w:val="left" w:pos="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iCs/>
        </w:rPr>
      </w:pPr>
      <w:r>
        <w:rPr>
          <w:iCs/>
        </w:rPr>
        <w:t>626-218-5266</w:t>
      </w:r>
      <w:r w:rsidR="00CC3BB4">
        <w:rPr>
          <w:iCs/>
        </w:rPr>
        <w:tab/>
      </w:r>
      <w:r w:rsidR="00CC3BB4">
        <w:rPr>
          <w:iCs/>
        </w:rPr>
        <w:tab/>
      </w:r>
      <w:r w:rsidR="00CC3BB4" w:rsidRPr="002059F8">
        <w:rPr>
          <w:iCs/>
        </w:rPr>
        <w:t>626</w:t>
      </w:r>
      <w:r w:rsidR="00CC3BB4">
        <w:rPr>
          <w:iCs/>
        </w:rPr>
        <w:t>-</w:t>
      </w:r>
      <w:r w:rsidR="00CC3BB4" w:rsidRPr="002059F8">
        <w:rPr>
          <w:iCs/>
        </w:rPr>
        <w:t>218-0094</w:t>
      </w:r>
    </w:p>
    <w:p w14:paraId="69435012" w14:textId="3E32CDFA" w:rsidR="005E4FDA" w:rsidRPr="00CC3BB4" w:rsidRDefault="003B13CC" w:rsidP="00CC3BB4">
      <w:pPr>
        <w:widowControl/>
        <w:tabs>
          <w:tab w:val="left" w:pos="-1080"/>
          <w:tab w:val="left" w:pos="-720"/>
          <w:tab w:val="left" w:pos="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i/>
        </w:rPr>
      </w:pPr>
      <w:hyperlink r:id="rId15" w:history="1">
        <w:r w:rsidR="00447096" w:rsidRPr="006A4111">
          <w:rPr>
            <w:rStyle w:val="Hyperlink"/>
            <w:iCs/>
          </w:rPr>
          <w:t>jmpalmer@coh.org</w:t>
        </w:r>
      </w:hyperlink>
      <w:r w:rsidR="00447096">
        <w:rPr>
          <w:iCs/>
        </w:rPr>
        <w:t xml:space="preserve"> </w:t>
      </w:r>
      <w:r w:rsidR="00CC3BB4">
        <w:rPr>
          <w:iCs/>
        </w:rPr>
        <w:tab/>
      </w:r>
      <w:r w:rsidR="00CC3BB4">
        <w:rPr>
          <w:iCs/>
        </w:rPr>
        <w:tab/>
      </w:r>
      <w:hyperlink r:id="rId16" w:history="1">
        <w:r w:rsidR="00CC3BB4" w:rsidRPr="006A4111">
          <w:rPr>
            <w:rStyle w:val="Hyperlink"/>
            <w:iCs/>
          </w:rPr>
          <w:t>ccc@coh.org</w:t>
        </w:r>
      </w:hyperlink>
    </w:p>
    <w:p w14:paraId="5663C391" w14:textId="77777777" w:rsidR="005E4FDA" w:rsidRDefault="005E4FDA" w:rsidP="009E246E">
      <w:pPr>
        <w:widowControl/>
        <w:tabs>
          <w:tab w:val="left" w:pos="-1080"/>
          <w:tab w:val="left" w:pos="-720"/>
          <w:tab w:val="left" w:pos="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2920" w:hanging="2920"/>
        <w:rPr>
          <w:b/>
        </w:rPr>
      </w:pPr>
    </w:p>
    <w:p w14:paraId="72C786D7" w14:textId="77777777" w:rsidR="009E246E" w:rsidRPr="002322E3" w:rsidRDefault="009E246E" w:rsidP="009E246E">
      <w:pPr>
        <w:tabs>
          <w:tab w:val="left" w:pos="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
          <w:color w:val="auto"/>
        </w:rPr>
      </w:pPr>
    </w:p>
    <w:p w14:paraId="6B8CDF30" w14:textId="1CCC3B04" w:rsidR="009E246E" w:rsidRPr="002322E3" w:rsidRDefault="009E246E" w:rsidP="009E246E">
      <w:pPr>
        <w:tabs>
          <w:tab w:val="left" w:pos="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
          <w:color w:val="auto"/>
        </w:rPr>
      </w:pPr>
      <w:r w:rsidRPr="002322E3">
        <w:rPr>
          <w:b/>
          <w:color w:val="auto"/>
        </w:rPr>
        <w:t xml:space="preserve">NCI-Supplied Agent:  </w:t>
      </w:r>
      <w:r w:rsidR="003B677D" w:rsidRPr="002322E3">
        <w:rPr>
          <w:bCs/>
          <w:color w:val="auto"/>
        </w:rPr>
        <w:t>Triapin</w:t>
      </w:r>
      <w:r w:rsidR="00374629" w:rsidRPr="002322E3">
        <w:rPr>
          <w:bCs/>
          <w:color w:val="auto"/>
        </w:rPr>
        <w:t>e (NSC 663249)</w:t>
      </w:r>
    </w:p>
    <w:p w14:paraId="70FC9C07" w14:textId="77777777" w:rsidR="009E246E" w:rsidRPr="002322E3" w:rsidRDefault="009E246E" w:rsidP="009E246E">
      <w:pPr>
        <w:tabs>
          <w:tab w:val="left" w:pos="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b/>
          <w:color w:val="auto"/>
        </w:rPr>
      </w:pPr>
    </w:p>
    <w:p w14:paraId="25FAAC3C" w14:textId="325EC6B8" w:rsidR="009E246E" w:rsidRPr="002322E3" w:rsidRDefault="009E246E" w:rsidP="009E246E">
      <w:pPr>
        <w:tabs>
          <w:tab w:val="left" w:pos="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
          <w:color w:val="auto"/>
        </w:rPr>
      </w:pPr>
      <w:r w:rsidRPr="002322E3">
        <w:rPr>
          <w:b/>
          <w:color w:val="auto"/>
        </w:rPr>
        <w:t xml:space="preserve">IND #:  </w:t>
      </w:r>
      <w:r w:rsidR="00196B9D" w:rsidRPr="002322E3">
        <w:rPr>
          <w:iCs/>
          <w:color w:val="auto"/>
        </w:rPr>
        <w:t>TBD</w:t>
      </w:r>
    </w:p>
    <w:p w14:paraId="1CAE3EA9" w14:textId="27A6D06D" w:rsidR="009E246E" w:rsidRPr="002322E3" w:rsidRDefault="009E246E" w:rsidP="009E246E">
      <w:pPr>
        <w:tabs>
          <w:tab w:val="left" w:pos="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
          <w:color w:val="auto"/>
        </w:rPr>
      </w:pPr>
      <w:r w:rsidRPr="002322E3">
        <w:rPr>
          <w:b/>
          <w:color w:val="auto"/>
        </w:rPr>
        <w:t>IND Sponsor:</w:t>
      </w:r>
      <w:r w:rsidRPr="002322E3">
        <w:rPr>
          <w:color w:val="auto"/>
        </w:rPr>
        <w:t xml:space="preserve">  </w:t>
      </w:r>
      <w:r w:rsidR="000C7391" w:rsidRPr="002322E3">
        <w:rPr>
          <w:iCs/>
          <w:color w:val="auto"/>
        </w:rPr>
        <w:t xml:space="preserve">NCI </w:t>
      </w:r>
      <w:r w:rsidRPr="002322E3">
        <w:rPr>
          <w:iCs/>
          <w:color w:val="auto"/>
        </w:rPr>
        <w:t xml:space="preserve">DCTD </w:t>
      </w:r>
    </w:p>
    <w:p w14:paraId="4E143F41" w14:textId="77777777" w:rsidR="009E246E" w:rsidRPr="002322E3" w:rsidRDefault="009E246E" w:rsidP="009E246E">
      <w:pPr>
        <w:tabs>
          <w:tab w:val="left" w:pos="0"/>
        </w:tabs>
        <w:suppressAutoHyphens/>
        <w:rPr>
          <w:b/>
          <w:color w:val="auto"/>
        </w:rPr>
      </w:pPr>
    </w:p>
    <w:p w14:paraId="36509FA1" w14:textId="6B9AE289" w:rsidR="00524D16" w:rsidRDefault="009E246E" w:rsidP="009E246E">
      <w:pPr>
        <w:tabs>
          <w:tab w:val="left" w:pos="0"/>
          <w:tab w:val="left" w:pos="3240"/>
          <w:tab w:val="left" w:pos="3600"/>
          <w:tab w:val="left" w:pos="396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color w:val="auto"/>
        </w:rPr>
      </w:pPr>
      <w:r w:rsidRPr="002322E3">
        <w:rPr>
          <w:b/>
          <w:bCs/>
          <w:color w:val="auto"/>
        </w:rPr>
        <w:t>Protocol Type / Version # / Version Date:</w:t>
      </w:r>
      <w:r w:rsidRPr="002322E3">
        <w:rPr>
          <w:color w:val="auto"/>
        </w:rPr>
        <w:tab/>
      </w:r>
      <w:r w:rsidR="00315AA9" w:rsidRPr="002322E3">
        <w:rPr>
          <w:color w:val="auto"/>
        </w:rPr>
        <w:t xml:space="preserve">Original / </w:t>
      </w:r>
      <w:r w:rsidR="00570D28">
        <w:rPr>
          <w:color w:val="auto"/>
        </w:rPr>
        <w:t xml:space="preserve">September </w:t>
      </w:r>
      <w:r w:rsidR="00541E70">
        <w:rPr>
          <w:color w:val="auto"/>
        </w:rPr>
        <w:t>20</w:t>
      </w:r>
      <w:r w:rsidR="00524D16">
        <w:rPr>
          <w:color w:val="auto"/>
        </w:rPr>
        <w:t>, 2024</w:t>
      </w:r>
    </w:p>
    <w:p w14:paraId="79CB8F21" w14:textId="1E4B86CD" w:rsidR="009E246E" w:rsidRPr="002322E3" w:rsidRDefault="00524D16" w:rsidP="009E246E">
      <w:pPr>
        <w:tabs>
          <w:tab w:val="left" w:pos="0"/>
          <w:tab w:val="left" w:pos="3240"/>
          <w:tab w:val="left" w:pos="3600"/>
          <w:tab w:val="left" w:pos="396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color w:val="auto"/>
        </w:rPr>
      </w:pPr>
      <w:r>
        <w:rPr>
          <w:color w:val="auto"/>
        </w:rPr>
        <w:tab/>
      </w:r>
      <w:r>
        <w:rPr>
          <w:color w:val="auto"/>
        </w:rPr>
        <w:tab/>
      </w:r>
      <w:r>
        <w:rPr>
          <w:color w:val="auto"/>
        </w:rPr>
        <w:tab/>
      </w:r>
      <w:r>
        <w:rPr>
          <w:color w:val="auto"/>
        </w:rPr>
        <w:tab/>
      </w:r>
    </w:p>
    <w:p w14:paraId="1AB97793" w14:textId="77777777" w:rsidR="009E246E" w:rsidRDefault="009E246E" w:rsidP="009E246E">
      <w:pPr>
        <w:widowControl/>
        <w:rPr>
          <w:i/>
        </w:rPr>
      </w:pPr>
      <w:r>
        <w:rPr>
          <w:i/>
        </w:rPr>
        <w:br w:type="page"/>
      </w:r>
    </w:p>
    <w:p w14:paraId="582CF906" w14:textId="77777777" w:rsidR="009E246E" w:rsidRDefault="009E246E" w:rsidP="00381BE0">
      <w:pPr>
        <w:outlineLvl w:val="0"/>
        <w:rPr>
          <w:b/>
          <w:bCs/>
        </w:rPr>
      </w:pPr>
      <w:bookmarkStart w:id="0" w:name="_Toc318812992"/>
      <w:bookmarkStart w:id="1" w:name="_Toc176419885"/>
      <w:r w:rsidRPr="00381BE0">
        <w:rPr>
          <w:b/>
          <w:bCs/>
        </w:rPr>
        <w:lastRenderedPageBreak/>
        <w:t>SCHEMA</w:t>
      </w:r>
      <w:bookmarkEnd w:id="0"/>
      <w:bookmarkEnd w:id="1"/>
    </w:p>
    <w:p w14:paraId="208A6759" w14:textId="0774E8F1" w:rsidR="002322E3" w:rsidRDefault="002322E3" w:rsidP="002322E3">
      <w:pPr>
        <w:widowControl/>
        <w:suppressAutoHyphens/>
      </w:pPr>
    </w:p>
    <w:p w14:paraId="2BAB6405" w14:textId="32354838" w:rsidR="000C06E8" w:rsidRDefault="009A58F2" w:rsidP="002322E3">
      <w:pPr>
        <w:widowControl/>
        <w:suppressAutoHyphens/>
      </w:pPr>
      <w:r>
        <w:rPr>
          <w:noProof/>
          <w:snapToGrid/>
        </w:rPr>
        <w:drawing>
          <wp:inline distT="0" distB="0" distL="0" distR="0" wp14:anchorId="41204E95" wp14:editId="011918C8">
            <wp:extent cx="5943600" cy="2501265"/>
            <wp:effectExtent l="0" t="0" r="0" b="0"/>
            <wp:docPr id="544807028" name="Picture 1" descr="A chart with a few different colored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807028" name="Picture 1" descr="A chart with a few different colored squares&#10;&#10;Description automatically generated with medium confidence"/>
                    <pic:cNvPicPr/>
                  </pic:nvPicPr>
                  <pic:blipFill>
                    <a:blip r:embed="rId17"/>
                    <a:stretch>
                      <a:fillRect/>
                    </a:stretch>
                  </pic:blipFill>
                  <pic:spPr>
                    <a:xfrm>
                      <a:off x="0" y="0"/>
                      <a:ext cx="5943600" cy="2501265"/>
                    </a:xfrm>
                    <a:prstGeom prst="rect">
                      <a:avLst/>
                    </a:prstGeom>
                  </pic:spPr>
                </pic:pic>
              </a:graphicData>
            </a:graphic>
          </wp:inline>
        </w:drawing>
      </w:r>
    </w:p>
    <w:p w14:paraId="65FA6BDE" w14:textId="77777777" w:rsidR="002322E3" w:rsidRPr="007300F3" w:rsidRDefault="002322E3" w:rsidP="003E7ECD">
      <w:pPr>
        <w:suppressAutoHyphens/>
      </w:pPr>
    </w:p>
    <w:tbl>
      <w:tblPr>
        <w:tblW w:w="9360" w:type="dxa"/>
        <w:tblInd w:w="144" w:type="dxa"/>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619"/>
        <w:gridCol w:w="2233"/>
        <w:gridCol w:w="4508"/>
      </w:tblGrid>
      <w:tr w:rsidR="003E7ECD" w:rsidRPr="000E48D1" w14:paraId="608A7898" w14:textId="77777777">
        <w:trPr>
          <w:trHeight w:val="465"/>
        </w:trPr>
        <w:tc>
          <w:tcPr>
            <w:tcW w:w="9360" w:type="dxa"/>
            <w:gridSpan w:val="3"/>
            <w:tcBorders>
              <w:top w:val="single" w:sz="8" w:space="0" w:color="000000"/>
              <w:bottom w:val="single" w:sz="4" w:space="0" w:color="auto"/>
            </w:tcBorders>
            <w:vAlign w:val="center"/>
          </w:tcPr>
          <w:p w14:paraId="7E42B79A" w14:textId="77777777" w:rsidR="003E7ECD" w:rsidRPr="00B72DF0" w:rsidRDefault="003E7ECD">
            <w:pPr>
              <w:jc w:val="center"/>
              <w:rPr>
                <w:b/>
                <w:sz w:val="20"/>
                <w:szCs w:val="20"/>
              </w:rPr>
            </w:pPr>
            <w:r w:rsidRPr="00B72DF0">
              <w:rPr>
                <w:b/>
                <w:sz w:val="20"/>
                <w:szCs w:val="20"/>
              </w:rPr>
              <w:t>Dose Escalation Schedule</w:t>
            </w:r>
          </w:p>
        </w:tc>
      </w:tr>
      <w:tr w:rsidR="003E7ECD" w:rsidRPr="000E48D1" w14:paraId="38DC3E17" w14:textId="77777777">
        <w:trPr>
          <w:trHeight w:val="360"/>
        </w:trPr>
        <w:tc>
          <w:tcPr>
            <w:tcW w:w="2619" w:type="dxa"/>
            <w:vMerge w:val="restart"/>
            <w:tcBorders>
              <w:top w:val="single" w:sz="4" w:space="0" w:color="auto"/>
              <w:bottom w:val="single" w:sz="4" w:space="0" w:color="auto"/>
            </w:tcBorders>
            <w:vAlign w:val="center"/>
          </w:tcPr>
          <w:p w14:paraId="3B413D8E" w14:textId="77777777" w:rsidR="003E7ECD" w:rsidRPr="00B72DF0" w:rsidRDefault="003E7ECD">
            <w:pPr>
              <w:jc w:val="center"/>
              <w:rPr>
                <w:b/>
                <w:sz w:val="20"/>
                <w:szCs w:val="20"/>
              </w:rPr>
            </w:pPr>
            <w:r w:rsidRPr="00B72DF0">
              <w:rPr>
                <w:b/>
                <w:sz w:val="20"/>
                <w:szCs w:val="20"/>
              </w:rPr>
              <w:t>Dose Level</w:t>
            </w:r>
          </w:p>
        </w:tc>
        <w:tc>
          <w:tcPr>
            <w:tcW w:w="6741" w:type="dxa"/>
            <w:gridSpan w:val="2"/>
            <w:tcBorders>
              <w:top w:val="single" w:sz="4" w:space="0" w:color="auto"/>
              <w:bottom w:val="single" w:sz="4" w:space="0" w:color="auto"/>
            </w:tcBorders>
            <w:vAlign w:val="center"/>
          </w:tcPr>
          <w:p w14:paraId="50E33E5C" w14:textId="77777777" w:rsidR="003E7ECD" w:rsidRPr="00B72DF0" w:rsidRDefault="003E7ECD">
            <w:pPr>
              <w:jc w:val="center"/>
              <w:rPr>
                <w:b/>
                <w:sz w:val="20"/>
                <w:szCs w:val="20"/>
              </w:rPr>
            </w:pPr>
            <w:r w:rsidRPr="00B72DF0">
              <w:rPr>
                <w:b/>
                <w:sz w:val="20"/>
                <w:szCs w:val="20"/>
              </w:rPr>
              <w:t>Dose*</w:t>
            </w:r>
          </w:p>
        </w:tc>
      </w:tr>
      <w:tr w:rsidR="003E7ECD" w:rsidRPr="000E48D1" w14:paraId="4B586DEA" w14:textId="77777777">
        <w:tc>
          <w:tcPr>
            <w:tcW w:w="2619" w:type="dxa"/>
            <w:vMerge/>
            <w:tcBorders>
              <w:top w:val="single" w:sz="4" w:space="0" w:color="auto"/>
              <w:bottom w:val="single" w:sz="4" w:space="0" w:color="auto"/>
            </w:tcBorders>
          </w:tcPr>
          <w:p w14:paraId="7446DD0E" w14:textId="77777777" w:rsidR="003E7ECD" w:rsidRPr="00B72DF0" w:rsidRDefault="003E7ECD">
            <w:pPr>
              <w:rPr>
                <w:b/>
                <w:sz w:val="20"/>
                <w:szCs w:val="20"/>
              </w:rPr>
            </w:pPr>
          </w:p>
        </w:tc>
        <w:tc>
          <w:tcPr>
            <w:tcW w:w="2233" w:type="dxa"/>
            <w:tcBorders>
              <w:top w:val="single" w:sz="4" w:space="0" w:color="auto"/>
              <w:bottom w:val="single" w:sz="4" w:space="0" w:color="auto"/>
            </w:tcBorders>
            <w:vAlign w:val="center"/>
          </w:tcPr>
          <w:p w14:paraId="5D9B6715" w14:textId="77777777" w:rsidR="003E7ECD" w:rsidRPr="00B72DF0" w:rsidRDefault="003E7ECD">
            <w:pPr>
              <w:jc w:val="center"/>
              <w:rPr>
                <w:b/>
                <w:iCs/>
                <w:sz w:val="20"/>
                <w:szCs w:val="20"/>
              </w:rPr>
            </w:pPr>
            <w:r>
              <w:rPr>
                <w:b/>
                <w:iCs/>
                <w:sz w:val="20"/>
                <w:szCs w:val="20"/>
              </w:rPr>
              <w:t>Triapine</w:t>
            </w:r>
          </w:p>
          <w:p w14:paraId="2DCE7A5B" w14:textId="77777777" w:rsidR="003E7ECD" w:rsidRPr="00B72DF0" w:rsidRDefault="003E7ECD">
            <w:pPr>
              <w:jc w:val="center"/>
              <w:rPr>
                <w:b/>
                <w:iCs/>
                <w:sz w:val="20"/>
                <w:szCs w:val="20"/>
              </w:rPr>
            </w:pPr>
            <w:r w:rsidRPr="00B72DF0">
              <w:rPr>
                <w:b/>
                <w:iCs/>
                <w:sz w:val="20"/>
                <w:szCs w:val="20"/>
              </w:rPr>
              <w:t>(</w:t>
            </w:r>
            <w:r>
              <w:rPr>
                <w:b/>
                <w:iCs/>
                <w:sz w:val="20"/>
                <w:szCs w:val="20"/>
              </w:rPr>
              <w:t>mg</w:t>
            </w:r>
            <w:r w:rsidRPr="00B72DF0">
              <w:rPr>
                <w:b/>
                <w:iCs/>
                <w:sz w:val="20"/>
                <w:szCs w:val="20"/>
              </w:rPr>
              <w:t>)</w:t>
            </w:r>
            <w:r>
              <w:rPr>
                <w:b/>
                <w:iCs/>
                <w:sz w:val="20"/>
                <w:szCs w:val="20"/>
              </w:rPr>
              <w:t>**</w:t>
            </w:r>
          </w:p>
        </w:tc>
        <w:tc>
          <w:tcPr>
            <w:tcW w:w="4508" w:type="dxa"/>
            <w:tcBorders>
              <w:top w:val="single" w:sz="4" w:space="0" w:color="auto"/>
              <w:bottom w:val="single" w:sz="4" w:space="0" w:color="auto"/>
            </w:tcBorders>
            <w:vAlign w:val="center"/>
          </w:tcPr>
          <w:p w14:paraId="6538B3D9" w14:textId="77777777" w:rsidR="003E7ECD" w:rsidRPr="00B72DF0" w:rsidRDefault="003E7ECD">
            <w:pPr>
              <w:jc w:val="center"/>
              <w:rPr>
                <w:b/>
                <w:iCs/>
                <w:sz w:val="20"/>
                <w:szCs w:val="20"/>
              </w:rPr>
            </w:pPr>
            <w:r>
              <w:rPr>
                <w:b/>
                <w:iCs/>
                <w:sz w:val="20"/>
                <w:szCs w:val="20"/>
              </w:rPr>
              <w:t>Radiation</w:t>
            </w:r>
          </w:p>
        </w:tc>
      </w:tr>
      <w:tr w:rsidR="003E7ECD" w:rsidRPr="000E48D1" w14:paraId="39040EB6" w14:textId="77777777">
        <w:trPr>
          <w:trHeight w:val="376"/>
        </w:trPr>
        <w:tc>
          <w:tcPr>
            <w:tcW w:w="2619" w:type="dxa"/>
            <w:tcBorders>
              <w:top w:val="single" w:sz="4" w:space="0" w:color="auto"/>
              <w:bottom w:val="single" w:sz="4" w:space="0" w:color="auto"/>
            </w:tcBorders>
            <w:vAlign w:val="center"/>
          </w:tcPr>
          <w:p w14:paraId="1A7D7AEF" w14:textId="3D511100" w:rsidR="003E7ECD" w:rsidRPr="00B72DF0" w:rsidRDefault="003E7ECD">
            <w:pPr>
              <w:jc w:val="center"/>
              <w:rPr>
                <w:sz w:val="20"/>
                <w:szCs w:val="20"/>
              </w:rPr>
            </w:pPr>
            <w:r w:rsidRPr="00B72DF0">
              <w:rPr>
                <w:sz w:val="20"/>
                <w:szCs w:val="20"/>
              </w:rPr>
              <w:t>Level 1</w:t>
            </w:r>
            <w:r>
              <w:rPr>
                <w:sz w:val="20"/>
                <w:szCs w:val="20"/>
              </w:rPr>
              <w:t xml:space="preserve"> (starting)</w:t>
            </w:r>
          </w:p>
        </w:tc>
        <w:tc>
          <w:tcPr>
            <w:tcW w:w="2233" w:type="dxa"/>
            <w:tcBorders>
              <w:top w:val="single" w:sz="4" w:space="0" w:color="auto"/>
              <w:bottom w:val="single" w:sz="4" w:space="0" w:color="auto"/>
            </w:tcBorders>
            <w:vAlign w:val="center"/>
          </w:tcPr>
          <w:p w14:paraId="5AE1DCE4" w14:textId="77777777" w:rsidR="003E7ECD" w:rsidRPr="00B72DF0" w:rsidRDefault="003E7ECD">
            <w:pPr>
              <w:jc w:val="center"/>
              <w:rPr>
                <w:sz w:val="20"/>
                <w:szCs w:val="20"/>
              </w:rPr>
            </w:pPr>
            <w:r>
              <w:rPr>
                <w:sz w:val="20"/>
                <w:szCs w:val="20"/>
              </w:rPr>
              <w:t>50</w:t>
            </w:r>
          </w:p>
        </w:tc>
        <w:tc>
          <w:tcPr>
            <w:tcW w:w="4508" w:type="dxa"/>
            <w:tcBorders>
              <w:top w:val="single" w:sz="4" w:space="0" w:color="auto"/>
              <w:bottom w:val="single" w:sz="4" w:space="0" w:color="auto"/>
            </w:tcBorders>
            <w:vAlign w:val="center"/>
          </w:tcPr>
          <w:p w14:paraId="25E40E44" w14:textId="77777777" w:rsidR="003E7ECD" w:rsidRPr="00B72DF0" w:rsidRDefault="003E7ECD">
            <w:pPr>
              <w:jc w:val="center"/>
              <w:rPr>
                <w:sz w:val="20"/>
                <w:szCs w:val="20"/>
              </w:rPr>
            </w:pPr>
            <w:r>
              <w:rPr>
                <w:sz w:val="20"/>
                <w:szCs w:val="20"/>
              </w:rPr>
              <w:t>35Gy in 10 fractions</w:t>
            </w:r>
          </w:p>
        </w:tc>
      </w:tr>
      <w:tr w:rsidR="003E7ECD" w:rsidRPr="000E48D1" w14:paraId="0B25733B" w14:textId="77777777">
        <w:trPr>
          <w:trHeight w:val="377"/>
        </w:trPr>
        <w:tc>
          <w:tcPr>
            <w:tcW w:w="2619" w:type="dxa"/>
            <w:tcBorders>
              <w:top w:val="single" w:sz="4" w:space="0" w:color="auto"/>
              <w:bottom w:val="single" w:sz="4" w:space="0" w:color="auto"/>
            </w:tcBorders>
            <w:vAlign w:val="center"/>
          </w:tcPr>
          <w:p w14:paraId="6BB524F2" w14:textId="77777777" w:rsidR="003E7ECD" w:rsidRPr="00B72DF0" w:rsidRDefault="003E7ECD">
            <w:pPr>
              <w:jc w:val="center"/>
              <w:rPr>
                <w:sz w:val="20"/>
                <w:szCs w:val="20"/>
              </w:rPr>
            </w:pPr>
            <w:r w:rsidRPr="00B72DF0">
              <w:rPr>
                <w:sz w:val="20"/>
                <w:szCs w:val="20"/>
              </w:rPr>
              <w:t>Level 2</w:t>
            </w:r>
          </w:p>
        </w:tc>
        <w:tc>
          <w:tcPr>
            <w:tcW w:w="2233" w:type="dxa"/>
            <w:tcBorders>
              <w:top w:val="single" w:sz="4" w:space="0" w:color="auto"/>
              <w:bottom w:val="single" w:sz="4" w:space="0" w:color="auto"/>
            </w:tcBorders>
            <w:vAlign w:val="center"/>
          </w:tcPr>
          <w:p w14:paraId="1F574709" w14:textId="77777777" w:rsidR="003E7ECD" w:rsidRPr="00B72DF0" w:rsidRDefault="003E7ECD">
            <w:pPr>
              <w:jc w:val="center"/>
              <w:rPr>
                <w:sz w:val="20"/>
                <w:szCs w:val="20"/>
              </w:rPr>
            </w:pPr>
            <w:r>
              <w:rPr>
                <w:sz w:val="20"/>
                <w:szCs w:val="20"/>
              </w:rPr>
              <w:t>100</w:t>
            </w:r>
          </w:p>
        </w:tc>
        <w:tc>
          <w:tcPr>
            <w:tcW w:w="4508" w:type="dxa"/>
            <w:tcBorders>
              <w:top w:val="single" w:sz="4" w:space="0" w:color="auto"/>
              <w:bottom w:val="single" w:sz="4" w:space="0" w:color="auto"/>
            </w:tcBorders>
            <w:vAlign w:val="center"/>
          </w:tcPr>
          <w:p w14:paraId="724CE621" w14:textId="77777777" w:rsidR="003E7ECD" w:rsidRPr="00B72DF0" w:rsidRDefault="003E7ECD">
            <w:pPr>
              <w:jc w:val="center"/>
              <w:rPr>
                <w:sz w:val="20"/>
                <w:szCs w:val="20"/>
              </w:rPr>
            </w:pPr>
            <w:r>
              <w:rPr>
                <w:sz w:val="20"/>
                <w:szCs w:val="20"/>
              </w:rPr>
              <w:t>35Gy in 10 fractions</w:t>
            </w:r>
          </w:p>
        </w:tc>
      </w:tr>
      <w:tr w:rsidR="003E7ECD" w:rsidRPr="000E48D1" w14:paraId="130CC346" w14:textId="77777777">
        <w:trPr>
          <w:trHeight w:val="377"/>
        </w:trPr>
        <w:tc>
          <w:tcPr>
            <w:tcW w:w="2619" w:type="dxa"/>
            <w:tcBorders>
              <w:top w:val="single" w:sz="4" w:space="0" w:color="auto"/>
              <w:bottom w:val="single" w:sz="4" w:space="0" w:color="auto"/>
            </w:tcBorders>
            <w:vAlign w:val="center"/>
          </w:tcPr>
          <w:p w14:paraId="36C25FFF" w14:textId="77777777" w:rsidR="003E7ECD" w:rsidRPr="00B72DF0" w:rsidRDefault="003E7ECD">
            <w:pPr>
              <w:jc w:val="center"/>
              <w:rPr>
                <w:sz w:val="20"/>
                <w:szCs w:val="20"/>
              </w:rPr>
            </w:pPr>
            <w:r w:rsidRPr="00B72DF0">
              <w:rPr>
                <w:sz w:val="20"/>
                <w:szCs w:val="20"/>
              </w:rPr>
              <w:t>Level 3</w:t>
            </w:r>
          </w:p>
        </w:tc>
        <w:tc>
          <w:tcPr>
            <w:tcW w:w="2233" w:type="dxa"/>
            <w:tcBorders>
              <w:top w:val="single" w:sz="4" w:space="0" w:color="auto"/>
              <w:bottom w:val="single" w:sz="4" w:space="0" w:color="auto"/>
            </w:tcBorders>
            <w:vAlign w:val="center"/>
          </w:tcPr>
          <w:p w14:paraId="59E99100" w14:textId="77777777" w:rsidR="003E7ECD" w:rsidRPr="00B72DF0" w:rsidRDefault="003E7ECD">
            <w:pPr>
              <w:jc w:val="center"/>
              <w:rPr>
                <w:sz w:val="20"/>
                <w:szCs w:val="20"/>
              </w:rPr>
            </w:pPr>
            <w:r>
              <w:rPr>
                <w:sz w:val="20"/>
                <w:szCs w:val="20"/>
              </w:rPr>
              <w:t>150</w:t>
            </w:r>
          </w:p>
        </w:tc>
        <w:tc>
          <w:tcPr>
            <w:tcW w:w="4508" w:type="dxa"/>
            <w:tcBorders>
              <w:top w:val="single" w:sz="4" w:space="0" w:color="auto"/>
              <w:bottom w:val="single" w:sz="4" w:space="0" w:color="auto"/>
            </w:tcBorders>
            <w:vAlign w:val="center"/>
          </w:tcPr>
          <w:p w14:paraId="706CA542" w14:textId="77777777" w:rsidR="003E7ECD" w:rsidRPr="00B72DF0" w:rsidRDefault="003E7ECD">
            <w:pPr>
              <w:jc w:val="center"/>
              <w:rPr>
                <w:sz w:val="20"/>
                <w:szCs w:val="20"/>
              </w:rPr>
            </w:pPr>
            <w:r>
              <w:rPr>
                <w:sz w:val="20"/>
                <w:szCs w:val="20"/>
              </w:rPr>
              <w:t>35Gy in 10 fractions</w:t>
            </w:r>
          </w:p>
        </w:tc>
      </w:tr>
      <w:tr w:rsidR="003E7ECD" w:rsidRPr="000E48D1" w14:paraId="343089CE" w14:textId="77777777">
        <w:trPr>
          <w:trHeight w:val="377"/>
        </w:trPr>
        <w:tc>
          <w:tcPr>
            <w:tcW w:w="2619" w:type="dxa"/>
            <w:tcBorders>
              <w:top w:val="single" w:sz="4" w:space="0" w:color="auto"/>
              <w:bottom w:val="single" w:sz="4" w:space="0" w:color="auto"/>
            </w:tcBorders>
            <w:vAlign w:val="center"/>
          </w:tcPr>
          <w:p w14:paraId="6BAC164A" w14:textId="77777777" w:rsidR="003E7ECD" w:rsidRPr="00B72DF0" w:rsidRDefault="003E7ECD">
            <w:pPr>
              <w:jc w:val="center"/>
              <w:rPr>
                <w:sz w:val="20"/>
                <w:szCs w:val="20"/>
              </w:rPr>
            </w:pPr>
            <w:r w:rsidRPr="00B72DF0">
              <w:rPr>
                <w:sz w:val="20"/>
                <w:szCs w:val="20"/>
              </w:rPr>
              <w:t>Level 4</w:t>
            </w:r>
          </w:p>
        </w:tc>
        <w:tc>
          <w:tcPr>
            <w:tcW w:w="2233" w:type="dxa"/>
            <w:tcBorders>
              <w:top w:val="single" w:sz="4" w:space="0" w:color="auto"/>
              <w:bottom w:val="single" w:sz="4" w:space="0" w:color="auto"/>
            </w:tcBorders>
            <w:vAlign w:val="center"/>
          </w:tcPr>
          <w:p w14:paraId="43E0081F" w14:textId="77777777" w:rsidR="003E7ECD" w:rsidRPr="00B72DF0" w:rsidRDefault="003E7ECD">
            <w:pPr>
              <w:jc w:val="center"/>
              <w:rPr>
                <w:sz w:val="20"/>
                <w:szCs w:val="20"/>
              </w:rPr>
            </w:pPr>
            <w:r>
              <w:rPr>
                <w:sz w:val="20"/>
                <w:szCs w:val="20"/>
              </w:rPr>
              <w:t>200</w:t>
            </w:r>
          </w:p>
        </w:tc>
        <w:tc>
          <w:tcPr>
            <w:tcW w:w="4508" w:type="dxa"/>
            <w:tcBorders>
              <w:top w:val="single" w:sz="4" w:space="0" w:color="auto"/>
              <w:bottom w:val="single" w:sz="4" w:space="0" w:color="auto"/>
            </w:tcBorders>
            <w:vAlign w:val="center"/>
          </w:tcPr>
          <w:p w14:paraId="04A47531" w14:textId="77777777" w:rsidR="003E7ECD" w:rsidRPr="00B72DF0" w:rsidRDefault="003E7ECD">
            <w:pPr>
              <w:jc w:val="center"/>
              <w:rPr>
                <w:sz w:val="20"/>
                <w:szCs w:val="20"/>
              </w:rPr>
            </w:pPr>
            <w:r>
              <w:rPr>
                <w:sz w:val="20"/>
                <w:szCs w:val="20"/>
              </w:rPr>
              <w:t>35Gy in 10 fractions</w:t>
            </w:r>
          </w:p>
        </w:tc>
      </w:tr>
      <w:tr w:rsidR="003E7ECD" w:rsidRPr="00791F6D" w14:paraId="4E661A4C" w14:textId="77777777">
        <w:trPr>
          <w:trHeight w:val="575"/>
        </w:trPr>
        <w:tc>
          <w:tcPr>
            <w:tcW w:w="9360" w:type="dxa"/>
            <w:gridSpan w:val="3"/>
            <w:tcBorders>
              <w:top w:val="single" w:sz="4" w:space="0" w:color="auto"/>
              <w:bottom w:val="single" w:sz="8" w:space="0" w:color="000000"/>
            </w:tcBorders>
          </w:tcPr>
          <w:p w14:paraId="452375BC" w14:textId="77777777" w:rsidR="003E7ECD" w:rsidRDefault="003E7ECD">
            <w:pPr>
              <w:rPr>
                <w:i/>
                <w:sz w:val="20"/>
                <w:szCs w:val="20"/>
              </w:rPr>
            </w:pPr>
            <w:r w:rsidRPr="00B72DF0">
              <w:rPr>
                <w:i/>
                <w:sz w:val="20"/>
                <w:szCs w:val="20"/>
              </w:rPr>
              <w:t>*Doses are stated as exact dose in units (</w:t>
            </w:r>
            <w:r w:rsidRPr="00B72DF0">
              <w:rPr>
                <w:sz w:val="20"/>
                <w:szCs w:val="20"/>
              </w:rPr>
              <w:t>e.g.</w:t>
            </w:r>
            <w:r w:rsidRPr="00B72DF0">
              <w:rPr>
                <w:i/>
                <w:sz w:val="20"/>
                <w:szCs w:val="20"/>
              </w:rPr>
              <w:t>, mg/m</w:t>
            </w:r>
            <w:r w:rsidRPr="00B72DF0">
              <w:rPr>
                <w:i/>
                <w:sz w:val="20"/>
                <w:szCs w:val="20"/>
                <w:vertAlign w:val="superscript"/>
              </w:rPr>
              <w:t>2</w:t>
            </w:r>
            <w:r w:rsidRPr="00B72DF0">
              <w:rPr>
                <w:i/>
                <w:sz w:val="20"/>
                <w:szCs w:val="20"/>
              </w:rPr>
              <w:t xml:space="preserve">, mcg/kg, </w:t>
            </w:r>
            <w:r w:rsidRPr="00B72DF0">
              <w:rPr>
                <w:sz w:val="20"/>
                <w:szCs w:val="20"/>
              </w:rPr>
              <w:t>etc.</w:t>
            </w:r>
            <w:r w:rsidRPr="00B72DF0">
              <w:rPr>
                <w:i/>
                <w:sz w:val="20"/>
                <w:szCs w:val="20"/>
              </w:rPr>
              <w:t>) rather than as a percentage.</w:t>
            </w:r>
          </w:p>
          <w:p w14:paraId="7C68753A" w14:textId="77777777" w:rsidR="003E7ECD" w:rsidRPr="00B72DF0" w:rsidRDefault="003E7ECD">
            <w:pPr>
              <w:rPr>
                <w:sz w:val="20"/>
                <w:szCs w:val="20"/>
              </w:rPr>
            </w:pPr>
            <w:r>
              <w:rPr>
                <w:i/>
                <w:sz w:val="20"/>
                <w:szCs w:val="20"/>
              </w:rPr>
              <w:t>**Doses are administered once daily within 2 hours prior to radiation treatments.</w:t>
            </w:r>
          </w:p>
        </w:tc>
      </w:tr>
    </w:tbl>
    <w:p w14:paraId="3B85F702" w14:textId="77777777" w:rsidR="009E246E" w:rsidRPr="0044415E" w:rsidRDefault="009E246E" w:rsidP="009E246E">
      <w:pPr>
        <w:autoSpaceDE w:val="0"/>
        <w:autoSpaceDN w:val="0"/>
        <w:adjustRightInd w:val="0"/>
        <w:rPr>
          <w:szCs w:val="21"/>
        </w:rPr>
      </w:pPr>
    </w:p>
    <w:p w14:paraId="1D61D7AD" w14:textId="77777777" w:rsidR="009E246E" w:rsidRPr="00733AA1" w:rsidRDefault="009E246E" w:rsidP="00733AA1">
      <w:pPr>
        <w:jc w:val="center"/>
        <w:rPr>
          <w:b/>
        </w:rPr>
      </w:pPr>
      <w:r w:rsidRPr="007300F3">
        <w:br w:type="page"/>
      </w:r>
      <w:r w:rsidRPr="00733AA1">
        <w:rPr>
          <w:b/>
        </w:rPr>
        <w:lastRenderedPageBreak/>
        <w:t>TABLE OF CONTENTS</w:t>
      </w:r>
    </w:p>
    <w:p w14:paraId="4D9BDA6B" w14:textId="77777777" w:rsidR="009E246E" w:rsidRDefault="009E246E" w:rsidP="009E246E">
      <w:pPr>
        <w:tabs>
          <w:tab w:val="right" w:leader="dot" w:pos="9360"/>
        </w:tabs>
        <w:suppressAutoHyphens/>
        <w:rPr>
          <w:b/>
        </w:rPr>
      </w:pPr>
    </w:p>
    <w:p w14:paraId="3DA46A8A" w14:textId="0CD98311" w:rsidR="007C143B" w:rsidRDefault="00EA6CC7">
      <w:pPr>
        <w:pStyle w:val="TOC1"/>
        <w:rPr>
          <w:rFonts w:asciiTheme="minorHAnsi" w:eastAsiaTheme="minorEastAsia" w:hAnsiTheme="minorHAnsi" w:cstheme="minorBidi"/>
          <w:snapToGrid/>
          <w:color w:val="auto"/>
          <w:kern w:val="2"/>
          <w14:ligatures w14:val="standardContextual"/>
        </w:rPr>
      </w:pPr>
      <w:r>
        <w:rPr>
          <w:b/>
        </w:rPr>
        <w:fldChar w:fldCharType="begin"/>
      </w:r>
      <w:r>
        <w:rPr>
          <w:b/>
        </w:rPr>
        <w:instrText xml:space="preserve"> TOC \o "1-2" \h \z \u </w:instrText>
      </w:r>
      <w:r>
        <w:rPr>
          <w:b/>
        </w:rPr>
        <w:fldChar w:fldCharType="separate"/>
      </w:r>
      <w:hyperlink w:anchor="_Toc176419885" w:history="1">
        <w:r w:rsidR="007C143B" w:rsidRPr="00CF493A">
          <w:rPr>
            <w:rStyle w:val="Hyperlink"/>
            <w:b/>
            <w:bCs/>
          </w:rPr>
          <w:t>SCHEMA</w:t>
        </w:r>
        <w:r w:rsidR="007C143B">
          <w:rPr>
            <w:webHidden/>
          </w:rPr>
          <w:tab/>
        </w:r>
        <w:r w:rsidR="007C143B">
          <w:rPr>
            <w:webHidden/>
          </w:rPr>
          <w:fldChar w:fldCharType="begin"/>
        </w:r>
        <w:r w:rsidR="007C143B">
          <w:rPr>
            <w:webHidden/>
          </w:rPr>
          <w:instrText xml:space="preserve"> PAGEREF _Toc176419885 \h </w:instrText>
        </w:r>
        <w:r w:rsidR="007C143B">
          <w:rPr>
            <w:webHidden/>
          </w:rPr>
        </w:r>
        <w:r w:rsidR="007C143B">
          <w:rPr>
            <w:webHidden/>
          </w:rPr>
          <w:fldChar w:fldCharType="separate"/>
        </w:r>
        <w:r w:rsidR="00D947DB">
          <w:rPr>
            <w:webHidden/>
          </w:rPr>
          <w:t>3</w:t>
        </w:r>
        <w:r w:rsidR="007C143B">
          <w:rPr>
            <w:webHidden/>
          </w:rPr>
          <w:fldChar w:fldCharType="end"/>
        </w:r>
      </w:hyperlink>
    </w:p>
    <w:p w14:paraId="67980B18" w14:textId="271B7789" w:rsidR="007C143B" w:rsidRDefault="003B13CC">
      <w:pPr>
        <w:pStyle w:val="TOC1"/>
        <w:rPr>
          <w:rFonts w:asciiTheme="minorHAnsi" w:eastAsiaTheme="minorEastAsia" w:hAnsiTheme="minorHAnsi" w:cstheme="minorBidi"/>
          <w:snapToGrid/>
          <w:color w:val="auto"/>
          <w:kern w:val="2"/>
          <w14:ligatures w14:val="standardContextual"/>
        </w:rPr>
      </w:pPr>
      <w:hyperlink w:anchor="_Toc176419886" w:history="1">
        <w:r w:rsidR="007C143B" w:rsidRPr="00CF493A">
          <w:rPr>
            <w:rStyle w:val="Hyperlink"/>
          </w:rPr>
          <w:t>1.</w:t>
        </w:r>
        <w:r w:rsidR="007C143B">
          <w:rPr>
            <w:rFonts w:asciiTheme="minorHAnsi" w:eastAsiaTheme="minorEastAsia" w:hAnsiTheme="minorHAnsi" w:cstheme="minorBidi"/>
            <w:snapToGrid/>
            <w:color w:val="auto"/>
            <w:kern w:val="2"/>
            <w14:ligatures w14:val="standardContextual"/>
          </w:rPr>
          <w:tab/>
        </w:r>
        <w:r w:rsidR="007C143B" w:rsidRPr="00CF493A">
          <w:rPr>
            <w:rStyle w:val="Hyperlink"/>
          </w:rPr>
          <w:t>OBJECTIVES</w:t>
        </w:r>
        <w:r w:rsidR="007C143B">
          <w:rPr>
            <w:webHidden/>
          </w:rPr>
          <w:tab/>
        </w:r>
        <w:r w:rsidR="007C143B">
          <w:rPr>
            <w:webHidden/>
          </w:rPr>
          <w:fldChar w:fldCharType="begin"/>
        </w:r>
        <w:r w:rsidR="007C143B">
          <w:rPr>
            <w:webHidden/>
          </w:rPr>
          <w:instrText xml:space="preserve"> PAGEREF _Toc176419886 \h </w:instrText>
        </w:r>
        <w:r w:rsidR="007C143B">
          <w:rPr>
            <w:webHidden/>
          </w:rPr>
        </w:r>
        <w:r w:rsidR="007C143B">
          <w:rPr>
            <w:webHidden/>
          </w:rPr>
          <w:fldChar w:fldCharType="separate"/>
        </w:r>
        <w:r w:rsidR="00D947DB">
          <w:rPr>
            <w:webHidden/>
          </w:rPr>
          <w:t>6</w:t>
        </w:r>
        <w:r w:rsidR="007C143B">
          <w:rPr>
            <w:webHidden/>
          </w:rPr>
          <w:fldChar w:fldCharType="end"/>
        </w:r>
      </w:hyperlink>
    </w:p>
    <w:p w14:paraId="4EEE8530" w14:textId="2320D3F5" w:rsidR="007C143B" w:rsidRDefault="003B13CC">
      <w:pPr>
        <w:pStyle w:val="TOC2"/>
        <w:rPr>
          <w:rFonts w:asciiTheme="minorHAnsi" w:eastAsiaTheme="minorEastAsia" w:hAnsiTheme="minorHAnsi" w:cstheme="minorBidi"/>
          <w:noProof/>
          <w:snapToGrid/>
          <w:color w:val="auto"/>
          <w:kern w:val="2"/>
          <w14:ligatures w14:val="standardContextual"/>
        </w:rPr>
      </w:pPr>
      <w:hyperlink w:anchor="_Toc176419887" w:history="1">
        <w:r w:rsidR="007C143B" w:rsidRPr="00CF493A">
          <w:rPr>
            <w:rStyle w:val="Hyperlink"/>
            <w:iCs/>
            <w:noProof/>
          </w:rPr>
          <w:t>1.1</w:t>
        </w:r>
        <w:r w:rsidR="007C143B">
          <w:rPr>
            <w:rFonts w:asciiTheme="minorHAnsi" w:eastAsiaTheme="minorEastAsia" w:hAnsiTheme="minorHAnsi" w:cstheme="minorBidi"/>
            <w:noProof/>
            <w:snapToGrid/>
            <w:color w:val="auto"/>
            <w:kern w:val="2"/>
            <w14:ligatures w14:val="standardContextual"/>
          </w:rPr>
          <w:tab/>
        </w:r>
        <w:r w:rsidR="007C143B" w:rsidRPr="00CF493A">
          <w:rPr>
            <w:rStyle w:val="Hyperlink"/>
            <w:noProof/>
          </w:rPr>
          <w:t>Primary Objectives</w:t>
        </w:r>
        <w:r w:rsidR="007C143B">
          <w:rPr>
            <w:noProof/>
            <w:webHidden/>
          </w:rPr>
          <w:tab/>
        </w:r>
        <w:r w:rsidR="007C143B">
          <w:rPr>
            <w:noProof/>
            <w:webHidden/>
          </w:rPr>
          <w:fldChar w:fldCharType="begin"/>
        </w:r>
        <w:r w:rsidR="007C143B">
          <w:rPr>
            <w:noProof/>
            <w:webHidden/>
          </w:rPr>
          <w:instrText xml:space="preserve"> PAGEREF _Toc176419887 \h </w:instrText>
        </w:r>
        <w:r w:rsidR="007C143B">
          <w:rPr>
            <w:noProof/>
            <w:webHidden/>
          </w:rPr>
        </w:r>
        <w:r w:rsidR="007C143B">
          <w:rPr>
            <w:noProof/>
            <w:webHidden/>
          </w:rPr>
          <w:fldChar w:fldCharType="separate"/>
        </w:r>
        <w:r w:rsidR="00D947DB">
          <w:rPr>
            <w:noProof/>
            <w:webHidden/>
          </w:rPr>
          <w:t>6</w:t>
        </w:r>
        <w:r w:rsidR="007C143B">
          <w:rPr>
            <w:noProof/>
            <w:webHidden/>
          </w:rPr>
          <w:fldChar w:fldCharType="end"/>
        </w:r>
      </w:hyperlink>
    </w:p>
    <w:p w14:paraId="2F786ABD" w14:textId="2174DFBE" w:rsidR="007C143B" w:rsidRDefault="003B13CC">
      <w:pPr>
        <w:pStyle w:val="TOC2"/>
        <w:rPr>
          <w:rFonts w:asciiTheme="minorHAnsi" w:eastAsiaTheme="minorEastAsia" w:hAnsiTheme="minorHAnsi" w:cstheme="minorBidi"/>
          <w:noProof/>
          <w:snapToGrid/>
          <w:color w:val="auto"/>
          <w:kern w:val="2"/>
          <w14:ligatures w14:val="standardContextual"/>
        </w:rPr>
      </w:pPr>
      <w:hyperlink w:anchor="_Toc176419888" w:history="1">
        <w:r w:rsidR="007C143B" w:rsidRPr="00CF493A">
          <w:rPr>
            <w:rStyle w:val="Hyperlink"/>
            <w:iCs/>
            <w:noProof/>
          </w:rPr>
          <w:t>1.2</w:t>
        </w:r>
        <w:r w:rsidR="007C143B">
          <w:rPr>
            <w:rFonts w:asciiTheme="minorHAnsi" w:eastAsiaTheme="minorEastAsia" w:hAnsiTheme="minorHAnsi" w:cstheme="minorBidi"/>
            <w:noProof/>
            <w:snapToGrid/>
            <w:color w:val="auto"/>
            <w:kern w:val="2"/>
            <w14:ligatures w14:val="standardContextual"/>
          </w:rPr>
          <w:tab/>
        </w:r>
        <w:r w:rsidR="007C143B" w:rsidRPr="00CF493A">
          <w:rPr>
            <w:rStyle w:val="Hyperlink"/>
            <w:noProof/>
          </w:rPr>
          <w:t>Secondary Objectives</w:t>
        </w:r>
        <w:r w:rsidR="007C143B">
          <w:rPr>
            <w:noProof/>
            <w:webHidden/>
          </w:rPr>
          <w:tab/>
        </w:r>
        <w:r w:rsidR="007C143B">
          <w:rPr>
            <w:noProof/>
            <w:webHidden/>
          </w:rPr>
          <w:fldChar w:fldCharType="begin"/>
        </w:r>
        <w:r w:rsidR="007C143B">
          <w:rPr>
            <w:noProof/>
            <w:webHidden/>
          </w:rPr>
          <w:instrText xml:space="preserve"> PAGEREF _Toc176419888 \h </w:instrText>
        </w:r>
        <w:r w:rsidR="007C143B">
          <w:rPr>
            <w:noProof/>
            <w:webHidden/>
          </w:rPr>
        </w:r>
        <w:r w:rsidR="007C143B">
          <w:rPr>
            <w:noProof/>
            <w:webHidden/>
          </w:rPr>
          <w:fldChar w:fldCharType="separate"/>
        </w:r>
        <w:r w:rsidR="00D947DB">
          <w:rPr>
            <w:noProof/>
            <w:webHidden/>
          </w:rPr>
          <w:t>6</w:t>
        </w:r>
        <w:r w:rsidR="007C143B">
          <w:rPr>
            <w:noProof/>
            <w:webHidden/>
          </w:rPr>
          <w:fldChar w:fldCharType="end"/>
        </w:r>
      </w:hyperlink>
    </w:p>
    <w:p w14:paraId="39A3A881" w14:textId="4FC88E6D" w:rsidR="007C143B" w:rsidRDefault="003B13CC">
      <w:pPr>
        <w:pStyle w:val="TOC1"/>
        <w:rPr>
          <w:rFonts w:asciiTheme="minorHAnsi" w:eastAsiaTheme="minorEastAsia" w:hAnsiTheme="minorHAnsi" w:cstheme="minorBidi"/>
          <w:snapToGrid/>
          <w:color w:val="auto"/>
          <w:kern w:val="2"/>
          <w14:ligatures w14:val="standardContextual"/>
        </w:rPr>
      </w:pPr>
      <w:hyperlink w:anchor="_Toc176419889" w:history="1">
        <w:r w:rsidR="007C143B" w:rsidRPr="00CF493A">
          <w:rPr>
            <w:rStyle w:val="Hyperlink"/>
          </w:rPr>
          <w:t>2.</w:t>
        </w:r>
        <w:r w:rsidR="007C143B">
          <w:rPr>
            <w:rFonts w:asciiTheme="minorHAnsi" w:eastAsiaTheme="minorEastAsia" w:hAnsiTheme="minorHAnsi" w:cstheme="minorBidi"/>
            <w:snapToGrid/>
            <w:color w:val="auto"/>
            <w:kern w:val="2"/>
            <w14:ligatures w14:val="standardContextual"/>
          </w:rPr>
          <w:tab/>
        </w:r>
        <w:r w:rsidR="007C143B" w:rsidRPr="00CF493A">
          <w:rPr>
            <w:rStyle w:val="Hyperlink"/>
          </w:rPr>
          <w:t>BACKGROUND</w:t>
        </w:r>
        <w:r w:rsidR="007C143B">
          <w:rPr>
            <w:webHidden/>
          </w:rPr>
          <w:tab/>
        </w:r>
        <w:r w:rsidR="007C143B">
          <w:rPr>
            <w:webHidden/>
          </w:rPr>
          <w:fldChar w:fldCharType="begin"/>
        </w:r>
        <w:r w:rsidR="007C143B">
          <w:rPr>
            <w:webHidden/>
          </w:rPr>
          <w:instrText xml:space="preserve"> PAGEREF _Toc176419889 \h </w:instrText>
        </w:r>
        <w:r w:rsidR="007C143B">
          <w:rPr>
            <w:webHidden/>
          </w:rPr>
        </w:r>
        <w:r w:rsidR="007C143B">
          <w:rPr>
            <w:webHidden/>
          </w:rPr>
          <w:fldChar w:fldCharType="separate"/>
        </w:r>
        <w:r w:rsidR="00D947DB">
          <w:rPr>
            <w:webHidden/>
          </w:rPr>
          <w:t>6</w:t>
        </w:r>
        <w:r w:rsidR="007C143B">
          <w:rPr>
            <w:webHidden/>
          </w:rPr>
          <w:fldChar w:fldCharType="end"/>
        </w:r>
      </w:hyperlink>
    </w:p>
    <w:p w14:paraId="56844084" w14:textId="53CF39AE" w:rsidR="007C143B" w:rsidRDefault="003B13CC">
      <w:pPr>
        <w:pStyle w:val="TOC2"/>
        <w:rPr>
          <w:rFonts w:asciiTheme="minorHAnsi" w:eastAsiaTheme="minorEastAsia" w:hAnsiTheme="minorHAnsi" w:cstheme="minorBidi"/>
          <w:noProof/>
          <w:snapToGrid/>
          <w:color w:val="auto"/>
          <w:kern w:val="2"/>
          <w14:ligatures w14:val="standardContextual"/>
        </w:rPr>
      </w:pPr>
      <w:hyperlink w:anchor="_Toc176419890" w:history="1">
        <w:r w:rsidR="007C143B" w:rsidRPr="00CF493A">
          <w:rPr>
            <w:rStyle w:val="Hyperlink"/>
            <w:iCs/>
            <w:noProof/>
          </w:rPr>
          <w:t>2.1</w:t>
        </w:r>
        <w:r w:rsidR="007C143B">
          <w:rPr>
            <w:rFonts w:asciiTheme="minorHAnsi" w:eastAsiaTheme="minorEastAsia" w:hAnsiTheme="minorHAnsi" w:cstheme="minorBidi"/>
            <w:noProof/>
            <w:snapToGrid/>
            <w:color w:val="auto"/>
            <w:kern w:val="2"/>
            <w14:ligatures w14:val="standardContextual"/>
          </w:rPr>
          <w:tab/>
        </w:r>
        <w:r w:rsidR="007C143B" w:rsidRPr="00CF493A">
          <w:rPr>
            <w:rStyle w:val="Hyperlink"/>
            <w:noProof/>
          </w:rPr>
          <w:t>Study Disease(s)</w:t>
        </w:r>
        <w:r w:rsidR="007C143B">
          <w:rPr>
            <w:noProof/>
            <w:webHidden/>
          </w:rPr>
          <w:tab/>
        </w:r>
        <w:r w:rsidR="007C143B">
          <w:rPr>
            <w:noProof/>
            <w:webHidden/>
          </w:rPr>
          <w:fldChar w:fldCharType="begin"/>
        </w:r>
        <w:r w:rsidR="007C143B">
          <w:rPr>
            <w:noProof/>
            <w:webHidden/>
          </w:rPr>
          <w:instrText xml:space="preserve"> PAGEREF _Toc176419890 \h </w:instrText>
        </w:r>
        <w:r w:rsidR="007C143B">
          <w:rPr>
            <w:noProof/>
            <w:webHidden/>
          </w:rPr>
        </w:r>
        <w:r w:rsidR="007C143B">
          <w:rPr>
            <w:noProof/>
            <w:webHidden/>
          </w:rPr>
          <w:fldChar w:fldCharType="separate"/>
        </w:r>
        <w:r w:rsidR="00D947DB">
          <w:rPr>
            <w:noProof/>
            <w:webHidden/>
          </w:rPr>
          <w:t>6</w:t>
        </w:r>
        <w:r w:rsidR="007C143B">
          <w:rPr>
            <w:noProof/>
            <w:webHidden/>
          </w:rPr>
          <w:fldChar w:fldCharType="end"/>
        </w:r>
      </w:hyperlink>
    </w:p>
    <w:p w14:paraId="2AABF81F" w14:textId="18487B4C" w:rsidR="007C143B" w:rsidRDefault="003B13CC">
      <w:pPr>
        <w:pStyle w:val="TOC2"/>
        <w:rPr>
          <w:rFonts w:asciiTheme="minorHAnsi" w:eastAsiaTheme="minorEastAsia" w:hAnsiTheme="minorHAnsi" w:cstheme="minorBidi"/>
          <w:noProof/>
          <w:snapToGrid/>
          <w:color w:val="auto"/>
          <w:kern w:val="2"/>
          <w14:ligatures w14:val="standardContextual"/>
        </w:rPr>
      </w:pPr>
      <w:hyperlink w:anchor="_Toc176419891" w:history="1">
        <w:r w:rsidR="007C143B" w:rsidRPr="00CF493A">
          <w:rPr>
            <w:rStyle w:val="Hyperlink"/>
            <w:iCs/>
            <w:noProof/>
          </w:rPr>
          <w:t>2.2</w:t>
        </w:r>
        <w:r w:rsidR="007C143B">
          <w:rPr>
            <w:rFonts w:asciiTheme="minorHAnsi" w:eastAsiaTheme="minorEastAsia" w:hAnsiTheme="minorHAnsi" w:cstheme="minorBidi"/>
            <w:noProof/>
            <w:snapToGrid/>
            <w:color w:val="auto"/>
            <w:kern w:val="2"/>
            <w14:ligatures w14:val="standardContextual"/>
          </w:rPr>
          <w:tab/>
        </w:r>
        <w:r w:rsidR="007C143B" w:rsidRPr="00CF493A">
          <w:rPr>
            <w:rStyle w:val="Hyperlink"/>
            <w:noProof/>
          </w:rPr>
          <w:t>CTEP IND Agent (Triapine)</w:t>
        </w:r>
        <w:r w:rsidR="007C143B">
          <w:rPr>
            <w:noProof/>
            <w:webHidden/>
          </w:rPr>
          <w:tab/>
        </w:r>
        <w:r w:rsidR="007C143B">
          <w:rPr>
            <w:noProof/>
            <w:webHidden/>
          </w:rPr>
          <w:fldChar w:fldCharType="begin"/>
        </w:r>
        <w:r w:rsidR="007C143B">
          <w:rPr>
            <w:noProof/>
            <w:webHidden/>
          </w:rPr>
          <w:instrText xml:space="preserve"> PAGEREF _Toc176419891 \h </w:instrText>
        </w:r>
        <w:r w:rsidR="007C143B">
          <w:rPr>
            <w:noProof/>
            <w:webHidden/>
          </w:rPr>
        </w:r>
        <w:r w:rsidR="007C143B">
          <w:rPr>
            <w:noProof/>
            <w:webHidden/>
          </w:rPr>
          <w:fldChar w:fldCharType="separate"/>
        </w:r>
        <w:r w:rsidR="00D947DB">
          <w:rPr>
            <w:noProof/>
            <w:webHidden/>
          </w:rPr>
          <w:t>7</w:t>
        </w:r>
        <w:r w:rsidR="007C143B">
          <w:rPr>
            <w:noProof/>
            <w:webHidden/>
          </w:rPr>
          <w:fldChar w:fldCharType="end"/>
        </w:r>
      </w:hyperlink>
    </w:p>
    <w:p w14:paraId="225A93E2" w14:textId="68C1272C" w:rsidR="007C143B" w:rsidRDefault="003B13CC">
      <w:pPr>
        <w:pStyle w:val="TOC2"/>
        <w:rPr>
          <w:rFonts w:asciiTheme="minorHAnsi" w:eastAsiaTheme="minorEastAsia" w:hAnsiTheme="minorHAnsi" w:cstheme="minorBidi"/>
          <w:noProof/>
          <w:snapToGrid/>
          <w:color w:val="auto"/>
          <w:kern w:val="2"/>
          <w14:ligatures w14:val="standardContextual"/>
        </w:rPr>
      </w:pPr>
      <w:hyperlink w:anchor="_Toc176419892" w:history="1">
        <w:r w:rsidR="007C143B" w:rsidRPr="00CF493A">
          <w:rPr>
            <w:rStyle w:val="Hyperlink"/>
            <w:iCs/>
            <w:noProof/>
          </w:rPr>
          <w:t>2.3</w:t>
        </w:r>
        <w:r w:rsidR="007C143B">
          <w:rPr>
            <w:rFonts w:asciiTheme="minorHAnsi" w:eastAsiaTheme="minorEastAsia" w:hAnsiTheme="minorHAnsi" w:cstheme="minorBidi"/>
            <w:noProof/>
            <w:snapToGrid/>
            <w:color w:val="auto"/>
            <w:kern w:val="2"/>
            <w14:ligatures w14:val="standardContextual"/>
          </w:rPr>
          <w:tab/>
        </w:r>
        <w:r w:rsidR="007C143B" w:rsidRPr="00CF493A">
          <w:rPr>
            <w:rStyle w:val="Hyperlink"/>
            <w:noProof/>
          </w:rPr>
          <w:t>Rationale</w:t>
        </w:r>
        <w:r w:rsidR="007C143B">
          <w:rPr>
            <w:noProof/>
            <w:webHidden/>
          </w:rPr>
          <w:tab/>
        </w:r>
        <w:r w:rsidR="007C143B">
          <w:rPr>
            <w:noProof/>
            <w:webHidden/>
          </w:rPr>
          <w:fldChar w:fldCharType="begin"/>
        </w:r>
        <w:r w:rsidR="007C143B">
          <w:rPr>
            <w:noProof/>
            <w:webHidden/>
          </w:rPr>
          <w:instrText xml:space="preserve"> PAGEREF _Toc176419892 \h </w:instrText>
        </w:r>
        <w:r w:rsidR="007C143B">
          <w:rPr>
            <w:noProof/>
            <w:webHidden/>
          </w:rPr>
        </w:r>
        <w:r w:rsidR="007C143B">
          <w:rPr>
            <w:noProof/>
            <w:webHidden/>
          </w:rPr>
          <w:fldChar w:fldCharType="separate"/>
        </w:r>
        <w:r w:rsidR="00D947DB">
          <w:rPr>
            <w:noProof/>
            <w:webHidden/>
          </w:rPr>
          <w:t>10</w:t>
        </w:r>
        <w:r w:rsidR="007C143B">
          <w:rPr>
            <w:noProof/>
            <w:webHidden/>
          </w:rPr>
          <w:fldChar w:fldCharType="end"/>
        </w:r>
      </w:hyperlink>
    </w:p>
    <w:p w14:paraId="07E7F7AF" w14:textId="0201B592" w:rsidR="007C143B" w:rsidRDefault="003B13CC">
      <w:pPr>
        <w:pStyle w:val="TOC2"/>
        <w:rPr>
          <w:rFonts w:asciiTheme="minorHAnsi" w:eastAsiaTheme="minorEastAsia" w:hAnsiTheme="minorHAnsi" w:cstheme="minorBidi"/>
          <w:noProof/>
          <w:snapToGrid/>
          <w:color w:val="auto"/>
          <w:kern w:val="2"/>
          <w14:ligatures w14:val="standardContextual"/>
        </w:rPr>
      </w:pPr>
      <w:hyperlink w:anchor="_Toc176419893" w:history="1">
        <w:r w:rsidR="007C143B" w:rsidRPr="00CF493A">
          <w:rPr>
            <w:rStyle w:val="Hyperlink"/>
            <w:iCs/>
            <w:noProof/>
          </w:rPr>
          <w:t>2.4</w:t>
        </w:r>
        <w:r w:rsidR="007C143B">
          <w:rPr>
            <w:rFonts w:asciiTheme="minorHAnsi" w:eastAsiaTheme="minorEastAsia" w:hAnsiTheme="minorHAnsi" w:cstheme="minorBidi"/>
            <w:noProof/>
            <w:snapToGrid/>
            <w:color w:val="auto"/>
            <w:kern w:val="2"/>
            <w14:ligatures w14:val="standardContextual"/>
          </w:rPr>
          <w:tab/>
        </w:r>
        <w:r w:rsidR="007C143B" w:rsidRPr="00CF493A">
          <w:rPr>
            <w:rStyle w:val="Hyperlink"/>
            <w:noProof/>
          </w:rPr>
          <w:t>Correlative Studies Background</w:t>
        </w:r>
        <w:r w:rsidR="007C143B">
          <w:rPr>
            <w:noProof/>
            <w:webHidden/>
          </w:rPr>
          <w:tab/>
        </w:r>
        <w:r w:rsidR="007C143B">
          <w:rPr>
            <w:noProof/>
            <w:webHidden/>
          </w:rPr>
          <w:fldChar w:fldCharType="begin"/>
        </w:r>
        <w:r w:rsidR="007C143B">
          <w:rPr>
            <w:noProof/>
            <w:webHidden/>
          </w:rPr>
          <w:instrText xml:space="preserve"> PAGEREF _Toc176419893 \h </w:instrText>
        </w:r>
        <w:r w:rsidR="007C143B">
          <w:rPr>
            <w:noProof/>
            <w:webHidden/>
          </w:rPr>
        </w:r>
        <w:r w:rsidR="007C143B">
          <w:rPr>
            <w:noProof/>
            <w:webHidden/>
          </w:rPr>
          <w:fldChar w:fldCharType="separate"/>
        </w:r>
        <w:r w:rsidR="00D947DB">
          <w:rPr>
            <w:noProof/>
            <w:webHidden/>
          </w:rPr>
          <w:t>15</w:t>
        </w:r>
        <w:r w:rsidR="007C143B">
          <w:rPr>
            <w:noProof/>
            <w:webHidden/>
          </w:rPr>
          <w:fldChar w:fldCharType="end"/>
        </w:r>
      </w:hyperlink>
    </w:p>
    <w:p w14:paraId="691598FD" w14:textId="01601140" w:rsidR="007C143B" w:rsidRDefault="003B13CC">
      <w:pPr>
        <w:pStyle w:val="TOC1"/>
        <w:rPr>
          <w:rFonts w:asciiTheme="minorHAnsi" w:eastAsiaTheme="minorEastAsia" w:hAnsiTheme="minorHAnsi" w:cstheme="minorBidi"/>
          <w:snapToGrid/>
          <w:color w:val="auto"/>
          <w:kern w:val="2"/>
          <w14:ligatures w14:val="standardContextual"/>
        </w:rPr>
      </w:pPr>
      <w:hyperlink w:anchor="_Toc176419894" w:history="1">
        <w:r w:rsidR="007C143B" w:rsidRPr="00CF493A">
          <w:rPr>
            <w:rStyle w:val="Hyperlink"/>
          </w:rPr>
          <w:t>3.</w:t>
        </w:r>
        <w:r w:rsidR="007C143B">
          <w:rPr>
            <w:rFonts w:asciiTheme="minorHAnsi" w:eastAsiaTheme="minorEastAsia" w:hAnsiTheme="minorHAnsi" w:cstheme="minorBidi"/>
            <w:snapToGrid/>
            <w:color w:val="auto"/>
            <w:kern w:val="2"/>
            <w14:ligatures w14:val="standardContextual"/>
          </w:rPr>
          <w:tab/>
        </w:r>
        <w:r w:rsidR="007C143B" w:rsidRPr="00CF493A">
          <w:rPr>
            <w:rStyle w:val="Hyperlink"/>
          </w:rPr>
          <w:t>PATIENT SELECTION</w:t>
        </w:r>
        <w:r w:rsidR="007C143B">
          <w:rPr>
            <w:webHidden/>
          </w:rPr>
          <w:tab/>
        </w:r>
        <w:r w:rsidR="007C143B">
          <w:rPr>
            <w:webHidden/>
          </w:rPr>
          <w:fldChar w:fldCharType="begin"/>
        </w:r>
        <w:r w:rsidR="007C143B">
          <w:rPr>
            <w:webHidden/>
          </w:rPr>
          <w:instrText xml:space="preserve"> PAGEREF _Toc176419894 \h </w:instrText>
        </w:r>
        <w:r w:rsidR="007C143B">
          <w:rPr>
            <w:webHidden/>
          </w:rPr>
        </w:r>
        <w:r w:rsidR="007C143B">
          <w:rPr>
            <w:webHidden/>
          </w:rPr>
          <w:fldChar w:fldCharType="separate"/>
        </w:r>
        <w:r w:rsidR="00D947DB">
          <w:rPr>
            <w:webHidden/>
          </w:rPr>
          <w:t>17</w:t>
        </w:r>
        <w:r w:rsidR="007C143B">
          <w:rPr>
            <w:webHidden/>
          </w:rPr>
          <w:fldChar w:fldCharType="end"/>
        </w:r>
      </w:hyperlink>
    </w:p>
    <w:p w14:paraId="7C9B0663" w14:textId="40C9F355" w:rsidR="007C143B" w:rsidRDefault="003B13CC">
      <w:pPr>
        <w:pStyle w:val="TOC2"/>
        <w:rPr>
          <w:rFonts w:asciiTheme="minorHAnsi" w:eastAsiaTheme="minorEastAsia" w:hAnsiTheme="minorHAnsi" w:cstheme="minorBidi"/>
          <w:noProof/>
          <w:snapToGrid/>
          <w:color w:val="auto"/>
          <w:kern w:val="2"/>
          <w14:ligatures w14:val="standardContextual"/>
        </w:rPr>
      </w:pPr>
      <w:hyperlink w:anchor="_Toc176419895" w:history="1">
        <w:r w:rsidR="007C143B" w:rsidRPr="00CF493A">
          <w:rPr>
            <w:rStyle w:val="Hyperlink"/>
            <w:iCs/>
            <w:noProof/>
          </w:rPr>
          <w:t>3.1</w:t>
        </w:r>
        <w:r w:rsidR="007C143B">
          <w:rPr>
            <w:rFonts w:asciiTheme="minorHAnsi" w:eastAsiaTheme="minorEastAsia" w:hAnsiTheme="minorHAnsi" w:cstheme="minorBidi"/>
            <w:noProof/>
            <w:snapToGrid/>
            <w:color w:val="auto"/>
            <w:kern w:val="2"/>
            <w14:ligatures w14:val="standardContextual"/>
          </w:rPr>
          <w:tab/>
        </w:r>
        <w:r w:rsidR="007C143B" w:rsidRPr="00CF493A">
          <w:rPr>
            <w:rStyle w:val="Hyperlink"/>
            <w:noProof/>
          </w:rPr>
          <w:t>Eligibility Criteria</w:t>
        </w:r>
        <w:r w:rsidR="007C143B">
          <w:rPr>
            <w:noProof/>
            <w:webHidden/>
          </w:rPr>
          <w:tab/>
        </w:r>
        <w:r w:rsidR="007C143B">
          <w:rPr>
            <w:noProof/>
            <w:webHidden/>
          </w:rPr>
          <w:fldChar w:fldCharType="begin"/>
        </w:r>
        <w:r w:rsidR="007C143B">
          <w:rPr>
            <w:noProof/>
            <w:webHidden/>
          </w:rPr>
          <w:instrText xml:space="preserve"> PAGEREF _Toc176419895 \h </w:instrText>
        </w:r>
        <w:r w:rsidR="007C143B">
          <w:rPr>
            <w:noProof/>
            <w:webHidden/>
          </w:rPr>
        </w:r>
        <w:r w:rsidR="007C143B">
          <w:rPr>
            <w:noProof/>
            <w:webHidden/>
          </w:rPr>
          <w:fldChar w:fldCharType="separate"/>
        </w:r>
        <w:r w:rsidR="00D947DB">
          <w:rPr>
            <w:noProof/>
            <w:webHidden/>
          </w:rPr>
          <w:t>17</w:t>
        </w:r>
        <w:r w:rsidR="007C143B">
          <w:rPr>
            <w:noProof/>
            <w:webHidden/>
          </w:rPr>
          <w:fldChar w:fldCharType="end"/>
        </w:r>
      </w:hyperlink>
    </w:p>
    <w:p w14:paraId="6250F40E" w14:textId="474A5919" w:rsidR="007C143B" w:rsidRDefault="003B13CC">
      <w:pPr>
        <w:pStyle w:val="TOC2"/>
        <w:rPr>
          <w:rFonts w:asciiTheme="minorHAnsi" w:eastAsiaTheme="minorEastAsia" w:hAnsiTheme="minorHAnsi" w:cstheme="minorBidi"/>
          <w:noProof/>
          <w:snapToGrid/>
          <w:color w:val="auto"/>
          <w:kern w:val="2"/>
          <w14:ligatures w14:val="standardContextual"/>
        </w:rPr>
      </w:pPr>
      <w:hyperlink w:anchor="_Toc176419896" w:history="1">
        <w:r w:rsidR="007C143B" w:rsidRPr="00CF493A">
          <w:rPr>
            <w:rStyle w:val="Hyperlink"/>
            <w:iCs/>
            <w:noProof/>
          </w:rPr>
          <w:t>3.2</w:t>
        </w:r>
        <w:r w:rsidR="007C143B">
          <w:rPr>
            <w:rFonts w:asciiTheme="minorHAnsi" w:eastAsiaTheme="minorEastAsia" w:hAnsiTheme="minorHAnsi" w:cstheme="minorBidi"/>
            <w:noProof/>
            <w:snapToGrid/>
            <w:color w:val="auto"/>
            <w:kern w:val="2"/>
            <w14:ligatures w14:val="standardContextual"/>
          </w:rPr>
          <w:tab/>
        </w:r>
        <w:r w:rsidR="007C143B" w:rsidRPr="00CF493A">
          <w:rPr>
            <w:rStyle w:val="Hyperlink"/>
            <w:noProof/>
          </w:rPr>
          <w:t>Exclusion Criteria</w:t>
        </w:r>
        <w:r w:rsidR="007C143B">
          <w:rPr>
            <w:noProof/>
            <w:webHidden/>
          </w:rPr>
          <w:tab/>
        </w:r>
        <w:r w:rsidR="007C143B">
          <w:rPr>
            <w:noProof/>
            <w:webHidden/>
          </w:rPr>
          <w:fldChar w:fldCharType="begin"/>
        </w:r>
        <w:r w:rsidR="007C143B">
          <w:rPr>
            <w:noProof/>
            <w:webHidden/>
          </w:rPr>
          <w:instrText xml:space="preserve"> PAGEREF _Toc176419896 \h </w:instrText>
        </w:r>
        <w:r w:rsidR="007C143B">
          <w:rPr>
            <w:noProof/>
            <w:webHidden/>
          </w:rPr>
        </w:r>
        <w:r w:rsidR="007C143B">
          <w:rPr>
            <w:noProof/>
            <w:webHidden/>
          </w:rPr>
          <w:fldChar w:fldCharType="separate"/>
        </w:r>
        <w:r w:rsidR="00D947DB">
          <w:rPr>
            <w:noProof/>
            <w:webHidden/>
          </w:rPr>
          <w:t>19</w:t>
        </w:r>
        <w:r w:rsidR="007C143B">
          <w:rPr>
            <w:noProof/>
            <w:webHidden/>
          </w:rPr>
          <w:fldChar w:fldCharType="end"/>
        </w:r>
      </w:hyperlink>
    </w:p>
    <w:p w14:paraId="56AFB319" w14:textId="1CF5AF71" w:rsidR="007C143B" w:rsidRDefault="003B13CC">
      <w:pPr>
        <w:pStyle w:val="TOC2"/>
        <w:rPr>
          <w:rFonts w:asciiTheme="minorHAnsi" w:eastAsiaTheme="minorEastAsia" w:hAnsiTheme="minorHAnsi" w:cstheme="minorBidi"/>
          <w:noProof/>
          <w:snapToGrid/>
          <w:color w:val="auto"/>
          <w:kern w:val="2"/>
          <w14:ligatures w14:val="standardContextual"/>
        </w:rPr>
      </w:pPr>
      <w:hyperlink w:anchor="_Toc176419897" w:history="1">
        <w:r w:rsidR="007C143B" w:rsidRPr="00CF493A">
          <w:rPr>
            <w:rStyle w:val="Hyperlink"/>
            <w:iCs/>
            <w:noProof/>
          </w:rPr>
          <w:t>3.3</w:t>
        </w:r>
        <w:r w:rsidR="007C143B">
          <w:rPr>
            <w:rFonts w:asciiTheme="minorHAnsi" w:eastAsiaTheme="minorEastAsia" w:hAnsiTheme="minorHAnsi" w:cstheme="minorBidi"/>
            <w:noProof/>
            <w:snapToGrid/>
            <w:color w:val="auto"/>
            <w:kern w:val="2"/>
            <w14:ligatures w14:val="standardContextual"/>
          </w:rPr>
          <w:tab/>
        </w:r>
        <w:r w:rsidR="007C143B" w:rsidRPr="00CF493A">
          <w:rPr>
            <w:rStyle w:val="Hyperlink"/>
            <w:noProof/>
          </w:rPr>
          <w:t>Inclusion of Women and Minorities</w:t>
        </w:r>
        <w:r w:rsidR="007C143B">
          <w:rPr>
            <w:noProof/>
            <w:webHidden/>
          </w:rPr>
          <w:tab/>
        </w:r>
        <w:r w:rsidR="007C143B">
          <w:rPr>
            <w:noProof/>
            <w:webHidden/>
          </w:rPr>
          <w:fldChar w:fldCharType="begin"/>
        </w:r>
        <w:r w:rsidR="007C143B">
          <w:rPr>
            <w:noProof/>
            <w:webHidden/>
          </w:rPr>
          <w:instrText xml:space="preserve"> PAGEREF _Toc176419897 \h </w:instrText>
        </w:r>
        <w:r w:rsidR="007C143B">
          <w:rPr>
            <w:noProof/>
            <w:webHidden/>
          </w:rPr>
        </w:r>
        <w:r w:rsidR="007C143B">
          <w:rPr>
            <w:noProof/>
            <w:webHidden/>
          </w:rPr>
          <w:fldChar w:fldCharType="separate"/>
        </w:r>
        <w:r w:rsidR="00D947DB">
          <w:rPr>
            <w:noProof/>
            <w:webHidden/>
          </w:rPr>
          <w:t>20</w:t>
        </w:r>
        <w:r w:rsidR="007C143B">
          <w:rPr>
            <w:noProof/>
            <w:webHidden/>
          </w:rPr>
          <w:fldChar w:fldCharType="end"/>
        </w:r>
      </w:hyperlink>
    </w:p>
    <w:p w14:paraId="2D76A325" w14:textId="4F4D883B" w:rsidR="007C143B" w:rsidRDefault="003B13CC">
      <w:pPr>
        <w:pStyle w:val="TOC1"/>
        <w:rPr>
          <w:rFonts w:asciiTheme="minorHAnsi" w:eastAsiaTheme="minorEastAsia" w:hAnsiTheme="minorHAnsi" w:cstheme="minorBidi"/>
          <w:snapToGrid/>
          <w:color w:val="auto"/>
          <w:kern w:val="2"/>
          <w14:ligatures w14:val="standardContextual"/>
        </w:rPr>
      </w:pPr>
      <w:hyperlink w:anchor="_Toc176419898" w:history="1">
        <w:r w:rsidR="007C143B" w:rsidRPr="00CF493A">
          <w:rPr>
            <w:rStyle w:val="Hyperlink"/>
          </w:rPr>
          <w:t>4.</w:t>
        </w:r>
        <w:r w:rsidR="007C143B">
          <w:rPr>
            <w:rFonts w:asciiTheme="minorHAnsi" w:eastAsiaTheme="minorEastAsia" w:hAnsiTheme="minorHAnsi" w:cstheme="minorBidi"/>
            <w:snapToGrid/>
            <w:color w:val="auto"/>
            <w:kern w:val="2"/>
            <w14:ligatures w14:val="standardContextual"/>
          </w:rPr>
          <w:tab/>
        </w:r>
        <w:r w:rsidR="007C143B" w:rsidRPr="00CF493A">
          <w:rPr>
            <w:rStyle w:val="Hyperlink"/>
          </w:rPr>
          <w:t>REGISTRATION PROCEDURES</w:t>
        </w:r>
        <w:r w:rsidR="007C143B">
          <w:rPr>
            <w:webHidden/>
          </w:rPr>
          <w:tab/>
        </w:r>
        <w:r w:rsidR="007C143B">
          <w:rPr>
            <w:webHidden/>
          </w:rPr>
          <w:fldChar w:fldCharType="begin"/>
        </w:r>
        <w:r w:rsidR="007C143B">
          <w:rPr>
            <w:webHidden/>
          </w:rPr>
          <w:instrText xml:space="preserve"> PAGEREF _Toc176419898 \h </w:instrText>
        </w:r>
        <w:r w:rsidR="007C143B">
          <w:rPr>
            <w:webHidden/>
          </w:rPr>
        </w:r>
        <w:r w:rsidR="007C143B">
          <w:rPr>
            <w:webHidden/>
          </w:rPr>
          <w:fldChar w:fldCharType="separate"/>
        </w:r>
        <w:r w:rsidR="00D947DB">
          <w:rPr>
            <w:webHidden/>
          </w:rPr>
          <w:t>20</w:t>
        </w:r>
        <w:r w:rsidR="007C143B">
          <w:rPr>
            <w:webHidden/>
          </w:rPr>
          <w:fldChar w:fldCharType="end"/>
        </w:r>
      </w:hyperlink>
    </w:p>
    <w:p w14:paraId="3B5D8CD9" w14:textId="0242268B" w:rsidR="007C143B" w:rsidRDefault="003B13CC">
      <w:pPr>
        <w:pStyle w:val="TOC2"/>
        <w:rPr>
          <w:rFonts w:asciiTheme="minorHAnsi" w:eastAsiaTheme="minorEastAsia" w:hAnsiTheme="minorHAnsi" w:cstheme="minorBidi"/>
          <w:noProof/>
          <w:snapToGrid/>
          <w:color w:val="auto"/>
          <w:kern w:val="2"/>
          <w14:ligatures w14:val="standardContextual"/>
        </w:rPr>
      </w:pPr>
      <w:hyperlink w:anchor="_Toc176419899" w:history="1">
        <w:r w:rsidR="007C143B" w:rsidRPr="00CF493A">
          <w:rPr>
            <w:rStyle w:val="Hyperlink"/>
            <w:iCs/>
            <w:noProof/>
          </w:rPr>
          <w:t>4.1</w:t>
        </w:r>
        <w:r w:rsidR="007C143B">
          <w:rPr>
            <w:rFonts w:asciiTheme="minorHAnsi" w:eastAsiaTheme="minorEastAsia" w:hAnsiTheme="minorHAnsi" w:cstheme="minorBidi"/>
            <w:noProof/>
            <w:snapToGrid/>
            <w:color w:val="auto"/>
            <w:kern w:val="2"/>
            <w14:ligatures w14:val="standardContextual"/>
          </w:rPr>
          <w:tab/>
        </w:r>
        <w:r w:rsidR="007C143B" w:rsidRPr="00CF493A">
          <w:rPr>
            <w:rStyle w:val="Hyperlink"/>
            <w:noProof/>
          </w:rPr>
          <w:t>Investigator and Research Associate Registration with CTEP</w:t>
        </w:r>
        <w:r w:rsidR="007C143B">
          <w:rPr>
            <w:noProof/>
            <w:webHidden/>
          </w:rPr>
          <w:tab/>
        </w:r>
        <w:r w:rsidR="007C143B">
          <w:rPr>
            <w:noProof/>
            <w:webHidden/>
          </w:rPr>
          <w:fldChar w:fldCharType="begin"/>
        </w:r>
        <w:r w:rsidR="007C143B">
          <w:rPr>
            <w:noProof/>
            <w:webHidden/>
          </w:rPr>
          <w:instrText xml:space="preserve"> PAGEREF _Toc176419899 \h </w:instrText>
        </w:r>
        <w:r w:rsidR="007C143B">
          <w:rPr>
            <w:noProof/>
            <w:webHidden/>
          </w:rPr>
        </w:r>
        <w:r w:rsidR="007C143B">
          <w:rPr>
            <w:noProof/>
            <w:webHidden/>
          </w:rPr>
          <w:fldChar w:fldCharType="separate"/>
        </w:r>
        <w:r w:rsidR="00D947DB">
          <w:rPr>
            <w:noProof/>
            <w:webHidden/>
          </w:rPr>
          <w:t>20</w:t>
        </w:r>
        <w:r w:rsidR="007C143B">
          <w:rPr>
            <w:noProof/>
            <w:webHidden/>
          </w:rPr>
          <w:fldChar w:fldCharType="end"/>
        </w:r>
      </w:hyperlink>
    </w:p>
    <w:p w14:paraId="0EF12279" w14:textId="3A8C7D31" w:rsidR="007C143B" w:rsidRDefault="003B13CC">
      <w:pPr>
        <w:pStyle w:val="TOC2"/>
        <w:rPr>
          <w:rFonts w:asciiTheme="minorHAnsi" w:eastAsiaTheme="minorEastAsia" w:hAnsiTheme="minorHAnsi" w:cstheme="minorBidi"/>
          <w:noProof/>
          <w:snapToGrid/>
          <w:color w:val="auto"/>
          <w:kern w:val="2"/>
          <w14:ligatures w14:val="standardContextual"/>
        </w:rPr>
      </w:pPr>
      <w:hyperlink w:anchor="_Toc176419900" w:history="1">
        <w:r w:rsidR="007C143B" w:rsidRPr="00CF493A">
          <w:rPr>
            <w:rStyle w:val="Hyperlink"/>
            <w:iCs/>
            <w:noProof/>
          </w:rPr>
          <w:t>4.2</w:t>
        </w:r>
        <w:r w:rsidR="007C143B">
          <w:rPr>
            <w:rFonts w:asciiTheme="minorHAnsi" w:eastAsiaTheme="minorEastAsia" w:hAnsiTheme="minorHAnsi" w:cstheme="minorBidi"/>
            <w:noProof/>
            <w:snapToGrid/>
            <w:color w:val="auto"/>
            <w:kern w:val="2"/>
            <w14:ligatures w14:val="standardContextual"/>
          </w:rPr>
          <w:tab/>
        </w:r>
        <w:r w:rsidR="007C143B" w:rsidRPr="00CF493A">
          <w:rPr>
            <w:rStyle w:val="Hyperlink"/>
            <w:noProof/>
          </w:rPr>
          <w:t>Site Registration</w:t>
        </w:r>
        <w:r w:rsidR="007C143B">
          <w:rPr>
            <w:noProof/>
            <w:webHidden/>
          </w:rPr>
          <w:tab/>
        </w:r>
        <w:r w:rsidR="007C143B">
          <w:rPr>
            <w:noProof/>
            <w:webHidden/>
          </w:rPr>
          <w:fldChar w:fldCharType="begin"/>
        </w:r>
        <w:r w:rsidR="007C143B">
          <w:rPr>
            <w:noProof/>
            <w:webHidden/>
          </w:rPr>
          <w:instrText xml:space="preserve"> PAGEREF _Toc176419900 \h </w:instrText>
        </w:r>
        <w:r w:rsidR="007C143B">
          <w:rPr>
            <w:noProof/>
            <w:webHidden/>
          </w:rPr>
        </w:r>
        <w:r w:rsidR="007C143B">
          <w:rPr>
            <w:noProof/>
            <w:webHidden/>
          </w:rPr>
          <w:fldChar w:fldCharType="separate"/>
        </w:r>
        <w:r w:rsidR="00D947DB">
          <w:rPr>
            <w:noProof/>
            <w:webHidden/>
          </w:rPr>
          <w:t>21</w:t>
        </w:r>
        <w:r w:rsidR="007C143B">
          <w:rPr>
            <w:noProof/>
            <w:webHidden/>
          </w:rPr>
          <w:fldChar w:fldCharType="end"/>
        </w:r>
      </w:hyperlink>
    </w:p>
    <w:p w14:paraId="53C433ED" w14:textId="60A66CE0" w:rsidR="007C143B" w:rsidRDefault="003B13CC">
      <w:pPr>
        <w:pStyle w:val="TOC2"/>
        <w:rPr>
          <w:rFonts w:asciiTheme="minorHAnsi" w:eastAsiaTheme="minorEastAsia" w:hAnsiTheme="minorHAnsi" w:cstheme="minorBidi"/>
          <w:noProof/>
          <w:snapToGrid/>
          <w:color w:val="auto"/>
          <w:kern w:val="2"/>
          <w14:ligatures w14:val="standardContextual"/>
        </w:rPr>
      </w:pPr>
      <w:hyperlink w:anchor="_Toc176419901" w:history="1">
        <w:r w:rsidR="007C143B" w:rsidRPr="00CF493A">
          <w:rPr>
            <w:rStyle w:val="Hyperlink"/>
            <w:iCs/>
            <w:noProof/>
          </w:rPr>
          <w:t>4.3</w:t>
        </w:r>
        <w:r w:rsidR="007C143B">
          <w:rPr>
            <w:rFonts w:asciiTheme="minorHAnsi" w:eastAsiaTheme="minorEastAsia" w:hAnsiTheme="minorHAnsi" w:cstheme="minorBidi"/>
            <w:noProof/>
            <w:snapToGrid/>
            <w:color w:val="auto"/>
            <w:kern w:val="2"/>
            <w14:ligatures w14:val="standardContextual"/>
          </w:rPr>
          <w:tab/>
        </w:r>
        <w:r w:rsidR="007C143B" w:rsidRPr="00CF493A">
          <w:rPr>
            <w:rStyle w:val="Hyperlink"/>
            <w:noProof/>
          </w:rPr>
          <w:t>Patient Registration</w:t>
        </w:r>
        <w:r w:rsidR="007C143B">
          <w:rPr>
            <w:noProof/>
            <w:webHidden/>
          </w:rPr>
          <w:tab/>
        </w:r>
        <w:r w:rsidR="007C143B">
          <w:rPr>
            <w:noProof/>
            <w:webHidden/>
          </w:rPr>
          <w:fldChar w:fldCharType="begin"/>
        </w:r>
        <w:r w:rsidR="007C143B">
          <w:rPr>
            <w:noProof/>
            <w:webHidden/>
          </w:rPr>
          <w:instrText xml:space="preserve"> PAGEREF _Toc176419901 \h </w:instrText>
        </w:r>
        <w:r w:rsidR="007C143B">
          <w:rPr>
            <w:noProof/>
            <w:webHidden/>
          </w:rPr>
        </w:r>
        <w:r w:rsidR="007C143B">
          <w:rPr>
            <w:noProof/>
            <w:webHidden/>
          </w:rPr>
          <w:fldChar w:fldCharType="separate"/>
        </w:r>
        <w:r w:rsidR="00D947DB">
          <w:rPr>
            <w:noProof/>
            <w:webHidden/>
          </w:rPr>
          <w:t>24</w:t>
        </w:r>
        <w:r w:rsidR="007C143B">
          <w:rPr>
            <w:noProof/>
            <w:webHidden/>
          </w:rPr>
          <w:fldChar w:fldCharType="end"/>
        </w:r>
      </w:hyperlink>
    </w:p>
    <w:p w14:paraId="2908FF3D" w14:textId="7B3C0F7D" w:rsidR="007C143B" w:rsidRDefault="003B13CC">
      <w:pPr>
        <w:pStyle w:val="TOC2"/>
        <w:rPr>
          <w:rFonts w:asciiTheme="minorHAnsi" w:eastAsiaTheme="minorEastAsia" w:hAnsiTheme="minorHAnsi" w:cstheme="minorBidi"/>
          <w:noProof/>
          <w:snapToGrid/>
          <w:color w:val="auto"/>
          <w:kern w:val="2"/>
          <w14:ligatures w14:val="standardContextual"/>
        </w:rPr>
      </w:pPr>
      <w:hyperlink w:anchor="_Toc176419902" w:history="1">
        <w:r w:rsidR="007C143B" w:rsidRPr="00CF493A">
          <w:rPr>
            <w:rStyle w:val="Hyperlink"/>
            <w:bCs/>
            <w:iCs/>
            <w:noProof/>
          </w:rPr>
          <w:t>4.4</w:t>
        </w:r>
        <w:r w:rsidR="007C143B">
          <w:rPr>
            <w:rFonts w:asciiTheme="minorHAnsi" w:eastAsiaTheme="minorEastAsia" w:hAnsiTheme="minorHAnsi" w:cstheme="minorBidi"/>
            <w:noProof/>
            <w:snapToGrid/>
            <w:color w:val="auto"/>
            <w:kern w:val="2"/>
            <w14:ligatures w14:val="standardContextual"/>
          </w:rPr>
          <w:tab/>
        </w:r>
        <w:r w:rsidR="007C143B" w:rsidRPr="00CF493A">
          <w:rPr>
            <w:rStyle w:val="Hyperlink"/>
            <w:noProof/>
          </w:rPr>
          <w:t>General Guidelines</w:t>
        </w:r>
        <w:r w:rsidR="007C143B">
          <w:rPr>
            <w:noProof/>
            <w:webHidden/>
          </w:rPr>
          <w:tab/>
        </w:r>
        <w:r w:rsidR="007C143B">
          <w:rPr>
            <w:noProof/>
            <w:webHidden/>
          </w:rPr>
          <w:fldChar w:fldCharType="begin"/>
        </w:r>
        <w:r w:rsidR="007C143B">
          <w:rPr>
            <w:noProof/>
            <w:webHidden/>
          </w:rPr>
          <w:instrText xml:space="preserve"> PAGEREF _Toc176419902 \h </w:instrText>
        </w:r>
        <w:r w:rsidR="007C143B">
          <w:rPr>
            <w:noProof/>
            <w:webHidden/>
          </w:rPr>
        </w:r>
        <w:r w:rsidR="007C143B">
          <w:rPr>
            <w:noProof/>
            <w:webHidden/>
          </w:rPr>
          <w:fldChar w:fldCharType="separate"/>
        </w:r>
        <w:r w:rsidR="00D947DB">
          <w:rPr>
            <w:noProof/>
            <w:webHidden/>
          </w:rPr>
          <w:t>26</w:t>
        </w:r>
        <w:r w:rsidR="007C143B">
          <w:rPr>
            <w:noProof/>
            <w:webHidden/>
          </w:rPr>
          <w:fldChar w:fldCharType="end"/>
        </w:r>
      </w:hyperlink>
    </w:p>
    <w:p w14:paraId="59348F77" w14:textId="0BDB9C92" w:rsidR="007C143B" w:rsidRDefault="003B13CC">
      <w:pPr>
        <w:pStyle w:val="TOC1"/>
        <w:rPr>
          <w:rFonts w:asciiTheme="minorHAnsi" w:eastAsiaTheme="minorEastAsia" w:hAnsiTheme="minorHAnsi" w:cstheme="minorBidi"/>
          <w:snapToGrid/>
          <w:color w:val="auto"/>
          <w:kern w:val="2"/>
          <w14:ligatures w14:val="standardContextual"/>
        </w:rPr>
      </w:pPr>
      <w:hyperlink w:anchor="_Toc176419903" w:history="1">
        <w:r w:rsidR="007C143B" w:rsidRPr="00CF493A">
          <w:rPr>
            <w:rStyle w:val="Hyperlink"/>
          </w:rPr>
          <w:t>5.</w:t>
        </w:r>
        <w:r w:rsidR="007C143B">
          <w:rPr>
            <w:rFonts w:asciiTheme="minorHAnsi" w:eastAsiaTheme="minorEastAsia" w:hAnsiTheme="minorHAnsi" w:cstheme="minorBidi"/>
            <w:snapToGrid/>
            <w:color w:val="auto"/>
            <w:kern w:val="2"/>
            <w14:ligatures w14:val="standardContextual"/>
          </w:rPr>
          <w:tab/>
        </w:r>
        <w:r w:rsidR="007C143B" w:rsidRPr="00CF493A">
          <w:rPr>
            <w:rStyle w:val="Hyperlink"/>
          </w:rPr>
          <w:t>BIOMARKER, CORRELATIVE, AND SPECIAL STUDIES</w:t>
        </w:r>
        <w:r w:rsidR="007C143B">
          <w:rPr>
            <w:webHidden/>
          </w:rPr>
          <w:tab/>
        </w:r>
        <w:r w:rsidR="007C143B">
          <w:rPr>
            <w:webHidden/>
          </w:rPr>
          <w:fldChar w:fldCharType="begin"/>
        </w:r>
        <w:r w:rsidR="007C143B">
          <w:rPr>
            <w:webHidden/>
          </w:rPr>
          <w:instrText xml:space="preserve"> PAGEREF _Toc176419903 \h </w:instrText>
        </w:r>
        <w:r w:rsidR="007C143B">
          <w:rPr>
            <w:webHidden/>
          </w:rPr>
        </w:r>
        <w:r w:rsidR="007C143B">
          <w:rPr>
            <w:webHidden/>
          </w:rPr>
          <w:fldChar w:fldCharType="separate"/>
        </w:r>
        <w:r w:rsidR="00D947DB">
          <w:rPr>
            <w:webHidden/>
          </w:rPr>
          <w:t>27</w:t>
        </w:r>
        <w:r w:rsidR="007C143B">
          <w:rPr>
            <w:webHidden/>
          </w:rPr>
          <w:fldChar w:fldCharType="end"/>
        </w:r>
      </w:hyperlink>
    </w:p>
    <w:p w14:paraId="5070ACEF" w14:textId="55EF1A82" w:rsidR="007C143B" w:rsidRDefault="003B13CC">
      <w:pPr>
        <w:pStyle w:val="TOC2"/>
        <w:rPr>
          <w:rFonts w:asciiTheme="minorHAnsi" w:eastAsiaTheme="minorEastAsia" w:hAnsiTheme="minorHAnsi" w:cstheme="minorBidi"/>
          <w:noProof/>
          <w:snapToGrid/>
          <w:color w:val="auto"/>
          <w:kern w:val="2"/>
          <w14:ligatures w14:val="standardContextual"/>
        </w:rPr>
      </w:pPr>
      <w:hyperlink w:anchor="_Toc176419904" w:history="1">
        <w:r w:rsidR="007C143B" w:rsidRPr="00CF493A">
          <w:rPr>
            <w:rStyle w:val="Hyperlink"/>
            <w:iCs/>
            <w:noProof/>
          </w:rPr>
          <w:t>5.1</w:t>
        </w:r>
        <w:r w:rsidR="007C143B">
          <w:rPr>
            <w:rFonts w:asciiTheme="minorHAnsi" w:eastAsiaTheme="minorEastAsia" w:hAnsiTheme="minorHAnsi" w:cstheme="minorBidi"/>
            <w:noProof/>
            <w:snapToGrid/>
            <w:color w:val="auto"/>
            <w:kern w:val="2"/>
            <w14:ligatures w14:val="standardContextual"/>
          </w:rPr>
          <w:tab/>
        </w:r>
        <w:r w:rsidR="007C143B" w:rsidRPr="00CF493A">
          <w:rPr>
            <w:rStyle w:val="Hyperlink"/>
            <w:noProof/>
          </w:rPr>
          <w:t>Summary Table for Specimen Collection</w:t>
        </w:r>
        <w:r w:rsidR="007C143B">
          <w:rPr>
            <w:noProof/>
            <w:webHidden/>
          </w:rPr>
          <w:tab/>
        </w:r>
        <w:r w:rsidR="007C143B">
          <w:rPr>
            <w:noProof/>
            <w:webHidden/>
          </w:rPr>
          <w:fldChar w:fldCharType="begin"/>
        </w:r>
        <w:r w:rsidR="007C143B">
          <w:rPr>
            <w:noProof/>
            <w:webHidden/>
          </w:rPr>
          <w:instrText xml:space="preserve"> PAGEREF _Toc176419904 \h </w:instrText>
        </w:r>
        <w:r w:rsidR="007C143B">
          <w:rPr>
            <w:noProof/>
            <w:webHidden/>
          </w:rPr>
        </w:r>
        <w:r w:rsidR="007C143B">
          <w:rPr>
            <w:noProof/>
            <w:webHidden/>
          </w:rPr>
          <w:fldChar w:fldCharType="separate"/>
        </w:r>
        <w:r w:rsidR="00D947DB">
          <w:rPr>
            <w:noProof/>
            <w:webHidden/>
          </w:rPr>
          <w:t>27</w:t>
        </w:r>
        <w:r w:rsidR="007C143B">
          <w:rPr>
            <w:noProof/>
            <w:webHidden/>
          </w:rPr>
          <w:fldChar w:fldCharType="end"/>
        </w:r>
      </w:hyperlink>
    </w:p>
    <w:p w14:paraId="0DA72B76" w14:textId="119C84F7" w:rsidR="007C143B" w:rsidRDefault="003B13CC">
      <w:pPr>
        <w:pStyle w:val="TOC2"/>
        <w:rPr>
          <w:rFonts w:asciiTheme="minorHAnsi" w:eastAsiaTheme="minorEastAsia" w:hAnsiTheme="minorHAnsi" w:cstheme="minorBidi"/>
          <w:noProof/>
          <w:snapToGrid/>
          <w:color w:val="auto"/>
          <w:kern w:val="2"/>
          <w14:ligatures w14:val="standardContextual"/>
        </w:rPr>
      </w:pPr>
      <w:hyperlink w:anchor="_Toc176419905" w:history="1">
        <w:r w:rsidR="007C143B" w:rsidRPr="00CF493A">
          <w:rPr>
            <w:rStyle w:val="Hyperlink"/>
            <w:iCs/>
            <w:noProof/>
          </w:rPr>
          <w:t>5.2</w:t>
        </w:r>
        <w:r w:rsidR="007C143B">
          <w:rPr>
            <w:rFonts w:asciiTheme="minorHAnsi" w:eastAsiaTheme="minorEastAsia" w:hAnsiTheme="minorHAnsi" w:cstheme="minorBidi"/>
            <w:noProof/>
            <w:snapToGrid/>
            <w:color w:val="auto"/>
            <w:kern w:val="2"/>
            <w14:ligatures w14:val="standardContextual"/>
          </w:rPr>
          <w:tab/>
        </w:r>
        <w:r w:rsidR="007C143B" w:rsidRPr="00CF493A">
          <w:rPr>
            <w:rStyle w:val="Hyperlink"/>
            <w:noProof/>
          </w:rPr>
          <w:t>Summary Table(s) for Interventional Radiologist for Research Biopsies</w:t>
        </w:r>
        <w:r w:rsidR="007C143B">
          <w:rPr>
            <w:noProof/>
            <w:webHidden/>
          </w:rPr>
          <w:tab/>
        </w:r>
        <w:r w:rsidR="007C143B">
          <w:rPr>
            <w:noProof/>
            <w:webHidden/>
          </w:rPr>
          <w:fldChar w:fldCharType="begin"/>
        </w:r>
        <w:r w:rsidR="007C143B">
          <w:rPr>
            <w:noProof/>
            <w:webHidden/>
          </w:rPr>
          <w:instrText xml:space="preserve"> PAGEREF _Toc176419905 \h </w:instrText>
        </w:r>
        <w:r w:rsidR="007C143B">
          <w:rPr>
            <w:noProof/>
            <w:webHidden/>
          </w:rPr>
        </w:r>
        <w:r w:rsidR="007C143B">
          <w:rPr>
            <w:noProof/>
            <w:webHidden/>
          </w:rPr>
          <w:fldChar w:fldCharType="separate"/>
        </w:r>
        <w:r w:rsidR="00D947DB">
          <w:rPr>
            <w:noProof/>
            <w:webHidden/>
          </w:rPr>
          <w:t>28</w:t>
        </w:r>
        <w:r w:rsidR="007C143B">
          <w:rPr>
            <w:noProof/>
            <w:webHidden/>
          </w:rPr>
          <w:fldChar w:fldCharType="end"/>
        </w:r>
      </w:hyperlink>
    </w:p>
    <w:p w14:paraId="613B1127" w14:textId="34D9668C" w:rsidR="007C143B" w:rsidRDefault="003B13CC">
      <w:pPr>
        <w:pStyle w:val="TOC2"/>
        <w:rPr>
          <w:rFonts w:asciiTheme="minorHAnsi" w:eastAsiaTheme="minorEastAsia" w:hAnsiTheme="minorHAnsi" w:cstheme="minorBidi"/>
          <w:noProof/>
          <w:snapToGrid/>
          <w:color w:val="auto"/>
          <w:kern w:val="2"/>
          <w14:ligatures w14:val="standardContextual"/>
        </w:rPr>
      </w:pPr>
      <w:hyperlink w:anchor="_Toc176419906" w:history="1">
        <w:r w:rsidR="007C143B" w:rsidRPr="00CF493A">
          <w:rPr>
            <w:rStyle w:val="Hyperlink"/>
            <w:iCs/>
            <w:noProof/>
          </w:rPr>
          <w:t>5.3</w:t>
        </w:r>
        <w:r w:rsidR="007C143B">
          <w:rPr>
            <w:rFonts w:asciiTheme="minorHAnsi" w:eastAsiaTheme="minorEastAsia" w:hAnsiTheme="minorHAnsi" w:cstheme="minorBidi"/>
            <w:noProof/>
            <w:snapToGrid/>
            <w:color w:val="auto"/>
            <w:kern w:val="2"/>
            <w14:ligatures w14:val="standardContextual"/>
          </w:rPr>
          <w:tab/>
        </w:r>
        <w:r w:rsidR="007C143B" w:rsidRPr="00CF493A">
          <w:rPr>
            <w:rStyle w:val="Hyperlink"/>
            <w:noProof/>
          </w:rPr>
          <w:t>Specimen Procurement Kits and Scheduling</w:t>
        </w:r>
        <w:r w:rsidR="007C143B">
          <w:rPr>
            <w:noProof/>
            <w:webHidden/>
          </w:rPr>
          <w:tab/>
        </w:r>
        <w:r w:rsidR="007C143B">
          <w:rPr>
            <w:noProof/>
            <w:webHidden/>
          </w:rPr>
          <w:fldChar w:fldCharType="begin"/>
        </w:r>
        <w:r w:rsidR="007C143B">
          <w:rPr>
            <w:noProof/>
            <w:webHidden/>
          </w:rPr>
          <w:instrText xml:space="preserve"> PAGEREF _Toc176419906 \h </w:instrText>
        </w:r>
        <w:r w:rsidR="007C143B">
          <w:rPr>
            <w:noProof/>
            <w:webHidden/>
          </w:rPr>
        </w:r>
        <w:r w:rsidR="007C143B">
          <w:rPr>
            <w:noProof/>
            <w:webHidden/>
          </w:rPr>
          <w:fldChar w:fldCharType="separate"/>
        </w:r>
        <w:r w:rsidR="00D947DB">
          <w:rPr>
            <w:noProof/>
            <w:webHidden/>
          </w:rPr>
          <w:t>28</w:t>
        </w:r>
        <w:r w:rsidR="007C143B">
          <w:rPr>
            <w:noProof/>
            <w:webHidden/>
          </w:rPr>
          <w:fldChar w:fldCharType="end"/>
        </w:r>
      </w:hyperlink>
    </w:p>
    <w:p w14:paraId="320DE35B" w14:textId="0C7E53C1" w:rsidR="007C143B" w:rsidRDefault="003B13CC">
      <w:pPr>
        <w:pStyle w:val="TOC2"/>
        <w:rPr>
          <w:rFonts w:asciiTheme="minorHAnsi" w:eastAsiaTheme="minorEastAsia" w:hAnsiTheme="minorHAnsi" w:cstheme="minorBidi"/>
          <w:noProof/>
          <w:snapToGrid/>
          <w:color w:val="auto"/>
          <w:kern w:val="2"/>
          <w14:ligatures w14:val="standardContextual"/>
        </w:rPr>
      </w:pPr>
      <w:hyperlink w:anchor="_Toc176419907" w:history="1">
        <w:r w:rsidR="007C143B" w:rsidRPr="00CF493A">
          <w:rPr>
            <w:rStyle w:val="Hyperlink"/>
            <w:iCs/>
            <w:noProof/>
          </w:rPr>
          <w:t>5.4</w:t>
        </w:r>
        <w:r w:rsidR="007C143B">
          <w:rPr>
            <w:rFonts w:asciiTheme="minorHAnsi" w:eastAsiaTheme="minorEastAsia" w:hAnsiTheme="minorHAnsi" w:cstheme="minorBidi"/>
            <w:noProof/>
            <w:snapToGrid/>
            <w:color w:val="auto"/>
            <w:kern w:val="2"/>
            <w14:ligatures w14:val="standardContextual"/>
          </w:rPr>
          <w:tab/>
        </w:r>
        <w:r w:rsidR="007C143B" w:rsidRPr="00CF493A">
          <w:rPr>
            <w:rStyle w:val="Hyperlink"/>
            <w:noProof/>
          </w:rPr>
          <w:t>Specimen Tracking System Instructions</w:t>
        </w:r>
        <w:r w:rsidR="007C143B">
          <w:rPr>
            <w:noProof/>
            <w:webHidden/>
          </w:rPr>
          <w:tab/>
        </w:r>
        <w:r w:rsidR="007C143B">
          <w:rPr>
            <w:noProof/>
            <w:webHidden/>
          </w:rPr>
          <w:fldChar w:fldCharType="begin"/>
        </w:r>
        <w:r w:rsidR="007C143B">
          <w:rPr>
            <w:noProof/>
            <w:webHidden/>
          </w:rPr>
          <w:instrText xml:space="preserve"> PAGEREF _Toc176419907 \h </w:instrText>
        </w:r>
        <w:r w:rsidR="007C143B">
          <w:rPr>
            <w:noProof/>
            <w:webHidden/>
          </w:rPr>
        </w:r>
        <w:r w:rsidR="007C143B">
          <w:rPr>
            <w:noProof/>
            <w:webHidden/>
          </w:rPr>
          <w:fldChar w:fldCharType="separate"/>
        </w:r>
        <w:r w:rsidR="00D947DB">
          <w:rPr>
            <w:noProof/>
            <w:webHidden/>
          </w:rPr>
          <w:t>29</w:t>
        </w:r>
        <w:r w:rsidR="007C143B">
          <w:rPr>
            <w:noProof/>
            <w:webHidden/>
          </w:rPr>
          <w:fldChar w:fldCharType="end"/>
        </w:r>
      </w:hyperlink>
    </w:p>
    <w:p w14:paraId="59D7D9E5" w14:textId="23452804" w:rsidR="007C143B" w:rsidRDefault="003B13CC">
      <w:pPr>
        <w:pStyle w:val="TOC2"/>
        <w:rPr>
          <w:rFonts w:asciiTheme="minorHAnsi" w:eastAsiaTheme="minorEastAsia" w:hAnsiTheme="minorHAnsi" w:cstheme="minorBidi"/>
          <w:noProof/>
          <w:snapToGrid/>
          <w:color w:val="auto"/>
          <w:kern w:val="2"/>
          <w14:ligatures w14:val="standardContextual"/>
        </w:rPr>
      </w:pPr>
      <w:hyperlink w:anchor="_Toc176419908" w:history="1">
        <w:r w:rsidR="007C143B" w:rsidRPr="00CF493A">
          <w:rPr>
            <w:rStyle w:val="Hyperlink"/>
            <w:iCs/>
            <w:noProof/>
          </w:rPr>
          <w:t>5.5</w:t>
        </w:r>
        <w:r w:rsidR="007C143B">
          <w:rPr>
            <w:rFonts w:asciiTheme="minorHAnsi" w:eastAsiaTheme="minorEastAsia" w:hAnsiTheme="minorHAnsi" w:cstheme="minorBidi"/>
            <w:noProof/>
            <w:snapToGrid/>
            <w:color w:val="auto"/>
            <w:kern w:val="2"/>
            <w14:ligatures w14:val="standardContextual"/>
          </w:rPr>
          <w:tab/>
        </w:r>
        <w:r w:rsidR="007C143B" w:rsidRPr="00CF493A">
          <w:rPr>
            <w:rStyle w:val="Hyperlink"/>
            <w:noProof/>
          </w:rPr>
          <w:t>Specimen Collection</w:t>
        </w:r>
        <w:r w:rsidR="007C143B">
          <w:rPr>
            <w:noProof/>
            <w:webHidden/>
          </w:rPr>
          <w:tab/>
        </w:r>
        <w:r w:rsidR="007C143B">
          <w:rPr>
            <w:noProof/>
            <w:webHidden/>
          </w:rPr>
          <w:fldChar w:fldCharType="begin"/>
        </w:r>
        <w:r w:rsidR="007C143B">
          <w:rPr>
            <w:noProof/>
            <w:webHidden/>
          </w:rPr>
          <w:instrText xml:space="preserve"> PAGEREF _Toc176419908 \h </w:instrText>
        </w:r>
        <w:r w:rsidR="007C143B">
          <w:rPr>
            <w:noProof/>
            <w:webHidden/>
          </w:rPr>
        </w:r>
        <w:r w:rsidR="007C143B">
          <w:rPr>
            <w:noProof/>
            <w:webHidden/>
          </w:rPr>
          <w:fldChar w:fldCharType="separate"/>
        </w:r>
        <w:r w:rsidR="00D947DB">
          <w:rPr>
            <w:noProof/>
            <w:webHidden/>
          </w:rPr>
          <w:t>34</w:t>
        </w:r>
        <w:r w:rsidR="007C143B">
          <w:rPr>
            <w:noProof/>
            <w:webHidden/>
          </w:rPr>
          <w:fldChar w:fldCharType="end"/>
        </w:r>
      </w:hyperlink>
    </w:p>
    <w:p w14:paraId="48CF1D1A" w14:textId="5974E969" w:rsidR="007C143B" w:rsidRDefault="003B13CC">
      <w:pPr>
        <w:pStyle w:val="TOC2"/>
        <w:rPr>
          <w:rFonts w:asciiTheme="minorHAnsi" w:eastAsiaTheme="minorEastAsia" w:hAnsiTheme="minorHAnsi" w:cstheme="minorBidi"/>
          <w:noProof/>
          <w:snapToGrid/>
          <w:color w:val="auto"/>
          <w:kern w:val="2"/>
          <w14:ligatures w14:val="standardContextual"/>
        </w:rPr>
      </w:pPr>
      <w:hyperlink w:anchor="_Toc176419909" w:history="1">
        <w:r w:rsidR="007C143B" w:rsidRPr="00CF493A">
          <w:rPr>
            <w:rStyle w:val="Hyperlink"/>
            <w:iCs/>
            <w:noProof/>
          </w:rPr>
          <w:t>5.6</w:t>
        </w:r>
        <w:r w:rsidR="007C143B">
          <w:rPr>
            <w:rFonts w:asciiTheme="minorHAnsi" w:eastAsiaTheme="minorEastAsia" w:hAnsiTheme="minorHAnsi" w:cstheme="minorBidi"/>
            <w:noProof/>
            <w:snapToGrid/>
            <w:color w:val="auto"/>
            <w:kern w:val="2"/>
            <w14:ligatures w14:val="standardContextual"/>
          </w:rPr>
          <w:tab/>
        </w:r>
        <w:r w:rsidR="007C143B" w:rsidRPr="00CF493A">
          <w:rPr>
            <w:rStyle w:val="Hyperlink"/>
            <w:noProof/>
          </w:rPr>
          <w:t>Shipping Specimens from Clinical Site to the EET Biobank</w:t>
        </w:r>
        <w:r w:rsidR="007C143B">
          <w:rPr>
            <w:noProof/>
            <w:webHidden/>
          </w:rPr>
          <w:tab/>
        </w:r>
        <w:r w:rsidR="007C143B">
          <w:rPr>
            <w:noProof/>
            <w:webHidden/>
          </w:rPr>
          <w:fldChar w:fldCharType="begin"/>
        </w:r>
        <w:r w:rsidR="007C143B">
          <w:rPr>
            <w:noProof/>
            <w:webHidden/>
          </w:rPr>
          <w:instrText xml:space="preserve"> PAGEREF _Toc176419909 \h </w:instrText>
        </w:r>
        <w:r w:rsidR="007C143B">
          <w:rPr>
            <w:noProof/>
            <w:webHidden/>
          </w:rPr>
        </w:r>
        <w:r w:rsidR="007C143B">
          <w:rPr>
            <w:noProof/>
            <w:webHidden/>
          </w:rPr>
          <w:fldChar w:fldCharType="separate"/>
        </w:r>
        <w:r w:rsidR="00D947DB">
          <w:rPr>
            <w:noProof/>
            <w:webHidden/>
          </w:rPr>
          <w:t>37</w:t>
        </w:r>
        <w:r w:rsidR="007C143B">
          <w:rPr>
            <w:noProof/>
            <w:webHidden/>
          </w:rPr>
          <w:fldChar w:fldCharType="end"/>
        </w:r>
      </w:hyperlink>
    </w:p>
    <w:p w14:paraId="4C9C5266" w14:textId="57C08A5F" w:rsidR="007C143B" w:rsidRDefault="003B13CC">
      <w:pPr>
        <w:pStyle w:val="TOC2"/>
        <w:rPr>
          <w:rFonts w:asciiTheme="minorHAnsi" w:eastAsiaTheme="minorEastAsia" w:hAnsiTheme="minorHAnsi" w:cstheme="minorBidi"/>
          <w:noProof/>
          <w:snapToGrid/>
          <w:color w:val="auto"/>
          <w:kern w:val="2"/>
          <w14:ligatures w14:val="standardContextual"/>
        </w:rPr>
      </w:pPr>
      <w:hyperlink w:anchor="_Toc176419910" w:history="1">
        <w:r w:rsidR="007C143B" w:rsidRPr="00CF493A">
          <w:rPr>
            <w:rStyle w:val="Hyperlink"/>
            <w:iCs/>
            <w:noProof/>
          </w:rPr>
          <w:t>5.7</w:t>
        </w:r>
        <w:r w:rsidR="007C143B">
          <w:rPr>
            <w:rFonts w:asciiTheme="minorHAnsi" w:eastAsiaTheme="minorEastAsia" w:hAnsiTheme="minorHAnsi" w:cstheme="minorBidi"/>
            <w:noProof/>
            <w:snapToGrid/>
            <w:color w:val="auto"/>
            <w:kern w:val="2"/>
            <w14:ligatures w14:val="standardContextual"/>
          </w:rPr>
          <w:tab/>
        </w:r>
        <w:r w:rsidR="007C143B" w:rsidRPr="00CF493A">
          <w:rPr>
            <w:rStyle w:val="Hyperlink"/>
            <w:noProof/>
          </w:rPr>
          <w:t>Shipping of Specimens from Clinical Site to Other Laboratories</w:t>
        </w:r>
        <w:r w:rsidR="007C143B">
          <w:rPr>
            <w:noProof/>
            <w:webHidden/>
          </w:rPr>
          <w:tab/>
        </w:r>
        <w:r w:rsidR="007C143B">
          <w:rPr>
            <w:noProof/>
            <w:webHidden/>
          </w:rPr>
          <w:fldChar w:fldCharType="begin"/>
        </w:r>
        <w:r w:rsidR="007C143B">
          <w:rPr>
            <w:noProof/>
            <w:webHidden/>
          </w:rPr>
          <w:instrText xml:space="preserve"> PAGEREF _Toc176419910 \h </w:instrText>
        </w:r>
        <w:r w:rsidR="007C143B">
          <w:rPr>
            <w:noProof/>
            <w:webHidden/>
          </w:rPr>
        </w:r>
        <w:r w:rsidR="007C143B">
          <w:rPr>
            <w:noProof/>
            <w:webHidden/>
          </w:rPr>
          <w:fldChar w:fldCharType="separate"/>
        </w:r>
        <w:r w:rsidR="00D947DB">
          <w:rPr>
            <w:noProof/>
            <w:webHidden/>
          </w:rPr>
          <w:t>39</w:t>
        </w:r>
        <w:r w:rsidR="007C143B">
          <w:rPr>
            <w:noProof/>
            <w:webHidden/>
          </w:rPr>
          <w:fldChar w:fldCharType="end"/>
        </w:r>
      </w:hyperlink>
    </w:p>
    <w:p w14:paraId="2411F8BC" w14:textId="72EF52E3" w:rsidR="007C143B" w:rsidRDefault="003B13CC">
      <w:pPr>
        <w:pStyle w:val="TOC2"/>
        <w:rPr>
          <w:rFonts w:asciiTheme="minorHAnsi" w:eastAsiaTheme="minorEastAsia" w:hAnsiTheme="minorHAnsi" w:cstheme="minorBidi"/>
          <w:noProof/>
          <w:snapToGrid/>
          <w:color w:val="auto"/>
          <w:kern w:val="2"/>
          <w14:ligatures w14:val="standardContextual"/>
        </w:rPr>
      </w:pPr>
      <w:hyperlink w:anchor="_Toc176419911" w:history="1">
        <w:r w:rsidR="007C143B" w:rsidRPr="00CF493A">
          <w:rPr>
            <w:rStyle w:val="Hyperlink"/>
            <w:iCs/>
            <w:noProof/>
          </w:rPr>
          <w:t>5.8</w:t>
        </w:r>
        <w:r w:rsidR="007C143B">
          <w:rPr>
            <w:rFonts w:asciiTheme="minorHAnsi" w:eastAsiaTheme="minorEastAsia" w:hAnsiTheme="minorHAnsi" w:cstheme="minorBidi"/>
            <w:noProof/>
            <w:snapToGrid/>
            <w:color w:val="auto"/>
            <w:kern w:val="2"/>
            <w14:ligatures w14:val="standardContextual"/>
          </w:rPr>
          <w:tab/>
        </w:r>
        <w:r w:rsidR="007C143B" w:rsidRPr="00CF493A">
          <w:rPr>
            <w:rStyle w:val="Hyperlink"/>
            <w:noProof/>
          </w:rPr>
          <w:t>Biomarker Plan</w:t>
        </w:r>
        <w:r w:rsidR="007C143B">
          <w:rPr>
            <w:noProof/>
            <w:webHidden/>
          </w:rPr>
          <w:tab/>
        </w:r>
        <w:r w:rsidR="007C143B">
          <w:rPr>
            <w:noProof/>
            <w:webHidden/>
          </w:rPr>
          <w:fldChar w:fldCharType="begin"/>
        </w:r>
        <w:r w:rsidR="007C143B">
          <w:rPr>
            <w:noProof/>
            <w:webHidden/>
          </w:rPr>
          <w:instrText xml:space="preserve"> PAGEREF _Toc176419911 \h </w:instrText>
        </w:r>
        <w:r w:rsidR="007C143B">
          <w:rPr>
            <w:noProof/>
            <w:webHidden/>
          </w:rPr>
        </w:r>
        <w:r w:rsidR="007C143B">
          <w:rPr>
            <w:noProof/>
            <w:webHidden/>
          </w:rPr>
          <w:fldChar w:fldCharType="separate"/>
        </w:r>
        <w:r w:rsidR="00D947DB">
          <w:rPr>
            <w:noProof/>
            <w:webHidden/>
          </w:rPr>
          <w:t>40</w:t>
        </w:r>
        <w:r w:rsidR="007C143B">
          <w:rPr>
            <w:noProof/>
            <w:webHidden/>
          </w:rPr>
          <w:fldChar w:fldCharType="end"/>
        </w:r>
      </w:hyperlink>
    </w:p>
    <w:p w14:paraId="60800A6E" w14:textId="1E2D2CE1" w:rsidR="007C143B" w:rsidRDefault="003B13CC">
      <w:pPr>
        <w:pStyle w:val="TOC2"/>
        <w:rPr>
          <w:rFonts w:asciiTheme="minorHAnsi" w:eastAsiaTheme="minorEastAsia" w:hAnsiTheme="minorHAnsi" w:cstheme="minorBidi"/>
          <w:noProof/>
          <w:snapToGrid/>
          <w:color w:val="auto"/>
          <w:kern w:val="2"/>
          <w14:ligatures w14:val="standardContextual"/>
        </w:rPr>
      </w:pPr>
      <w:hyperlink w:anchor="_Toc176419912" w:history="1">
        <w:r w:rsidR="007C143B" w:rsidRPr="00CF493A">
          <w:rPr>
            <w:rStyle w:val="Hyperlink"/>
            <w:iCs/>
            <w:noProof/>
          </w:rPr>
          <w:t>5.9</w:t>
        </w:r>
        <w:r w:rsidR="007C143B">
          <w:rPr>
            <w:rFonts w:asciiTheme="minorHAnsi" w:eastAsiaTheme="minorEastAsia" w:hAnsiTheme="minorHAnsi" w:cstheme="minorBidi"/>
            <w:noProof/>
            <w:snapToGrid/>
            <w:color w:val="auto"/>
            <w:kern w:val="2"/>
            <w14:ligatures w14:val="standardContextual"/>
          </w:rPr>
          <w:tab/>
        </w:r>
        <w:r w:rsidR="007C143B" w:rsidRPr="00CF493A">
          <w:rPr>
            <w:rStyle w:val="Hyperlink"/>
            <w:noProof/>
          </w:rPr>
          <w:t>Integrated Correlative Studies</w:t>
        </w:r>
        <w:r w:rsidR="007C143B">
          <w:rPr>
            <w:noProof/>
            <w:webHidden/>
          </w:rPr>
          <w:tab/>
        </w:r>
        <w:r w:rsidR="007C143B">
          <w:rPr>
            <w:noProof/>
            <w:webHidden/>
          </w:rPr>
          <w:fldChar w:fldCharType="begin"/>
        </w:r>
        <w:r w:rsidR="007C143B">
          <w:rPr>
            <w:noProof/>
            <w:webHidden/>
          </w:rPr>
          <w:instrText xml:space="preserve"> PAGEREF _Toc176419912 \h </w:instrText>
        </w:r>
        <w:r w:rsidR="007C143B">
          <w:rPr>
            <w:noProof/>
            <w:webHidden/>
          </w:rPr>
        </w:r>
        <w:r w:rsidR="007C143B">
          <w:rPr>
            <w:noProof/>
            <w:webHidden/>
          </w:rPr>
          <w:fldChar w:fldCharType="separate"/>
        </w:r>
        <w:r w:rsidR="00D947DB">
          <w:rPr>
            <w:noProof/>
            <w:webHidden/>
          </w:rPr>
          <w:t>42</w:t>
        </w:r>
        <w:r w:rsidR="007C143B">
          <w:rPr>
            <w:noProof/>
            <w:webHidden/>
          </w:rPr>
          <w:fldChar w:fldCharType="end"/>
        </w:r>
      </w:hyperlink>
    </w:p>
    <w:p w14:paraId="2B1CF867" w14:textId="7AAD306D" w:rsidR="007C143B" w:rsidRDefault="003B13CC">
      <w:pPr>
        <w:pStyle w:val="TOC1"/>
        <w:rPr>
          <w:rFonts w:asciiTheme="minorHAnsi" w:eastAsiaTheme="minorEastAsia" w:hAnsiTheme="minorHAnsi" w:cstheme="minorBidi"/>
          <w:snapToGrid/>
          <w:color w:val="auto"/>
          <w:kern w:val="2"/>
          <w14:ligatures w14:val="standardContextual"/>
        </w:rPr>
      </w:pPr>
      <w:hyperlink w:anchor="_Toc176419913" w:history="1">
        <w:r w:rsidR="007C143B" w:rsidRPr="00CF493A">
          <w:rPr>
            <w:rStyle w:val="Hyperlink"/>
          </w:rPr>
          <w:t>6.</w:t>
        </w:r>
        <w:r w:rsidR="007C143B">
          <w:rPr>
            <w:rFonts w:asciiTheme="minorHAnsi" w:eastAsiaTheme="minorEastAsia" w:hAnsiTheme="minorHAnsi" w:cstheme="minorBidi"/>
            <w:snapToGrid/>
            <w:color w:val="auto"/>
            <w:kern w:val="2"/>
            <w14:ligatures w14:val="standardContextual"/>
          </w:rPr>
          <w:tab/>
        </w:r>
        <w:r w:rsidR="007C143B" w:rsidRPr="00CF493A">
          <w:rPr>
            <w:rStyle w:val="Hyperlink"/>
          </w:rPr>
          <w:t>TREATMENT PLAN</w:t>
        </w:r>
        <w:r w:rsidR="007C143B">
          <w:rPr>
            <w:webHidden/>
          </w:rPr>
          <w:tab/>
        </w:r>
        <w:r w:rsidR="007C143B">
          <w:rPr>
            <w:webHidden/>
          </w:rPr>
          <w:fldChar w:fldCharType="begin"/>
        </w:r>
        <w:r w:rsidR="007C143B">
          <w:rPr>
            <w:webHidden/>
          </w:rPr>
          <w:instrText xml:space="preserve"> PAGEREF _Toc176419913 \h </w:instrText>
        </w:r>
        <w:r w:rsidR="007C143B">
          <w:rPr>
            <w:webHidden/>
          </w:rPr>
        </w:r>
        <w:r w:rsidR="007C143B">
          <w:rPr>
            <w:webHidden/>
          </w:rPr>
          <w:fldChar w:fldCharType="separate"/>
        </w:r>
        <w:r w:rsidR="00D947DB">
          <w:rPr>
            <w:webHidden/>
          </w:rPr>
          <w:t>44</w:t>
        </w:r>
        <w:r w:rsidR="007C143B">
          <w:rPr>
            <w:webHidden/>
          </w:rPr>
          <w:fldChar w:fldCharType="end"/>
        </w:r>
      </w:hyperlink>
    </w:p>
    <w:p w14:paraId="1172441D" w14:textId="252C6377" w:rsidR="007C143B" w:rsidRDefault="003B13CC">
      <w:pPr>
        <w:pStyle w:val="TOC2"/>
        <w:rPr>
          <w:rFonts w:asciiTheme="minorHAnsi" w:eastAsiaTheme="minorEastAsia" w:hAnsiTheme="minorHAnsi" w:cstheme="minorBidi"/>
          <w:noProof/>
          <w:snapToGrid/>
          <w:color w:val="auto"/>
          <w:kern w:val="2"/>
          <w14:ligatures w14:val="standardContextual"/>
        </w:rPr>
      </w:pPr>
      <w:hyperlink w:anchor="_Toc176419914" w:history="1">
        <w:r w:rsidR="007C143B" w:rsidRPr="00CF493A">
          <w:rPr>
            <w:rStyle w:val="Hyperlink"/>
            <w:iCs/>
            <w:noProof/>
          </w:rPr>
          <w:t>6.1</w:t>
        </w:r>
        <w:r w:rsidR="007C143B">
          <w:rPr>
            <w:rFonts w:asciiTheme="minorHAnsi" w:eastAsiaTheme="minorEastAsia" w:hAnsiTheme="minorHAnsi" w:cstheme="minorBidi"/>
            <w:noProof/>
            <w:snapToGrid/>
            <w:color w:val="auto"/>
            <w:kern w:val="2"/>
            <w14:ligatures w14:val="standardContextual"/>
          </w:rPr>
          <w:tab/>
        </w:r>
        <w:r w:rsidR="007C143B" w:rsidRPr="00CF493A">
          <w:rPr>
            <w:rStyle w:val="Hyperlink"/>
            <w:noProof/>
          </w:rPr>
          <w:t>Agent Administration</w:t>
        </w:r>
        <w:r w:rsidR="007C143B">
          <w:rPr>
            <w:noProof/>
            <w:webHidden/>
          </w:rPr>
          <w:tab/>
        </w:r>
        <w:r w:rsidR="007C143B">
          <w:rPr>
            <w:noProof/>
            <w:webHidden/>
          </w:rPr>
          <w:fldChar w:fldCharType="begin"/>
        </w:r>
        <w:r w:rsidR="007C143B">
          <w:rPr>
            <w:noProof/>
            <w:webHidden/>
          </w:rPr>
          <w:instrText xml:space="preserve"> PAGEREF _Toc176419914 \h </w:instrText>
        </w:r>
        <w:r w:rsidR="007C143B">
          <w:rPr>
            <w:noProof/>
            <w:webHidden/>
          </w:rPr>
        </w:r>
        <w:r w:rsidR="007C143B">
          <w:rPr>
            <w:noProof/>
            <w:webHidden/>
          </w:rPr>
          <w:fldChar w:fldCharType="separate"/>
        </w:r>
        <w:r w:rsidR="00D947DB">
          <w:rPr>
            <w:noProof/>
            <w:webHidden/>
          </w:rPr>
          <w:t>44</w:t>
        </w:r>
        <w:r w:rsidR="007C143B">
          <w:rPr>
            <w:noProof/>
            <w:webHidden/>
          </w:rPr>
          <w:fldChar w:fldCharType="end"/>
        </w:r>
      </w:hyperlink>
    </w:p>
    <w:p w14:paraId="67ABC4F4" w14:textId="186F7C13" w:rsidR="007C143B" w:rsidRDefault="003B13CC">
      <w:pPr>
        <w:pStyle w:val="TOC2"/>
        <w:rPr>
          <w:rFonts w:asciiTheme="minorHAnsi" w:eastAsiaTheme="minorEastAsia" w:hAnsiTheme="minorHAnsi" w:cstheme="minorBidi"/>
          <w:noProof/>
          <w:snapToGrid/>
          <w:color w:val="auto"/>
          <w:kern w:val="2"/>
          <w14:ligatures w14:val="standardContextual"/>
        </w:rPr>
      </w:pPr>
      <w:hyperlink w:anchor="_Toc176419915" w:history="1">
        <w:r w:rsidR="007C143B" w:rsidRPr="00CF493A">
          <w:rPr>
            <w:rStyle w:val="Hyperlink"/>
            <w:iCs/>
            <w:noProof/>
          </w:rPr>
          <w:t>6.2</w:t>
        </w:r>
        <w:r w:rsidR="007C143B">
          <w:rPr>
            <w:rFonts w:asciiTheme="minorHAnsi" w:eastAsiaTheme="minorEastAsia" w:hAnsiTheme="minorHAnsi" w:cstheme="minorBidi"/>
            <w:noProof/>
            <w:snapToGrid/>
            <w:color w:val="auto"/>
            <w:kern w:val="2"/>
            <w14:ligatures w14:val="standardContextual"/>
          </w:rPr>
          <w:tab/>
        </w:r>
        <w:r w:rsidR="007C143B" w:rsidRPr="00CF493A">
          <w:rPr>
            <w:rStyle w:val="Hyperlink"/>
            <w:noProof/>
          </w:rPr>
          <w:t>Definition of Dose-Limiting Toxicity</w:t>
        </w:r>
        <w:r w:rsidR="007C143B">
          <w:rPr>
            <w:noProof/>
            <w:webHidden/>
          </w:rPr>
          <w:tab/>
        </w:r>
        <w:r w:rsidR="007C143B">
          <w:rPr>
            <w:noProof/>
            <w:webHidden/>
          </w:rPr>
          <w:fldChar w:fldCharType="begin"/>
        </w:r>
        <w:r w:rsidR="007C143B">
          <w:rPr>
            <w:noProof/>
            <w:webHidden/>
          </w:rPr>
          <w:instrText xml:space="preserve"> PAGEREF _Toc176419915 \h </w:instrText>
        </w:r>
        <w:r w:rsidR="007C143B">
          <w:rPr>
            <w:noProof/>
            <w:webHidden/>
          </w:rPr>
        </w:r>
        <w:r w:rsidR="007C143B">
          <w:rPr>
            <w:noProof/>
            <w:webHidden/>
          </w:rPr>
          <w:fldChar w:fldCharType="separate"/>
        </w:r>
        <w:r w:rsidR="00D947DB">
          <w:rPr>
            <w:noProof/>
            <w:webHidden/>
          </w:rPr>
          <w:t>49</w:t>
        </w:r>
        <w:r w:rsidR="007C143B">
          <w:rPr>
            <w:noProof/>
            <w:webHidden/>
          </w:rPr>
          <w:fldChar w:fldCharType="end"/>
        </w:r>
      </w:hyperlink>
    </w:p>
    <w:p w14:paraId="43AFBC3A" w14:textId="74939B7C" w:rsidR="007C143B" w:rsidRDefault="003B13CC">
      <w:pPr>
        <w:pStyle w:val="TOC2"/>
        <w:rPr>
          <w:rFonts w:asciiTheme="minorHAnsi" w:eastAsiaTheme="minorEastAsia" w:hAnsiTheme="minorHAnsi" w:cstheme="minorBidi"/>
          <w:noProof/>
          <w:snapToGrid/>
          <w:color w:val="auto"/>
          <w:kern w:val="2"/>
          <w14:ligatures w14:val="standardContextual"/>
        </w:rPr>
      </w:pPr>
      <w:hyperlink w:anchor="_Toc176419916" w:history="1">
        <w:r w:rsidR="007C143B" w:rsidRPr="00CF493A">
          <w:rPr>
            <w:rStyle w:val="Hyperlink"/>
            <w:iCs/>
            <w:noProof/>
          </w:rPr>
          <w:t>6.3</w:t>
        </w:r>
        <w:r w:rsidR="007C143B">
          <w:rPr>
            <w:rFonts w:asciiTheme="minorHAnsi" w:eastAsiaTheme="minorEastAsia" w:hAnsiTheme="minorHAnsi" w:cstheme="minorBidi"/>
            <w:noProof/>
            <w:snapToGrid/>
            <w:color w:val="auto"/>
            <w:kern w:val="2"/>
            <w14:ligatures w14:val="standardContextual"/>
          </w:rPr>
          <w:tab/>
        </w:r>
        <w:r w:rsidR="007C143B" w:rsidRPr="00CF493A">
          <w:rPr>
            <w:rStyle w:val="Hyperlink"/>
            <w:noProof/>
          </w:rPr>
          <w:t>General Concomitant Medication and Supportive Care Guidelines</w:t>
        </w:r>
        <w:r w:rsidR="007C143B">
          <w:rPr>
            <w:noProof/>
            <w:webHidden/>
          </w:rPr>
          <w:tab/>
        </w:r>
        <w:r w:rsidR="007C143B">
          <w:rPr>
            <w:noProof/>
            <w:webHidden/>
          </w:rPr>
          <w:fldChar w:fldCharType="begin"/>
        </w:r>
        <w:r w:rsidR="007C143B">
          <w:rPr>
            <w:noProof/>
            <w:webHidden/>
          </w:rPr>
          <w:instrText xml:space="preserve"> PAGEREF _Toc176419916 \h </w:instrText>
        </w:r>
        <w:r w:rsidR="007C143B">
          <w:rPr>
            <w:noProof/>
            <w:webHidden/>
          </w:rPr>
        </w:r>
        <w:r w:rsidR="007C143B">
          <w:rPr>
            <w:noProof/>
            <w:webHidden/>
          </w:rPr>
          <w:fldChar w:fldCharType="separate"/>
        </w:r>
        <w:r w:rsidR="00D947DB">
          <w:rPr>
            <w:noProof/>
            <w:webHidden/>
          </w:rPr>
          <w:t>51</w:t>
        </w:r>
        <w:r w:rsidR="007C143B">
          <w:rPr>
            <w:noProof/>
            <w:webHidden/>
          </w:rPr>
          <w:fldChar w:fldCharType="end"/>
        </w:r>
      </w:hyperlink>
    </w:p>
    <w:p w14:paraId="47D4D303" w14:textId="5DFF380E" w:rsidR="007C143B" w:rsidRDefault="003B13CC">
      <w:pPr>
        <w:pStyle w:val="TOC2"/>
        <w:rPr>
          <w:rFonts w:asciiTheme="minorHAnsi" w:eastAsiaTheme="minorEastAsia" w:hAnsiTheme="minorHAnsi" w:cstheme="minorBidi"/>
          <w:noProof/>
          <w:snapToGrid/>
          <w:color w:val="auto"/>
          <w:kern w:val="2"/>
          <w14:ligatures w14:val="standardContextual"/>
        </w:rPr>
      </w:pPr>
      <w:hyperlink w:anchor="_Toc176419917" w:history="1">
        <w:r w:rsidR="007C143B" w:rsidRPr="00CF493A">
          <w:rPr>
            <w:rStyle w:val="Hyperlink"/>
            <w:iCs/>
            <w:noProof/>
          </w:rPr>
          <w:t>6.4</w:t>
        </w:r>
        <w:r w:rsidR="007C143B">
          <w:rPr>
            <w:rFonts w:asciiTheme="minorHAnsi" w:eastAsiaTheme="minorEastAsia" w:hAnsiTheme="minorHAnsi" w:cstheme="minorBidi"/>
            <w:noProof/>
            <w:snapToGrid/>
            <w:color w:val="auto"/>
            <w:kern w:val="2"/>
            <w14:ligatures w14:val="standardContextual"/>
          </w:rPr>
          <w:tab/>
        </w:r>
        <w:r w:rsidR="007C143B" w:rsidRPr="00CF493A">
          <w:rPr>
            <w:rStyle w:val="Hyperlink"/>
            <w:noProof/>
          </w:rPr>
          <w:t>Duration of Therapy</w:t>
        </w:r>
        <w:r w:rsidR="007C143B">
          <w:rPr>
            <w:noProof/>
            <w:webHidden/>
          </w:rPr>
          <w:tab/>
        </w:r>
        <w:r w:rsidR="007C143B">
          <w:rPr>
            <w:noProof/>
            <w:webHidden/>
          </w:rPr>
          <w:fldChar w:fldCharType="begin"/>
        </w:r>
        <w:r w:rsidR="007C143B">
          <w:rPr>
            <w:noProof/>
            <w:webHidden/>
          </w:rPr>
          <w:instrText xml:space="preserve"> PAGEREF _Toc176419917 \h </w:instrText>
        </w:r>
        <w:r w:rsidR="007C143B">
          <w:rPr>
            <w:noProof/>
            <w:webHidden/>
          </w:rPr>
        </w:r>
        <w:r w:rsidR="007C143B">
          <w:rPr>
            <w:noProof/>
            <w:webHidden/>
          </w:rPr>
          <w:fldChar w:fldCharType="separate"/>
        </w:r>
        <w:r w:rsidR="00D947DB">
          <w:rPr>
            <w:noProof/>
            <w:webHidden/>
          </w:rPr>
          <w:t>51</w:t>
        </w:r>
        <w:r w:rsidR="007C143B">
          <w:rPr>
            <w:noProof/>
            <w:webHidden/>
          </w:rPr>
          <w:fldChar w:fldCharType="end"/>
        </w:r>
      </w:hyperlink>
    </w:p>
    <w:p w14:paraId="4AB0010A" w14:textId="2E372743" w:rsidR="007C143B" w:rsidRDefault="003B13CC">
      <w:pPr>
        <w:pStyle w:val="TOC2"/>
        <w:rPr>
          <w:rFonts w:asciiTheme="minorHAnsi" w:eastAsiaTheme="minorEastAsia" w:hAnsiTheme="minorHAnsi" w:cstheme="minorBidi"/>
          <w:noProof/>
          <w:snapToGrid/>
          <w:color w:val="auto"/>
          <w:kern w:val="2"/>
          <w14:ligatures w14:val="standardContextual"/>
        </w:rPr>
      </w:pPr>
      <w:hyperlink w:anchor="_Toc176419918" w:history="1">
        <w:r w:rsidR="007C143B" w:rsidRPr="00CF493A">
          <w:rPr>
            <w:rStyle w:val="Hyperlink"/>
            <w:iCs/>
            <w:noProof/>
          </w:rPr>
          <w:t>6.5</w:t>
        </w:r>
        <w:r w:rsidR="007C143B">
          <w:rPr>
            <w:rFonts w:asciiTheme="minorHAnsi" w:eastAsiaTheme="minorEastAsia" w:hAnsiTheme="minorHAnsi" w:cstheme="minorBidi"/>
            <w:noProof/>
            <w:snapToGrid/>
            <w:color w:val="auto"/>
            <w:kern w:val="2"/>
            <w14:ligatures w14:val="standardContextual"/>
          </w:rPr>
          <w:tab/>
        </w:r>
        <w:r w:rsidR="007C143B" w:rsidRPr="00CF493A">
          <w:rPr>
            <w:rStyle w:val="Hyperlink"/>
            <w:noProof/>
          </w:rPr>
          <w:t>Duration of Follow-Up</w:t>
        </w:r>
        <w:r w:rsidR="007C143B">
          <w:rPr>
            <w:noProof/>
            <w:webHidden/>
          </w:rPr>
          <w:tab/>
        </w:r>
        <w:r w:rsidR="007C143B">
          <w:rPr>
            <w:noProof/>
            <w:webHidden/>
          </w:rPr>
          <w:fldChar w:fldCharType="begin"/>
        </w:r>
        <w:r w:rsidR="007C143B">
          <w:rPr>
            <w:noProof/>
            <w:webHidden/>
          </w:rPr>
          <w:instrText xml:space="preserve"> PAGEREF _Toc176419918 \h </w:instrText>
        </w:r>
        <w:r w:rsidR="007C143B">
          <w:rPr>
            <w:noProof/>
            <w:webHidden/>
          </w:rPr>
        </w:r>
        <w:r w:rsidR="007C143B">
          <w:rPr>
            <w:noProof/>
            <w:webHidden/>
          </w:rPr>
          <w:fldChar w:fldCharType="separate"/>
        </w:r>
        <w:r w:rsidR="00D947DB">
          <w:rPr>
            <w:noProof/>
            <w:webHidden/>
          </w:rPr>
          <w:t>52</w:t>
        </w:r>
        <w:r w:rsidR="007C143B">
          <w:rPr>
            <w:noProof/>
            <w:webHidden/>
          </w:rPr>
          <w:fldChar w:fldCharType="end"/>
        </w:r>
      </w:hyperlink>
    </w:p>
    <w:p w14:paraId="5D24CC80" w14:textId="48D1C7DA" w:rsidR="007C143B" w:rsidRDefault="003B13CC">
      <w:pPr>
        <w:pStyle w:val="TOC1"/>
        <w:rPr>
          <w:rFonts w:asciiTheme="minorHAnsi" w:eastAsiaTheme="minorEastAsia" w:hAnsiTheme="minorHAnsi" w:cstheme="minorBidi"/>
          <w:snapToGrid/>
          <w:color w:val="auto"/>
          <w:kern w:val="2"/>
          <w14:ligatures w14:val="standardContextual"/>
        </w:rPr>
      </w:pPr>
      <w:hyperlink w:anchor="_Toc176419919" w:history="1">
        <w:r w:rsidR="007C143B" w:rsidRPr="00CF493A">
          <w:rPr>
            <w:rStyle w:val="Hyperlink"/>
          </w:rPr>
          <w:t>7.</w:t>
        </w:r>
        <w:r w:rsidR="007C143B">
          <w:rPr>
            <w:rFonts w:asciiTheme="minorHAnsi" w:eastAsiaTheme="minorEastAsia" w:hAnsiTheme="minorHAnsi" w:cstheme="minorBidi"/>
            <w:snapToGrid/>
            <w:color w:val="auto"/>
            <w:kern w:val="2"/>
            <w14:ligatures w14:val="standardContextual"/>
          </w:rPr>
          <w:tab/>
        </w:r>
        <w:r w:rsidR="007C143B" w:rsidRPr="00CF493A">
          <w:rPr>
            <w:rStyle w:val="Hyperlink"/>
          </w:rPr>
          <w:t>DOSING DELAYS/DOSE MODIFICATIONS</w:t>
        </w:r>
        <w:r w:rsidR="007C143B">
          <w:rPr>
            <w:webHidden/>
          </w:rPr>
          <w:tab/>
        </w:r>
        <w:r w:rsidR="007C143B">
          <w:rPr>
            <w:webHidden/>
          </w:rPr>
          <w:fldChar w:fldCharType="begin"/>
        </w:r>
        <w:r w:rsidR="007C143B">
          <w:rPr>
            <w:webHidden/>
          </w:rPr>
          <w:instrText xml:space="preserve"> PAGEREF _Toc176419919 \h </w:instrText>
        </w:r>
        <w:r w:rsidR="007C143B">
          <w:rPr>
            <w:webHidden/>
          </w:rPr>
        </w:r>
        <w:r w:rsidR="007C143B">
          <w:rPr>
            <w:webHidden/>
          </w:rPr>
          <w:fldChar w:fldCharType="separate"/>
        </w:r>
        <w:r w:rsidR="00D947DB">
          <w:rPr>
            <w:webHidden/>
          </w:rPr>
          <w:t>52</w:t>
        </w:r>
        <w:r w:rsidR="007C143B">
          <w:rPr>
            <w:webHidden/>
          </w:rPr>
          <w:fldChar w:fldCharType="end"/>
        </w:r>
      </w:hyperlink>
    </w:p>
    <w:p w14:paraId="67C62B9B" w14:textId="1923F9D8" w:rsidR="007C143B" w:rsidRDefault="003B13CC">
      <w:pPr>
        <w:pStyle w:val="TOC2"/>
        <w:rPr>
          <w:rFonts w:asciiTheme="minorHAnsi" w:eastAsiaTheme="minorEastAsia" w:hAnsiTheme="minorHAnsi" w:cstheme="minorBidi"/>
          <w:noProof/>
          <w:snapToGrid/>
          <w:color w:val="auto"/>
          <w:kern w:val="2"/>
          <w14:ligatures w14:val="standardContextual"/>
        </w:rPr>
      </w:pPr>
      <w:hyperlink w:anchor="_Toc176419920" w:history="1">
        <w:r w:rsidR="007C143B" w:rsidRPr="00CF493A">
          <w:rPr>
            <w:rStyle w:val="Hyperlink"/>
            <w:iCs/>
            <w:noProof/>
          </w:rPr>
          <w:t>7.1</w:t>
        </w:r>
        <w:r w:rsidR="007C143B">
          <w:rPr>
            <w:rFonts w:asciiTheme="minorHAnsi" w:eastAsiaTheme="minorEastAsia" w:hAnsiTheme="minorHAnsi" w:cstheme="minorBidi"/>
            <w:noProof/>
            <w:snapToGrid/>
            <w:color w:val="auto"/>
            <w:kern w:val="2"/>
            <w14:ligatures w14:val="standardContextual"/>
          </w:rPr>
          <w:tab/>
        </w:r>
        <w:r w:rsidR="007C143B" w:rsidRPr="00CF493A">
          <w:rPr>
            <w:rStyle w:val="Hyperlink"/>
            <w:noProof/>
          </w:rPr>
          <w:t>Recommended Dose Modifications for Triapine</w:t>
        </w:r>
        <w:r w:rsidR="007C143B">
          <w:rPr>
            <w:noProof/>
            <w:webHidden/>
          </w:rPr>
          <w:tab/>
        </w:r>
        <w:r w:rsidR="007C143B">
          <w:rPr>
            <w:noProof/>
            <w:webHidden/>
          </w:rPr>
          <w:fldChar w:fldCharType="begin"/>
        </w:r>
        <w:r w:rsidR="007C143B">
          <w:rPr>
            <w:noProof/>
            <w:webHidden/>
          </w:rPr>
          <w:instrText xml:space="preserve"> PAGEREF _Toc176419920 \h </w:instrText>
        </w:r>
        <w:r w:rsidR="007C143B">
          <w:rPr>
            <w:noProof/>
            <w:webHidden/>
          </w:rPr>
        </w:r>
        <w:r w:rsidR="007C143B">
          <w:rPr>
            <w:noProof/>
            <w:webHidden/>
          </w:rPr>
          <w:fldChar w:fldCharType="separate"/>
        </w:r>
        <w:r w:rsidR="00D947DB">
          <w:rPr>
            <w:noProof/>
            <w:webHidden/>
          </w:rPr>
          <w:t>52</w:t>
        </w:r>
        <w:r w:rsidR="007C143B">
          <w:rPr>
            <w:noProof/>
            <w:webHidden/>
          </w:rPr>
          <w:fldChar w:fldCharType="end"/>
        </w:r>
      </w:hyperlink>
    </w:p>
    <w:p w14:paraId="3883C2BC" w14:textId="365C3C1E" w:rsidR="007C143B" w:rsidRDefault="003B13CC">
      <w:pPr>
        <w:pStyle w:val="TOC1"/>
        <w:rPr>
          <w:rFonts w:asciiTheme="minorHAnsi" w:eastAsiaTheme="minorEastAsia" w:hAnsiTheme="minorHAnsi" w:cstheme="minorBidi"/>
          <w:snapToGrid/>
          <w:color w:val="auto"/>
          <w:kern w:val="2"/>
          <w14:ligatures w14:val="standardContextual"/>
        </w:rPr>
      </w:pPr>
      <w:hyperlink w:anchor="_Toc176419921" w:history="1">
        <w:r w:rsidR="007C143B" w:rsidRPr="00CF493A">
          <w:rPr>
            <w:rStyle w:val="Hyperlink"/>
          </w:rPr>
          <w:t>8.</w:t>
        </w:r>
        <w:r w:rsidR="007C143B">
          <w:rPr>
            <w:rFonts w:asciiTheme="minorHAnsi" w:eastAsiaTheme="minorEastAsia" w:hAnsiTheme="minorHAnsi" w:cstheme="minorBidi"/>
            <w:snapToGrid/>
            <w:color w:val="auto"/>
            <w:kern w:val="2"/>
            <w14:ligatures w14:val="standardContextual"/>
          </w:rPr>
          <w:tab/>
        </w:r>
        <w:r w:rsidR="007C143B" w:rsidRPr="00CF493A">
          <w:rPr>
            <w:rStyle w:val="Hyperlink"/>
          </w:rPr>
          <w:t>PHARMACEUTICAL INFORMATION</w:t>
        </w:r>
        <w:r w:rsidR="007C143B">
          <w:rPr>
            <w:webHidden/>
          </w:rPr>
          <w:tab/>
        </w:r>
        <w:r w:rsidR="007C143B">
          <w:rPr>
            <w:webHidden/>
          </w:rPr>
          <w:fldChar w:fldCharType="begin"/>
        </w:r>
        <w:r w:rsidR="007C143B">
          <w:rPr>
            <w:webHidden/>
          </w:rPr>
          <w:instrText xml:space="preserve"> PAGEREF _Toc176419921 \h </w:instrText>
        </w:r>
        <w:r w:rsidR="007C143B">
          <w:rPr>
            <w:webHidden/>
          </w:rPr>
        </w:r>
        <w:r w:rsidR="007C143B">
          <w:rPr>
            <w:webHidden/>
          </w:rPr>
          <w:fldChar w:fldCharType="separate"/>
        </w:r>
        <w:r w:rsidR="00D947DB">
          <w:rPr>
            <w:webHidden/>
          </w:rPr>
          <w:t>55</w:t>
        </w:r>
        <w:r w:rsidR="007C143B">
          <w:rPr>
            <w:webHidden/>
          </w:rPr>
          <w:fldChar w:fldCharType="end"/>
        </w:r>
      </w:hyperlink>
    </w:p>
    <w:p w14:paraId="31D26F94" w14:textId="630DDC07" w:rsidR="007C143B" w:rsidRDefault="003B13CC">
      <w:pPr>
        <w:pStyle w:val="TOC2"/>
        <w:rPr>
          <w:rFonts w:asciiTheme="minorHAnsi" w:eastAsiaTheme="minorEastAsia" w:hAnsiTheme="minorHAnsi" w:cstheme="minorBidi"/>
          <w:noProof/>
          <w:snapToGrid/>
          <w:color w:val="auto"/>
          <w:kern w:val="2"/>
          <w14:ligatures w14:val="standardContextual"/>
        </w:rPr>
      </w:pPr>
      <w:hyperlink w:anchor="_Toc176419922" w:history="1">
        <w:r w:rsidR="007C143B" w:rsidRPr="00CF493A">
          <w:rPr>
            <w:rStyle w:val="Hyperlink"/>
            <w:iCs/>
            <w:noProof/>
          </w:rPr>
          <w:t>8.1</w:t>
        </w:r>
        <w:r w:rsidR="007C143B">
          <w:rPr>
            <w:rFonts w:asciiTheme="minorHAnsi" w:eastAsiaTheme="minorEastAsia" w:hAnsiTheme="minorHAnsi" w:cstheme="minorBidi"/>
            <w:noProof/>
            <w:snapToGrid/>
            <w:color w:val="auto"/>
            <w:kern w:val="2"/>
            <w14:ligatures w14:val="standardContextual"/>
          </w:rPr>
          <w:tab/>
        </w:r>
        <w:r w:rsidR="007C143B" w:rsidRPr="00CF493A">
          <w:rPr>
            <w:rStyle w:val="Hyperlink"/>
            <w:noProof/>
          </w:rPr>
          <w:t>CTEP IND Agent</w:t>
        </w:r>
        <w:r w:rsidR="007C143B">
          <w:rPr>
            <w:noProof/>
            <w:webHidden/>
          </w:rPr>
          <w:tab/>
        </w:r>
        <w:r w:rsidR="007C143B">
          <w:rPr>
            <w:noProof/>
            <w:webHidden/>
          </w:rPr>
          <w:fldChar w:fldCharType="begin"/>
        </w:r>
        <w:r w:rsidR="007C143B">
          <w:rPr>
            <w:noProof/>
            <w:webHidden/>
          </w:rPr>
          <w:instrText xml:space="preserve"> PAGEREF _Toc176419922 \h </w:instrText>
        </w:r>
        <w:r w:rsidR="007C143B">
          <w:rPr>
            <w:noProof/>
            <w:webHidden/>
          </w:rPr>
        </w:r>
        <w:r w:rsidR="007C143B">
          <w:rPr>
            <w:noProof/>
            <w:webHidden/>
          </w:rPr>
          <w:fldChar w:fldCharType="separate"/>
        </w:r>
        <w:r w:rsidR="00D947DB">
          <w:rPr>
            <w:noProof/>
            <w:webHidden/>
          </w:rPr>
          <w:t>55</w:t>
        </w:r>
        <w:r w:rsidR="007C143B">
          <w:rPr>
            <w:noProof/>
            <w:webHidden/>
          </w:rPr>
          <w:fldChar w:fldCharType="end"/>
        </w:r>
      </w:hyperlink>
    </w:p>
    <w:p w14:paraId="710F4CF7" w14:textId="73C5C3E6" w:rsidR="007C143B" w:rsidRDefault="003B13CC">
      <w:pPr>
        <w:pStyle w:val="TOC1"/>
        <w:rPr>
          <w:rFonts w:asciiTheme="minorHAnsi" w:eastAsiaTheme="minorEastAsia" w:hAnsiTheme="minorHAnsi" w:cstheme="minorBidi"/>
          <w:snapToGrid/>
          <w:color w:val="auto"/>
          <w:kern w:val="2"/>
          <w14:ligatures w14:val="standardContextual"/>
        </w:rPr>
      </w:pPr>
      <w:hyperlink w:anchor="_Toc176419923" w:history="1">
        <w:r w:rsidR="007C143B" w:rsidRPr="00CF493A">
          <w:rPr>
            <w:rStyle w:val="Hyperlink"/>
          </w:rPr>
          <w:t>9.</w:t>
        </w:r>
        <w:r w:rsidR="007C143B">
          <w:rPr>
            <w:rFonts w:asciiTheme="minorHAnsi" w:eastAsiaTheme="minorEastAsia" w:hAnsiTheme="minorHAnsi" w:cstheme="minorBidi"/>
            <w:snapToGrid/>
            <w:color w:val="auto"/>
            <w:kern w:val="2"/>
            <w14:ligatures w14:val="standardContextual"/>
          </w:rPr>
          <w:tab/>
        </w:r>
        <w:r w:rsidR="007C143B" w:rsidRPr="00CF493A">
          <w:rPr>
            <w:rStyle w:val="Hyperlink"/>
          </w:rPr>
          <w:t>STATISTICAL CONSIDERATIONS</w:t>
        </w:r>
        <w:r w:rsidR="007C143B">
          <w:rPr>
            <w:webHidden/>
          </w:rPr>
          <w:tab/>
        </w:r>
        <w:r w:rsidR="007C143B">
          <w:rPr>
            <w:webHidden/>
          </w:rPr>
          <w:fldChar w:fldCharType="begin"/>
        </w:r>
        <w:r w:rsidR="007C143B">
          <w:rPr>
            <w:webHidden/>
          </w:rPr>
          <w:instrText xml:space="preserve"> PAGEREF _Toc176419923 \h </w:instrText>
        </w:r>
        <w:r w:rsidR="007C143B">
          <w:rPr>
            <w:webHidden/>
          </w:rPr>
        </w:r>
        <w:r w:rsidR="007C143B">
          <w:rPr>
            <w:webHidden/>
          </w:rPr>
          <w:fldChar w:fldCharType="separate"/>
        </w:r>
        <w:r w:rsidR="00D947DB">
          <w:rPr>
            <w:webHidden/>
          </w:rPr>
          <w:t>58</w:t>
        </w:r>
        <w:r w:rsidR="007C143B">
          <w:rPr>
            <w:webHidden/>
          </w:rPr>
          <w:fldChar w:fldCharType="end"/>
        </w:r>
      </w:hyperlink>
    </w:p>
    <w:p w14:paraId="73089584" w14:textId="335CA892" w:rsidR="007C143B" w:rsidRDefault="003B13CC">
      <w:pPr>
        <w:pStyle w:val="TOC2"/>
        <w:rPr>
          <w:rFonts w:asciiTheme="minorHAnsi" w:eastAsiaTheme="minorEastAsia" w:hAnsiTheme="minorHAnsi" w:cstheme="minorBidi"/>
          <w:noProof/>
          <w:snapToGrid/>
          <w:color w:val="auto"/>
          <w:kern w:val="2"/>
          <w14:ligatures w14:val="standardContextual"/>
        </w:rPr>
      </w:pPr>
      <w:hyperlink w:anchor="_Toc176419924" w:history="1">
        <w:r w:rsidR="007C143B" w:rsidRPr="00CF493A">
          <w:rPr>
            <w:rStyle w:val="Hyperlink"/>
            <w:iCs/>
            <w:noProof/>
          </w:rPr>
          <w:t>9.1</w:t>
        </w:r>
        <w:r w:rsidR="007C143B">
          <w:rPr>
            <w:rFonts w:asciiTheme="minorHAnsi" w:eastAsiaTheme="minorEastAsia" w:hAnsiTheme="minorHAnsi" w:cstheme="minorBidi"/>
            <w:noProof/>
            <w:snapToGrid/>
            <w:color w:val="auto"/>
            <w:kern w:val="2"/>
            <w14:ligatures w14:val="standardContextual"/>
          </w:rPr>
          <w:tab/>
        </w:r>
        <w:r w:rsidR="007C143B" w:rsidRPr="00CF493A">
          <w:rPr>
            <w:rStyle w:val="Hyperlink"/>
            <w:noProof/>
          </w:rPr>
          <w:t>Study Design/Endpoints</w:t>
        </w:r>
        <w:r w:rsidR="007C143B">
          <w:rPr>
            <w:noProof/>
            <w:webHidden/>
          </w:rPr>
          <w:tab/>
        </w:r>
        <w:r w:rsidR="007C143B">
          <w:rPr>
            <w:noProof/>
            <w:webHidden/>
          </w:rPr>
          <w:fldChar w:fldCharType="begin"/>
        </w:r>
        <w:r w:rsidR="007C143B">
          <w:rPr>
            <w:noProof/>
            <w:webHidden/>
          </w:rPr>
          <w:instrText xml:space="preserve"> PAGEREF _Toc176419924 \h </w:instrText>
        </w:r>
        <w:r w:rsidR="007C143B">
          <w:rPr>
            <w:noProof/>
            <w:webHidden/>
          </w:rPr>
        </w:r>
        <w:r w:rsidR="007C143B">
          <w:rPr>
            <w:noProof/>
            <w:webHidden/>
          </w:rPr>
          <w:fldChar w:fldCharType="separate"/>
        </w:r>
        <w:r w:rsidR="00D947DB">
          <w:rPr>
            <w:noProof/>
            <w:webHidden/>
          </w:rPr>
          <w:t>58</w:t>
        </w:r>
        <w:r w:rsidR="007C143B">
          <w:rPr>
            <w:noProof/>
            <w:webHidden/>
          </w:rPr>
          <w:fldChar w:fldCharType="end"/>
        </w:r>
      </w:hyperlink>
    </w:p>
    <w:p w14:paraId="2B5CD779" w14:textId="48EA9A16" w:rsidR="007C143B" w:rsidRDefault="003B13CC">
      <w:pPr>
        <w:pStyle w:val="TOC2"/>
        <w:rPr>
          <w:rFonts w:asciiTheme="minorHAnsi" w:eastAsiaTheme="minorEastAsia" w:hAnsiTheme="minorHAnsi" w:cstheme="minorBidi"/>
          <w:noProof/>
          <w:snapToGrid/>
          <w:color w:val="auto"/>
          <w:kern w:val="2"/>
          <w14:ligatures w14:val="standardContextual"/>
        </w:rPr>
      </w:pPr>
      <w:hyperlink w:anchor="_Toc176419925" w:history="1">
        <w:r w:rsidR="007C143B" w:rsidRPr="00CF493A">
          <w:rPr>
            <w:rStyle w:val="Hyperlink"/>
            <w:iCs/>
            <w:noProof/>
          </w:rPr>
          <w:t>9.2</w:t>
        </w:r>
        <w:r w:rsidR="007C143B">
          <w:rPr>
            <w:rFonts w:asciiTheme="minorHAnsi" w:eastAsiaTheme="minorEastAsia" w:hAnsiTheme="minorHAnsi" w:cstheme="minorBidi"/>
            <w:noProof/>
            <w:snapToGrid/>
            <w:color w:val="auto"/>
            <w:kern w:val="2"/>
            <w14:ligatures w14:val="standardContextual"/>
          </w:rPr>
          <w:tab/>
        </w:r>
        <w:r w:rsidR="007C143B" w:rsidRPr="00CF493A">
          <w:rPr>
            <w:rStyle w:val="Hyperlink"/>
            <w:noProof/>
          </w:rPr>
          <w:t>Sample Size/Accrual Rate</w:t>
        </w:r>
        <w:r w:rsidR="007C143B">
          <w:rPr>
            <w:noProof/>
            <w:webHidden/>
          </w:rPr>
          <w:tab/>
        </w:r>
        <w:r w:rsidR="007C143B">
          <w:rPr>
            <w:noProof/>
            <w:webHidden/>
          </w:rPr>
          <w:fldChar w:fldCharType="begin"/>
        </w:r>
        <w:r w:rsidR="007C143B">
          <w:rPr>
            <w:noProof/>
            <w:webHidden/>
          </w:rPr>
          <w:instrText xml:space="preserve"> PAGEREF _Toc176419925 \h </w:instrText>
        </w:r>
        <w:r w:rsidR="007C143B">
          <w:rPr>
            <w:noProof/>
            <w:webHidden/>
          </w:rPr>
        </w:r>
        <w:r w:rsidR="007C143B">
          <w:rPr>
            <w:noProof/>
            <w:webHidden/>
          </w:rPr>
          <w:fldChar w:fldCharType="separate"/>
        </w:r>
        <w:r w:rsidR="00D947DB">
          <w:rPr>
            <w:noProof/>
            <w:webHidden/>
          </w:rPr>
          <w:t>64</w:t>
        </w:r>
        <w:r w:rsidR="007C143B">
          <w:rPr>
            <w:noProof/>
            <w:webHidden/>
          </w:rPr>
          <w:fldChar w:fldCharType="end"/>
        </w:r>
      </w:hyperlink>
    </w:p>
    <w:p w14:paraId="23C313CD" w14:textId="389A20BC" w:rsidR="007C143B" w:rsidRDefault="003B13CC">
      <w:pPr>
        <w:pStyle w:val="TOC2"/>
        <w:rPr>
          <w:rFonts w:asciiTheme="minorHAnsi" w:eastAsiaTheme="minorEastAsia" w:hAnsiTheme="minorHAnsi" w:cstheme="minorBidi"/>
          <w:noProof/>
          <w:snapToGrid/>
          <w:color w:val="auto"/>
          <w:kern w:val="2"/>
          <w14:ligatures w14:val="standardContextual"/>
        </w:rPr>
      </w:pPr>
      <w:hyperlink w:anchor="_Toc176419926" w:history="1">
        <w:r w:rsidR="007C143B" w:rsidRPr="00CF493A">
          <w:rPr>
            <w:rStyle w:val="Hyperlink"/>
            <w:iCs/>
            <w:noProof/>
          </w:rPr>
          <w:t>9.3</w:t>
        </w:r>
        <w:r w:rsidR="007C143B">
          <w:rPr>
            <w:rFonts w:asciiTheme="minorHAnsi" w:eastAsiaTheme="minorEastAsia" w:hAnsiTheme="minorHAnsi" w:cstheme="minorBidi"/>
            <w:noProof/>
            <w:snapToGrid/>
            <w:color w:val="auto"/>
            <w:kern w:val="2"/>
            <w14:ligatures w14:val="standardContextual"/>
          </w:rPr>
          <w:tab/>
        </w:r>
        <w:r w:rsidR="007C143B" w:rsidRPr="00CF493A">
          <w:rPr>
            <w:rStyle w:val="Hyperlink"/>
            <w:noProof/>
          </w:rPr>
          <w:t>Stratification Factors</w:t>
        </w:r>
        <w:r w:rsidR="007C143B">
          <w:rPr>
            <w:noProof/>
            <w:webHidden/>
          </w:rPr>
          <w:tab/>
        </w:r>
        <w:r w:rsidR="007C143B">
          <w:rPr>
            <w:noProof/>
            <w:webHidden/>
          </w:rPr>
          <w:fldChar w:fldCharType="begin"/>
        </w:r>
        <w:r w:rsidR="007C143B">
          <w:rPr>
            <w:noProof/>
            <w:webHidden/>
          </w:rPr>
          <w:instrText xml:space="preserve"> PAGEREF _Toc176419926 \h </w:instrText>
        </w:r>
        <w:r w:rsidR="007C143B">
          <w:rPr>
            <w:noProof/>
            <w:webHidden/>
          </w:rPr>
        </w:r>
        <w:r w:rsidR="007C143B">
          <w:rPr>
            <w:noProof/>
            <w:webHidden/>
          </w:rPr>
          <w:fldChar w:fldCharType="separate"/>
        </w:r>
        <w:r w:rsidR="00D947DB">
          <w:rPr>
            <w:noProof/>
            <w:webHidden/>
          </w:rPr>
          <w:t>65</w:t>
        </w:r>
        <w:r w:rsidR="007C143B">
          <w:rPr>
            <w:noProof/>
            <w:webHidden/>
          </w:rPr>
          <w:fldChar w:fldCharType="end"/>
        </w:r>
      </w:hyperlink>
    </w:p>
    <w:p w14:paraId="0DDB66F5" w14:textId="319660CF" w:rsidR="007C143B" w:rsidRDefault="003B13CC">
      <w:pPr>
        <w:pStyle w:val="TOC2"/>
        <w:rPr>
          <w:rFonts w:asciiTheme="minorHAnsi" w:eastAsiaTheme="minorEastAsia" w:hAnsiTheme="minorHAnsi" w:cstheme="minorBidi"/>
          <w:noProof/>
          <w:snapToGrid/>
          <w:color w:val="auto"/>
          <w:kern w:val="2"/>
          <w14:ligatures w14:val="standardContextual"/>
        </w:rPr>
      </w:pPr>
      <w:hyperlink w:anchor="_Toc176419927" w:history="1">
        <w:r w:rsidR="007C143B" w:rsidRPr="00CF493A">
          <w:rPr>
            <w:rStyle w:val="Hyperlink"/>
            <w:iCs/>
            <w:noProof/>
          </w:rPr>
          <w:t>9.4</w:t>
        </w:r>
        <w:r w:rsidR="007C143B">
          <w:rPr>
            <w:rFonts w:asciiTheme="minorHAnsi" w:eastAsiaTheme="minorEastAsia" w:hAnsiTheme="minorHAnsi" w:cstheme="minorBidi"/>
            <w:noProof/>
            <w:snapToGrid/>
            <w:color w:val="auto"/>
            <w:kern w:val="2"/>
            <w14:ligatures w14:val="standardContextual"/>
          </w:rPr>
          <w:tab/>
        </w:r>
        <w:r w:rsidR="007C143B" w:rsidRPr="00CF493A">
          <w:rPr>
            <w:rStyle w:val="Hyperlink"/>
            <w:noProof/>
          </w:rPr>
          <w:t>Analysis of Secondary Endpoints</w:t>
        </w:r>
        <w:r w:rsidR="007C143B">
          <w:rPr>
            <w:noProof/>
            <w:webHidden/>
          </w:rPr>
          <w:tab/>
        </w:r>
        <w:r w:rsidR="007C143B">
          <w:rPr>
            <w:noProof/>
            <w:webHidden/>
          </w:rPr>
          <w:fldChar w:fldCharType="begin"/>
        </w:r>
        <w:r w:rsidR="007C143B">
          <w:rPr>
            <w:noProof/>
            <w:webHidden/>
          </w:rPr>
          <w:instrText xml:space="preserve"> PAGEREF _Toc176419927 \h </w:instrText>
        </w:r>
        <w:r w:rsidR="007C143B">
          <w:rPr>
            <w:noProof/>
            <w:webHidden/>
          </w:rPr>
        </w:r>
        <w:r w:rsidR="007C143B">
          <w:rPr>
            <w:noProof/>
            <w:webHidden/>
          </w:rPr>
          <w:fldChar w:fldCharType="separate"/>
        </w:r>
        <w:r w:rsidR="00D947DB">
          <w:rPr>
            <w:noProof/>
            <w:webHidden/>
          </w:rPr>
          <w:t>65</w:t>
        </w:r>
        <w:r w:rsidR="007C143B">
          <w:rPr>
            <w:noProof/>
            <w:webHidden/>
          </w:rPr>
          <w:fldChar w:fldCharType="end"/>
        </w:r>
      </w:hyperlink>
    </w:p>
    <w:p w14:paraId="3509836C" w14:textId="22B589C8" w:rsidR="007C143B" w:rsidRDefault="003B13CC">
      <w:pPr>
        <w:pStyle w:val="TOC1"/>
        <w:rPr>
          <w:rFonts w:asciiTheme="minorHAnsi" w:eastAsiaTheme="minorEastAsia" w:hAnsiTheme="minorHAnsi" w:cstheme="minorBidi"/>
          <w:snapToGrid/>
          <w:color w:val="auto"/>
          <w:kern w:val="2"/>
          <w14:ligatures w14:val="standardContextual"/>
        </w:rPr>
      </w:pPr>
      <w:hyperlink w:anchor="_Toc176419928" w:history="1">
        <w:r w:rsidR="007C143B" w:rsidRPr="00CF493A">
          <w:rPr>
            <w:rStyle w:val="Hyperlink"/>
          </w:rPr>
          <w:t>10.</w:t>
        </w:r>
        <w:r w:rsidR="007C143B">
          <w:rPr>
            <w:rFonts w:asciiTheme="minorHAnsi" w:eastAsiaTheme="minorEastAsia" w:hAnsiTheme="minorHAnsi" w:cstheme="minorBidi"/>
            <w:snapToGrid/>
            <w:color w:val="auto"/>
            <w:kern w:val="2"/>
            <w14:ligatures w14:val="standardContextual"/>
          </w:rPr>
          <w:tab/>
        </w:r>
        <w:r w:rsidR="007C143B" w:rsidRPr="00CF493A">
          <w:rPr>
            <w:rStyle w:val="Hyperlink"/>
          </w:rPr>
          <w:t>ADVERSE EVENTS:  LIST AND REPORTING REQUIREMENTS</w:t>
        </w:r>
        <w:r w:rsidR="007C143B">
          <w:rPr>
            <w:webHidden/>
          </w:rPr>
          <w:tab/>
        </w:r>
        <w:r w:rsidR="007C143B">
          <w:rPr>
            <w:webHidden/>
          </w:rPr>
          <w:fldChar w:fldCharType="begin"/>
        </w:r>
        <w:r w:rsidR="007C143B">
          <w:rPr>
            <w:webHidden/>
          </w:rPr>
          <w:instrText xml:space="preserve"> PAGEREF _Toc176419928 \h </w:instrText>
        </w:r>
        <w:r w:rsidR="007C143B">
          <w:rPr>
            <w:webHidden/>
          </w:rPr>
        </w:r>
        <w:r w:rsidR="007C143B">
          <w:rPr>
            <w:webHidden/>
          </w:rPr>
          <w:fldChar w:fldCharType="separate"/>
        </w:r>
        <w:r w:rsidR="00D947DB">
          <w:rPr>
            <w:webHidden/>
          </w:rPr>
          <w:t>65</w:t>
        </w:r>
        <w:r w:rsidR="007C143B">
          <w:rPr>
            <w:webHidden/>
          </w:rPr>
          <w:fldChar w:fldCharType="end"/>
        </w:r>
      </w:hyperlink>
    </w:p>
    <w:p w14:paraId="49038579" w14:textId="6FB743CE" w:rsidR="007C143B" w:rsidRDefault="003B13CC">
      <w:pPr>
        <w:pStyle w:val="TOC2"/>
        <w:rPr>
          <w:rFonts w:asciiTheme="minorHAnsi" w:eastAsiaTheme="minorEastAsia" w:hAnsiTheme="minorHAnsi" w:cstheme="minorBidi"/>
          <w:noProof/>
          <w:snapToGrid/>
          <w:color w:val="auto"/>
          <w:kern w:val="2"/>
          <w14:ligatures w14:val="standardContextual"/>
        </w:rPr>
      </w:pPr>
      <w:hyperlink w:anchor="_Toc176419929" w:history="1">
        <w:r w:rsidR="007C143B" w:rsidRPr="00CF493A">
          <w:rPr>
            <w:rStyle w:val="Hyperlink"/>
            <w:iCs/>
            <w:noProof/>
          </w:rPr>
          <w:t>10.1</w:t>
        </w:r>
        <w:r w:rsidR="007C143B">
          <w:rPr>
            <w:rFonts w:asciiTheme="minorHAnsi" w:eastAsiaTheme="minorEastAsia" w:hAnsiTheme="minorHAnsi" w:cstheme="minorBidi"/>
            <w:noProof/>
            <w:snapToGrid/>
            <w:color w:val="auto"/>
            <w:kern w:val="2"/>
            <w14:ligatures w14:val="standardContextual"/>
          </w:rPr>
          <w:tab/>
        </w:r>
        <w:r w:rsidR="007C143B" w:rsidRPr="00CF493A">
          <w:rPr>
            <w:rStyle w:val="Hyperlink"/>
            <w:noProof/>
          </w:rPr>
          <w:t>Comprehensive Adverse Events and Potential Risks List (CAEPR)</w:t>
        </w:r>
        <w:r w:rsidR="007C143B">
          <w:rPr>
            <w:noProof/>
            <w:webHidden/>
          </w:rPr>
          <w:tab/>
        </w:r>
        <w:r w:rsidR="007C143B">
          <w:rPr>
            <w:noProof/>
            <w:webHidden/>
          </w:rPr>
          <w:fldChar w:fldCharType="begin"/>
        </w:r>
        <w:r w:rsidR="007C143B">
          <w:rPr>
            <w:noProof/>
            <w:webHidden/>
          </w:rPr>
          <w:instrText xml:space="preserve"> PAGEREF _Toc176419929 \h </w:instrText>
        </w:r>
        <w:r w:rsidR="007C143B">
          <w:rPr>
            <w:noProof/>
            <w:webHidden/>
          </w:rPr>
        </w:r>
        <w:r w:rsidR="007C143B">
          <w:rPr>
            <w:noProof/>
            <w:webHidden/>
          </w:rPr>
          <w:fldChar w:fldCharType="separate"/>
        </w:r>
        <w:r w:rsidR="00D947DB">
          <w:rPr>
            <w:noProof/>
            <w:webHidden/>
          </w:rPr>
          <w:t>65</w:t>
        </w:r>
        <w:r w:rsidR="007C143B">
          <w:rPr>
            <w:noProof/>
            <w:webHidden/>
          </w:rPr>
          <w:fldChar w:fldCharType="end"/>
        </w:r>
      </w:hyperlink>
    </w:p>
    <w:p w14:paraId="2724587D" w14:textId="515AA5B7" w:rsidR="007C143B" w:rsidRDefault="003B13CC">
      <w:pPr>
        <w:pStyle w:val="TOC2"/>
        <w:rPr>
          <w:rFonts w:asciiTheme="minorHAnsi" w:eastAsiaTheme="minorEastAsia" w:hAnsiTheme="minorHAnsi" w:cstheme="minorBidi"/>
          <w:noProof/>
          <w:snapToGrid/>
          <w:color w:val="auto"/>
          <w:kern w:val="2"/>
          <w14:ligatures w14:val="standardContextual"/>
        </w:rPr>
      </w:pPr>
      <w:hyperlink w:anchor="_Toc176419930" w:history="1">
        <w:r w:rsidR="007C143B" w:rsidRPr="00CF493A">
          <w:rPr>
            <w:rStyle w:val="Hyperlink"/>
            <w:iCs/>
            <w:noProof/>
          </w:rPr>
          <w:t>10.2</w:t>
        </w:r>
        <w:r w:rsidR="007C143B">
          <w:rPr>
            <w:rFonts w:asciiTheme="minorHAnsi" w:eastAsiaTheme="minorEastAsia" w:hAnsiTheme="minorHAnsi" w:cstheme="minorBidi"/>
            <w:noProof/>
            <w:snapToGrid/>
            <w:color w:val="auto"/>
            <w:kern w:val="2"/>
            <w14:ligatures w14:val="standardContextual"/>
          </w:rPr>
          <w:tab/>
        </w:r>
        <w:r w:rsidR="007C143B" w:rsidRPr="00CF493A">
          <w:rPr>
            <w:rStyle w:val="Hyperlink"/>
            <w:noProof/>
          </w:rPr>
          <w:t>Adverse Event Characteristics</w:t>
        </w:r>
        <w:r w:rsidR="007C143B">
          <w:rPr>
            <w:noProof/>
            <w:webHidden/>
          </w:rPr>
          <w:tab/>
        </w:r>
        <w:r w:rsidR="007C143B">
          <w:rPr>
            <w:noProof/>
            <w:webHidden/>
          </w:rPr>
          <w:fldChar w:fldCharType="begin"/>
        </w:r>
        <w:r w:rsidR="007C143B">
          <w:rPr>
            <w:noProof/>
            <w:webHidden/>
          </w:rPr>
          <w:instrText xml:space="preserve"> PAGEREF _Toc176419930 \h </w:instrText>
        </w:r>
        <w:r w:rsidR="007C143B">
          <w:rPr>
            <w:noProof/>
            <w:webHidden/>
          </w:rPr>
        </w:r>
        <w:r w:rsidR="007C143B">
          <w:rPr>
            <w:noProof/>
            <w:webHidden/>
          </w:rPr>
          <w:fldChar w:fldCharType="separate"/>
        </w:r>
        <w:r w:rsidR="00D947DB">
          <w:rPr>
            <w:noProof/>
            <w:webHidden/>
          </w:rPr>
          <w:t>69</w:t>
        </w:r>
        <w:r w:rsidR="007C143B">
          <w:rPr>
            <w:noProof/>
            <w:webHidden/>
          </w:rPr>
          <w:fldChar w:fldCharType="end"/>
        </w:r>
      </w:hyperlink>
    </w:p>
    <w:p w14:paraId="38636B9B" w14:textId="54D8339C" w:rsidR="007C143B" w:rsidRDefault="003B13CC">
      <w:pPr>
        <w:pStyle w:val="TOC2"/>
        <w:rPr>
          <w:rFonts w:asciiTheme="minorHAnsi" w:eastAsiaTheme="minorEastAsia" w:hAnsiTheme="minorHAnsi" w:cstheme="minorBidi"/>
          <w:noProof/>
          <w:snapToGrid/>
          <w:color w:val="auto"/>
          <w:kern w:val="2"/>
          <w14:ligatures w14:val="standardContextual"/>
        </w:rPr>
      </w:pPr>
      <w:hyperlink w:anchor="_Toc176419931" w:history="1">
        <w:r w:rsidR="007C143B" w:rsidRPr="00CF493A">
          <w:rPr>
            <w:rStyle w:val="Hyperlink"/>
            <w:iCs/>
            <w:noProof/>
          </w:rPr>
          <w:t>10.3</w:t>
        </w:r>
        <w:r w:rsidR="007C143B">
          <w:rPr>
            <w:rFonts w:asciiTheme="minorHAnsi" w:eastAsiaTheme="minorEastAsia" w:hAnsiTheme="minorHAnsi" w:cstheme="minorBidi"/>
            <w:noProof/>
            <w:snapToGrid/>
            <w:color w:val="auto"/>
            <w:kern w:val="2"/>
            <w14:ligatures w14:val="standardContextual"/>
          </w:rPr>
          <w:tab/>
        </w:r>
        <w:r w:rsidR="007C143B" w:rsidRPr="00CF493A">
          <w:rPr>
            <w:rStyle w:val="Hyperlink"/>
            <w:noProof/>
          </w:rPr>
          <w:t>Expedited Adverse Event Reporting</w:t>
        </w:r>
        <w:r w:rsidR="007C143B">
          <w:rPr>
            <w:noProof/>
            <w:webHidden/>
          </w:rPr>
          <w:tab/>
        </w:r>
        <w:r w:rsidR="007C143B">
          <w:rPr>
            <w:noProof/>
            <w:webHidden/>
          </w:rPr>
          <w:fldChar w:fldCharType="begin"/>
        </w:r>
        <w:r w:rsidR="007C143B">
          <w:rPr>
            <w:noProof/>
            <w:webHidden/>
          </w:rPr>
          <w:instrText xml:space="preserve"> PAGEREF _Toc176419931 \h </w:instrText>
        </w:r>
        <w:r w:rsidR="007C143B">
          <w:rPr>
            <w:noProof/>
            <w:webHidden/>
          </w:rPr>
        </w:r>
        <w:r w:rsidR="007C143B">
          <w:rPr>
            <w:noProof/>
            <w:webHidden/>
          </w:rPr>
          <w:fldChar w:fldCharType="separate"/>
        </w:r>
        <w:r w:rsidR="00D947DB">
          <w:rPr>
            <w:noProof/>
            <w:webHidden/>
          </w:rPr>
          <w:t>69</w:t>
        </w:r>
        <w:r w:rsidR="007C143B">
          <w:rPr>
            <w:noProof/>
            <w:webHidden/>
          </w:rPr>
          <w:fldChar w:fldCharType="end"/>
        </w:r>
      </w:hyperlink>
    </w:p>
    <w:p w14:paraId="5923FBFD" w14:textId="7788C6F9" w:rsidR="007C143B" w:rsidRDefault="003B13CC">
      <w:pPr>
        <w:pStyle w:val="TOC2"/>
        <w:rPr>
          <w:rFonts w:asciiTheme="minorHAnsi" w:eastAsiaTheme="minorEastAsia" w:hAnsiTheme="minorHAnsi" w:cstheme="minorBidi"/>
          <w:noProof/>
          <w:snapToGrid/>
          <w:color w:val="auto"/>
          <w:kern w:val="2"/>
          <w14:ligatures w14:val="standardContextual"/>
        </w:rPr>
      </w:pPr>
      <w:hyperlink w:anchor="_Toc176419932" w:history="1">
        <w:r w:rsidR="007C143B" w:rsidRPr="00CF493A">
          <w:rPr>
            <w:rStyle w:val="Hyperlink"/>
            <w:iCs/>
            <w:noProof/>
          </w:rPr>
          <w:t>10.4</w:t>
        </w:r>
        <w:r w:rsidR="007C143B">
          <w:rPr>
            <w:rFonts w:asciiTheme="minorHAnsi" w:eastAsiaTheme="minorEastAsia" w:hAnsiTheme="minorHAnsi" w:cstheme="minorBidi"/>
            <w:noProof/>
            <w:snapToGrid/>
            <w:color w:val="auto"/>
            <w:kern w:val="2"/>
            <w14:ligatures w14:val="standardContextual"/>
          </w:rPr>
          <w:tab/>
        </w:r>
        <w:r w:rsidR="007C143B" w:rsidRPr="00CF493A">
          <w:rPr>
            <w:rStyle w:val="Hyperlink"/>
            <w:noProof/>
          </w:rPr>
          <w:t>Routine Adverse Event Reporting</w:t>
        </w:r>
        <w:r w:rsidR="007C143B">
          <w:rPr>
            <w:noProof/>
            <w:webHidden/>
          </w:rPr>
          <w:tab/>
        </w:r>
        <w:r w:rsidR="007C143B">
          <w:rPr>
            <w:noProof/>
            <w:webHidden/>
          </w:rPr>
          <w:fldChar w:fldCharType="begin"/>
        </w:r>
        <w:r w:rsidR="007C143B">
          <w:rPr>
            <w:noProof/>
            <w:webHidden/>
          </w:rPr>
          <w:instrText xml:space="preserve"> PAGEREF _Toc176419932 \h </w:instrText>
        </w:r>
        <w:r w:rsidR="007C143B">
          <w:rPr>
            <w:noProof/>
            <w:webHidden/>
          </w:rPr>
        </w:r>
        <w:r w:rsidR="007C143B">
          <w:rPr>
            <w:noProof/>
            <w:webHidden/>
          </w:rPr>
          <w:fldChar w:fldCharType="separate"/>
        </w:r>
        <w:r w:rsidR="00D947DB">
          <w:rPr>
            <w:noProof/>
            <w:webHidden/>
          </w:rPr>
          <w:t>72</w:t>
        </w:r>
        <w:r w:rsidR="007C143B">
          <w:rPr>
            <w:noProof/>
            <w:webHidden/>
          </w:rPr>
          <w:fldChar w:fldCharType="end"/>
        </w:r>
      </w:hyperlink>
    </w:p>
    <w:p w14:paraId="5486FB37" w14:textId="5C149240" w:rsidR="007C143B" w:rsidRDefault="003B13CC">
      <w:pPr>
        <w:pStyle w:val="TOC2"/>
        <w:rPr>
          <w:rFonts w:asciiTheme="minorHAnsi" w:eastAsiaTheme="minorEastAsia" w:hAnsiTheme="minorHAnsi" w:cstheme="minorBidi"/>
          <w:noProof/>
          <w:snapToGrid/>
          <w:color w:val="auto"/>
          <w:kern w:val="2"/>
          <w14:ligatures w14:val="standardContextual"/>
        </w:rPr>
      </w:pPr>
      <w:hyperlink w:anchor="_Toc176419933" w:history="1">
        <w:r w:rsidR="007C143B" w:rsidRPr="00CF493A">
          <w:rPr>
            <w:rStyle w:val="Hyperlink"/>
            <w:iCs/>
            <w:noProof/>
          </w:rPr>
          <w:t>10.5</w:t>
        </w:r>
        <w:r w:rsidR="007C143B">
          <w:rPr>
            <w:rFonts w:asciiTheme="minorHAnsi" w:eastAsiaTheme="minorEastAsia" w:hAnsiTheme="minorHAnsi" w:cstheme="minorBidi"/>
            <w:noProof/>
            <w:snapToGrid/>
            <w:color w:val="auto"/>
            <w:kern w:val="2"/>
            <w14:ligatures w14:val="standardContextual"/>
          </w:rPr>
          <w:tab/>
        </w:r>
        <w:r w:rsidR="007C143B" w:rsidRPr="00CF493A">
          <w:rPr>
            <w:rStyle w:val="Hyperlink"/>
            <w:noProof/>
          </w:rPr>
          <w:t>Pregnancy</w:t>
        </w:r>
        <w:r w:rsidR="007C143B">
          <w:rPr>
            <w:noProof/>
            <w:webHidden/>
          </w:rPr>
          <w:tab/>
        </w:r>
        <w:r w:rsidR="007C143B">
          <w:rPr>
            <w:noProof/>
            <w:webHidden/>
          </w:rPr>
          <w:fldChar w:fldCharType="begin"/>
        </w:r>
        <w:r w:rsidR="007C143B">
          <w:rPr>
            <w:noProof/>
            <w:webHidden/>
          </w:rPr>
          <w:instrText xml:space="preserve"> PAGEREF _Toc176419933 \h </w:instrText>
        </w:r>
        <w:r w:rsidR="007C143B">
          <w:rPr>
            <w:noProof/>
            <w:webHidden/>
          </w:rPr>
        </w:r>
        <w:r w:rsidR="007C143B">
          <w:rPr>
            <w:noProof/>
            <w:webHidden/>
          </w:rPr>
          <w:fldChar w:fldCharType="separate"/>
        </w:r>
        <w:r w:rsidR="00D947DB">
          <w:rPr>
            <w:noProof/>
            <w:webHidden/>
          </w:rPr>
          <w:t>72</w:t>
        </w:r>
        <w:r w:rsidR="007C143B">
          <w:rPr>
            <w:noProof/>
            <w:webHidden/>
          </w:rPr>
          <w:fldChar w:fldCharType="end"/>
        </w:r>
      </w:hyperlink>
    </w:p>
    <w:p w14:paraId="596052CF" w14:textId="30A7F68B" w:rsidR="007C143B" w:rsidRDefault="003B13CC">
      <w:pPr>
        <w:pStyle w:val="TOC2"/>
        <w:rPr>
          <w:rFonts w:asciiTheme="minorHAnsi" w:eastAsiaTheme="minorEastAsia" w:hAnsiTheme="minorHAnsi" w:cstheme="minorBidi"/>
          <w:noProof/>
          <w:snapToGrid/>
          <w:color w:val="auto"/>
          <w:kern w:val="2"/>
          <w14:ligatures w14:val="standardContextual"/>
        </w:rPr>
      </w:pPr>
      <w:hyperlink w:anchor="_Toc176419934" w:history="1">
        <w:r w:rsidR="007C143B" w:rsidRPr="00CF493A">
          <w:rPr>
            <w:rStyle w:val="Hyperlink"/>
            <w:iCs/>
            <w:noProof/>
          </w:rPr>
          <w:t>10.6</w:t>
        </w:r>
        <w:r w:rsidR="007C143B">
          <w:rPr>
            <w:rFonts w:asciiTheme="minorHAnsi" w:eastAsiaTheme="minorEastAsia" w:hAnsiTheme="minorHAnsi" w:cstheme="minorBidi"/>
            <w:noProof/>
            <w:snapToGrid/>
            <w:color w:val="auto"/>
            <w:kern w:val="2"/>
            <w14:ligatures w14:val="standardContextual"/>
          </w:rPr>
          <w:tab/>
        </w:r>
        <w:r w:rsidR="007C143B" w:rsidRPr="00CF493A">
          <w:rPr>
            <w:rStyle w:val="Hyperlink"/>
            <w:noProof/>
          </w:rPr>
          <w:t>Secondary Malignancy</w:t>
        </w:r>
        <w:r w:rsidR="007C143B">
          <w:rPr>
            <w:noProof/>
            <w:webHidden/>
          </w:rPr>
          <w:tab/>
        </w:r>
        <w:r w:rsidR="007C143B">
          <w:rPr>
            <w:noProof/>
            <w:webHidden/>
          </w:rPr>
          <w:fldChar w:fldCharType="begin"/>
        </w:r>
        <w:r w:rsidR="007C143B">
          <w:rPr>
            <w:noProof/>
            <w:webHidden/>
          </w:rPr>
          <w:instrText xml:space="preserve"> PAGEREF _Toc176419934 \h </w:instrText>
        </w:r>
        <w:r w:rsidR="007C143B">
          <w:rPr>
            <w:noProof/>
            <w:webHidden/>
          </w:rPr>
        </w:r>
        <w:r w:rsidR="007C143B">
          <w:rPr>
            <w:noProof/>
            <w:webHidden/>
          </w:rPr>
          <w:fldChar w:fldCharType="separate"/>
        </w:r>
        <w:r w:rsidR="00D947DB">
          <w:rPr>
            <w:noProof/>
            <w:webHidden/>
          </w:rPr>
          <w:t>72</w:t>
        </w:r>
        <w:r w:rsidR="007C143B">
          <w:rPr>
            <w:noProof/>
            <w:webHidden/>
          </w:rPr>
          <w:fldChar w:fldCharType="end"/>
        </w:r>
      </w:hyperlink>
    </w:p>
    <w:p w14:paraId="5F55A344" w14:textId="40D6872E" w:rsidR="007C143B" w:rsidRDefault="003B13CC">
      <w:pPr>
        <w:pStyle w:val="TOC2"/>
        <w:rPr>
          <w:rFonts w:asciiTheme="minorHAnsi" w:eastAsiaTheme="minorEastAsia" w:hAnsiTheme="minorHAnsi" w:cstheme="minorBidi"/>
          <w:noProof/>
          <w:snapToGrid/>
          <w:color w:val="auto"/>
          <w:kern w:val="2"/>
          <w14:ligatures w14:val="standardContextual"/>
        </w:rPr>
      </w:pPr>
      <w:hyperlink w:anchor="_Toc176419935" w:history="1">
        <w:r w:rsidR="007C143B" w:rsidRPr="00CF493A">
          <w:rPr>
            <w:rStyle w:val="Hyperlink"/>
            <w:iCs/>
            <w:noProof/>
          </w:rPr>
          <w:t>10.7</w:t>
        </w:r>
        <w:r w:rsidR="007C143B">
          <w:rPr>
            <w:rFonts w:asciiTheme="minorHAnsi" w:eastAsiaTheme="minorEastAsia" w:hAnsiTheme="minorHAnsi" w:cstheme="minorBidi"/>
            <w:noProof/>
            <w:snapToGrid/>
            <w:color w:val="auto"/>
            <w:kern w:val="2"/>
            <w14:ligatures w14:val="standardContextual"/>
          </w:rPr>
          <w:tab/>
        </w:r>
        <w:r w:rsidR="007C143B" w:rsidRPr="00CF493A">
          <w:rPr>
            <w:rStyle w:val="Hyperlink"/>
            <w:noProof/>
          </w:rPr>
          <w:t>Second Malignancy</w:t>
        </w:r>
        <w:r w:rsidR="007C143B">
          <w:rPr>
            <w:noProof/>
            <w:webHidden/>
          </w:rPr>
          <w:tab/>
        </w:r>
        <w:r w:rsidR="007C143B">
          <w:rPr>
            <w:noProof/>
            <w:webHidden/>
          </w:rPr>
          <w:fldChar w:fldCharType="begin"/>
        </w:r>
        <w:r w:rsidR="007C143B">
          <w:rPr>
            <w:noProof/>
            <w:webHidden/>
          </w:rPr>
          <w:instrText xml:space="preserve"> PAGEREF _Toc176419935 \h </w:instrText>
        </w:r>
        <w:r w:rsidR="007C143B">
          <w:rPr>
            <w:noProof/>
            <w:webHidden/>
          </w:rPr>
        </w:r>
        <w:r w:rsidR="007C143B">
          <w:rPr>
            <w:noProof/>
            <w:webHidden/>
          </w:rPr>
          <w:fldChar w:fldCharType="separate"/>
        </w:r>
        <w:r w:rsidR="00D947DB">
          <w:rPr>
            <w:noProof/>
            <w:webHidden/>
          </w:rPr>
          <w:t>73</w:t>
        </w:r>
        <w:r w:rsidR="007C143B">
          <w:rPr>
            <w:noProof/>
            <w:webHidden/>
          </w:rPr>
          <w:fldChar w:fldCharType="end"/>
        </w:r>
      </w:hyperlink>
    </w:p>
    <w:p w14:paraId="73656043" w14:textId="2ABB90FF" w:rsidR="007C143B" w:rsidRDefault="003B13CC">
      <w:pPr>
        <w:pStyle w:val="TOC1"/>
        <w:rPr>
          <w:rFonts w:asciiTheme="minorHAnsi" w:eastAsiaTheme="minorEastAsia" w:hAnsiTheme="minorHAnsi" w:cstheme="minorBidi"/>
          <w:snapToGrid/>
          <w:color w:val="auto"/>
          <w:kern w:val="2"/>
          <w14:ligatures w14:val="standardContextual"/>
        </w:rPr>
      </w:pPr>
      <w:hyperlink w:anchor="_Toc176419936" w:history="1">
        <w:r w:rsidR="007C143B" w:rsidRPr="00CF493A">
          <w:rPr>
            <w:rStyle w:val="Hyperlink"/>
          </w:rPr>
          <w:t>11.</w:t>
        </w:r>
        <w:r w:rsidR="007C143B">
          <w:rPr>
            <w:rFonts w:asciiTheme="minorHAnsi" w:eastAsiaTheme="minorEastAsia" w:hAnsiTheme="minorHAnsi" w:cstheme="minorBidi"/>
            <w:snapToGrid/>
            <w:color w:val="auto"/>
            <w:kern w:val="2"/>
            <w14:ligatures w14:val="standardContextual"/>
          </w:rPr>
          <w:tab/>
        </w:r>
        <w:r w:rsidR="007C143B" w:rsidRPr="00CF493A">
          <w:rPr>
            <w:rStyle w:val="Hyperlink"/>
          </w:rPr>
          <w:t>STUDY CALENDAR</w:t>
        </w:r>
        <w:r w:rsidR="007C143B">
          <w:rPr>
            <w:webHidden/>
          </w:rPr>
          <w:tab/>
        </w:r>
        <w:r w:rsidR="007C143B">
          <w:rPr>
            <w:webHidden/>
          </w:rPr>
          <w:fldChar w:fldCharType="begin"/>
        </w:r>
        <w:r w:rsidR="007C143B">
          <w:rPr>
            <w:webHidden/>
          </w:rPr>
          <w:instrText xml:space="preserve"> PAGEREF _Toc176419936 \h </w:instrText>
        </w:r>
        <w:r w:rsidR="007C143B">
          <w:rPr>
            <w:webHidden/>
          </w:rPr>
        </w:r>
        <w:r w:rsidR="007C143B">
          <w:rPr>
            <w:webHidden/>
          </w:rPr>
          <w:fldChar w:fldCharType="separate"/>
        </w:r>
        <w:r w:rsidR="00D947DB">
          <w:rPr>
            <w:webHidden/>
          </w:rPr>
          <w:t>74</w:t>
        </w:r>
        <w:r w:rsidR="007C143B">
          <w:rPr>
            <w:webHidden/>
          </w:rPr>
          <w:fldChar w:fldCharType="end"/>
        </w:r>
      </w:hyperlink>
    </w:p>
    <w:p w14:paraId="132ACE26" w14:textId="6FFC27AD" w:rsidR="007C143B" w:rsidRDefault="003B13CC">
      <w:pPr>
        <w:pStyle w:val="TOC1"/>
        <w:rPr>
          <w:rFonts w:asciiTheme="minorHAnsi" w:eastAsiaTheme="minorEastAsia" w:hAnsiTheme="minorHAnsi" w:cstheme="minorBidi"/>
          <w:snapToGrid/>
          <w:color w:val="auto"/>
          <w:kern w:val="2"/>
          <w14:ligatures w14:val="standardContextual"/>
        </w:rPr>
      </w:pPr>
      <w:hyperlink w:anchor="_Toc176419937" w:history="1">
        <w:r w:rsidR="007C143B" w:rsidRPr="00CF493A">
          <w:rPr>
            <w:rStyle w:val="Hyperlink"/>
          </w:rPr>
          <w:t>12.</w:t>
        </w:r>
        <w:r w:rsidR="007C143B">
          <w:rPr>
            <w:rFonts w:asciiTheme="minorHAnsi" w:eastAsiaTheme="minorEastAsia" w:hAnsiTheme="minorHAnsi" w:cstheme="minorBidi"/>
            <w:snapToGrid/>
            <w:color w:val="auto"/>
            <w:kern w:val="2"/>
            <w14:ligatures w14:val="standardContextual"/>
          </w:rPr>
          <w:tab/>
        </w:r>
        <w:r w:rsidR="007C143B" w:rsidRPr="00CF493A">
          <w:rPr>
            <w:rStyle w:val="Hyperlink"/>
          </w:rPr>
          <w:t>MEASUREMENT OF EFFECT</w:t>
        </w:r>
        <w:r w:rsidR="007C143B">
          <w:rPr>
            <w:webHidden/>
          </w:rPr>
          <w:tab/>
        </w:r>
        <w:r w:rsidR="007C143B">
          <w:rPr>
            <w:webHidden/>
          </w:rPr>
          <w:fldChar w:fldCharType="begin"/>
        </w:r>
        <w:r w:rsidR="007C143B">
          <w:rPr>
            <w:webHidden/>
          </w:rPr>
          <w:instrText xml:space="preserve"> PAGEREF _Toc176419937 \h </w:instrText>
        </w:r>
        <w:r w:rsidR="007C143B">
          <w:rPr>
            <w:webHidden/>
          </w:rPr>
        </w:r>
        <w:r w:rsidR="007C143B">
          <w:rPr>
            <w:webHidden/>
          </w:rPr>
          <w:fldChar w:fldCharType="separate"/>
        </w:r>
        <w:r w:rsidR="00D947DB">
          <w:rPr>
            <w:webHidden/>
          </w:rPr>
          <w:t>76</w:t>
        </w:r>
        <w:r w:rsidR="007C143B">
          <w:rPr>
            <w:webHidden/>
          </w:rPr>
          <w:fldChar w:fldCharType="end"/>
        </w:r>
      </w:hyperlink>
    </w:p>
    <w:p w14:paraId="6C33392E" w14:textId="5258FC72" w:rsidR="007C143B" w:rsidRDefault="003B13CC">
      <w:pPr>
        <w:pStyle w:val="TOC2"/>
        <w:rPr>
          <w:rFonts w:asciiTheme="minorHAnsi" w:eastAsiaTheme="minorEastAsia" w:hAnsiTheme="minorHAnsi" w:cstheme="minorBidi"/>
          <w:noProof/>
          <w:snapToGrid/>
          <w:color w:val="auto"/>
          <w:kern w:val="2"/>
          <w14:ligatures w14:val="standardContextual"/>
        </w:rPr>
      </w:pPr>
      <w:hyperlink w:anchor="_Toc176419938" w:history="1">
        <w:r w:rsidR="007C143B" w:rsidRPr="00CF493A">
          <w:rPr>
            <w:rStyle w:val="Hyperlink"/>
            <w:iCs/>
            <w:noProof/>
          </w:rPr>
          <w:t>12.1</w:t>
        </w:r>
        <w:r w:rsidR="007C143B">
          <w:rPr>
            <w:rFonts w:asciiTheme="minorHAnsi" w:eastAsiaTheme="minorEastAsia" w:hAnsiTheme="minorHAnsi" w:cstheme="minorBidi"/>
            <w:noProof/>
            <w:snapToGrid/>
            <w:color w:val="auto"/>
            <w:kern w:val="2"/>
            <w14:ligatures w14:val="standardContextual"/>
          </w:rPr>
          <w:tab/>
        </w:r>
        <w:r w:rsidR="007C143B" w:rsidRPr="00CF493A">
          <w:rPr>
            <w:rStyle w:val="Hyperlink"/>
            <w:noProof/>
          </w:rPr>
          <w:t>Antitumor Effect – Solid Tumors</w:t>
        </w:r>
        <w:r w:rsidR="007C143B">
          <w:rPr>
            <w:noProof/>
            <w:webHidden/>
          </w:rPr>
          <w:tab/>
        </w:r>
        <w:r w:rsidR="007C143B">
          <w:rPr>
            <w:noProof/>
            <w:webHidden/>
          </w:rPr>
          <w:fldChar w:fldCharType="begin"/>
        </w:r>
        <w:r w:rsidR="007C143B">
          <w:rPr>
            <w:noProof/>
            <w:webHidden/>
          </w:rPr>
          <w:instrText xml:space="preserve"> PAGEREF _Toc176419938 \h </w:instrText>
        </w:r>
        <w:r w:rsidR="007C143B">
          <w:rPr>
            <w:noProof/>
            <w:webHidden/>
          </w:rPr>
        </w:r>
        <w:r w:rsidR="007C143B">
          <w:rPr>
            <w:noProof/>
            <w:webHidden/>
          </w:rPr>
          <w:fldChar w:fldCharType="separate"/>
        </w:r>
        <w:r w:rsidR="00D947DB">
          <w:rPr>
            <w:noProof/>
            <w:webHidden/>
          </w:rPr>
          <w:t>76</w:t>
        </w:r>
        <w:r w:rsidR="007C143B">
          <w:rPr>
            <w:noProof/>
            <w:webHidden/>
          </w:rPr>
          <w:fldChar w:fldCharType="end"/>
        </w:r>
      </w:hyperlink>
    </w:p>
    <w:p w14:paraId="04258E74" w14:textId="5D7F9062" w:rsidR="007C143B" w:rsidRDefault="003B13CC">
      <w:pPr>
        <w:pStyle w:val="TOC1"/>
        <w:rPr>
          <w:rFonts w:asciiTheme="minorHAnsi" w:eastAsiaTheme="minorEastAsia" w:hAnsiTheme="minorHAnsi" w:cstheme="minorBidi"/>
          <w:snapToGrid/>
          <w:color w:val="auto"/>
          <w:kern w:val="2"/>
          <w14:ligatures w14:val="standardContextual"/>
        </w:rPr>
      </w:pPr>
      <w:hyperlink w:anchor="_Toc176419939" w:history="1">
        <w:r w:rsidR="007C143B" w:rsidRPr="00CF493A">
          <w:rPr>
            <w:rStyle w:val="Hyperlink"/>
          </w:rPr>
          <w:t>13.</w:t>
        </w:r>
        <w:r w:rsidR="007C143B">
          <w:rPr>
            <w:rFonts w:asciiTheme="minorHAnsi" w:eastAsiaTheme="minorEastAsia" w:hAnsiTheme="minorHAnsi" w:cstheme="minorBidi"/>
            <w:snapToGrid/>
            <w:color w:val="auto"/>
            <w:kern w:val="2"/>
            <w14:ligatures w14:val="standardContextual"/>
          </w:rPr>
          <w:tab/>
        </w:r>
        <w:r w:rsidR="007C143B" w:rsidRPr="00CF493A">
          <w:rPr>
            <w:rStyle w:val="Hyperlink"/>
          </w:rPr>
          <w:t>STUDY OVERSIGHT AND DATA REPORTING / REGULATORY REQUIREMENTS</w:t>
        </w:r>
        <w:r w:rsidR="007C143B">
          <w:rPr>
            <w:webHidden/>
          </w:rPr>
          <w:tab/>
        </w:r>
        <w:r w:rsidR="007C143B">
          <w:rPr>
            <w:webHidden/>
          </w:rPr>
          <w:fldChar w:fldCharType="begin"/>
        </w:r>
        <w:r w:rsidR="007C143B">
          <w:rPr>
            <w:webHidden/>
          </w:rPr>
          <w:instrText xml:space="preserve"> PAGEREF _Toc176419939 \h </w:instrText>
        </w:r>
        <w:r w:rsidR="007C143B">
          <w:rPr>
            <w:webHidden/>
          </w:rPr>
        </w:r>
        <w:r w:rsidR="007C143B">
          <w:rPr>
            <w:webHidden/>
          </w:rPr>
          <w:fldChar w:fldCharType="separate"/>
        </w:r>
        <w:r w:rsidR="00D947DB">
          <w:rPr>
            <w:webHidden/>
          </w:rPr>
          <w:t>79</w:t>
        </w:r>
        <w:r w:rsidR="007C143B">
          <w:rPr>
            <w:webHidden/>
          </w:rPr>
          <w:fldChar w:fldCharType="end"/>
        </w:r>
      </w:hyperlink>
    </w:p>
    <w:p w14:paraId="2FD6AB9E" w14:textId="452C62D3" w:rsidR="007C143B" w:rsidRDefault="003B13CC">
      <w:pPr>
        <w:pStyle w:val="TOC2"/>
        <w:rPr>
          <w:rFonts w:asciiTheme="minorHAnsi" w:eastAsiaTheme="minorEastAsia" w:hAnsiTheme="minorHAnsi" w:cstheme="minorBidi"/>
          <w:noProof/>
          <w:snapToGrid/>
          <w:color w:val="auto"/>
          <w:kern w:val="2"/>
          <w14:ligatures w14:val="standardContextual"/>
        </w:rPr>
      </w:pPr>
      <w:hyperlink w:anchor="_Toc176419940" w:history="1">
        <w:r w:rsidR="007C143B" w:rsidRPr="00CF493A">
          <w:rPr>
            <w:rStyle w:val="Hyperlink"/>
            <w:iCs/>
            <w:noProof/>
          </w:rPr>
          <w:t>13.1</w:t>
        </w:r>
        <w:r w:rsidR="007C143B">
          <w:rPr>
            <w:rFonts w:asciiTheme="minorHAnsi" w:eastAsiaTheme="minorEastAsia" w:hAnsiTheme="minorHAnsi" w:cstheme="minorBidi"/>
            <w:noProof/>
            <w:snapToGrid/>
            <w:color w:val="auto"/>
            <w:kern w:val="2"/>
            <w14:ligatures w14:val="standardContextual"/>
          </w:rPr>
          <w:tab/>
        </w:r>
        <w:r w:rsidR="007C143B" w:rsidRPr="00CF493A">
          <w:rPr>
            <w:rStyle w:val="Hyperlink"/>
            <w:noProof/>
          </w:rPr>
          <w:t>Study Oversight</w:t>
        </w:r>
        <w:r w:rsidR="007C143B">
          <w:rPr>
            <w:noProof/>
            <w:webHidden/>
          </w:rPr>
          <w:tab/>
        </w:r>
        <w:r w:rsidR="007C143B">
          <w:rPr>
            <w:noProof/>
            <w:webHidden/>
          </w:rPr>
          <w:fldChar w:fldCharType="begin"/>
        </w:r>
        <w:r w:rsidR="007C143B">
          <w:rPr>
            <w:noProof/>
            <w:webHidden/>
          </w:rPr>
          <w:instrText xml:space="preserve"> PAGEREF _Toc176419940 \h </w:instrText>
        </w:r>
        <w:r w:rsidR="007C143B">
          <w:rPr>
            <w:noProof/>
            <w:webHidden/>
          </w:rPr>
        </w:r>
        <w:r w:rsidR="007C143B">
          <w:rPr>
            <w:noProof/>
            <w:webHidden/>
          </w:rPr>
          <w:fldChar w:fldCharType="separate"/>
        </w:r>
        <w:r w:rsidR="00D947DB">
          <w:rPr>
            <w:noProof/>
            <w:webHidden/>
          </w:rPr>
          <w:t>80</w:t>
        </w:r>
        <w:r w:rsidR="007C143B">
          <w:rPr>
            <w:noProof/>
            <w:webHidden/>
          </w:rPr>
          <w:fldChar w:fldCharType="end"/>
        </w:r>
      </w:hyperlink>
    </w:p>
    <w:p w14:paraId="59829E12" w14:textId="1432529C" w:rsidR="007C143B" w:rsidRDefault="003B13CC">
      <w:pPr>
        <w:pStyle w:val="TOC2"/>
        <w:rPr>
          <w:rFonts w:asciiTheme="minorHAnsi" w:eastAsiaTheme="minorEastAsia" w:hAnsiTheme="minorHAnsi" w:cstheme="minorBidi"/>
          <w:noProof/>
          <w:snapToGrid/>
          <w:color w:val="auto"/>
          <w:kern w:val="2"/>
          <w14:ligatures w14:val="standardContextual"/>
        </w:rPr>
      </w:pPr>
      <w:hyperlink w:anchor="_Toc176419941" w:history="1">
        <w:r w:rsidR="007C143B" w:rsidRPr="00CF493A">
          <w:rPr>
            <w:rStyle w:val="Hyperlink"/>
            <w:iCs/>
            <w:noProof/>
          </w:rPr>
          <w:t>13.2</w:t>
        </w:r>
        <w:r w:rsidR="007C143B">
          <w:rPr>
            <w:rFonts w:asciiTheme="minorHAnsi" w:eastAsiaTheme="minorEastAsia" w:hAnsiTheme="minorHAnsi" w:cstheme="minorBidi"/>
            <w:noProof/>
            <w:snapToGrid/>
            <w:color w:val="auto"/>
            <w:kern w:val="2"/>
            <w14:ligatures w14:val="standardContextual"/>
          </w:rPr>
          <w:tab/>
        </w:r>
        <w:r w:rsidR="007C143B" w:rsidRPr="00CF493A">
          <w:rPr>
            <w:rStyle w:val="Hyperlink"/>
            <w:noProof/>
          </w:rPr>
          <w:t>Data Reporting</w:t>
        </w:r>
        <w:r w:rsidR="007C143B">
          <w:rPr>
            <w:noProof/>
            <w:webHidden/>
          </w:rPr>
          <w:tab/>
        </w:r>
        <w:r w:rsidR="007C143B">
          <w:rPr>
            <w:noProof/>
            <w:webHidden/>
          </w:rPr>
          <w:fldChar w:fldCharType="begin"/>
        </w:r>
        <w:r w:rsidR="007C143B">
          <w:rPr>
            <w:noProof/>
            <w:webHidden/>
          </w:rPr>
          <w:instrText xml:space="preserve"> PAGEREF _Toc176419941 \h </w:instrText>
        </w:r>
        <w:r w:rsidR="007C143B">
          <w:rPr>
            <w:noProof/>
            <w:webHidden/>
          </w:rPr>
        </w:r>
        <w:r w:rsidR="007C143B">
          <w:rPr>
            <w:noProof/>
            <w:webHidden/>
          </w:rPr>
          <w:fldChar w:fldCharType="separate"/>
        </w:r>
        <w:r w:rsidR="00D947DB">
          <w:rPr>
            <w:noProof/>
            <w:webHidden/>
          </w:rPr>
          <w:t>80</w:t>
        </w:r>
        <w:r w:rsidR="007C143B">
          <w:rPr>
            <w:noProof/>
            <w:webHidden/>
          </w:rPr>
          <w:fldChar w:fldCharType="end"/>
        </w:r>
      </w:hyperlink>
    </w:p>
    <w:p w14:paraId="02F6F1EF" w14:textId="7F8DB3BE" w:rsidR="007C143B" w:rsidRDefault="003B13CC">
      <w:pPr>
        <w:pStyle w:val="TOC2"/>
        <w:rPr>
          <w:rFonts w:asciiTheme="minorHAnsi" w:eastAsiaTheme="minorEastAsia" w:hAnsiTheme="minorHAnsi" w:cstheme="minorBidi"/>
          <w:noProof/>
          <w:snapToGrid/>
          <w:color w:val="auto"/>
          <w:kern w:val="2"/>
          <w14:ligatures w14:val="standardContextual"/>
        </w:rPr>
      </w:pPr>
      <w:hyperlink w:anchor="_Toc176419942" w:history="1">
        <w:r w:rsidR="007C143B" w:rsidRPr="00CF493A">
          <w:rPr>
            <w:rStyle w:val="Hyperlink"/>
            <w:iCs/>
            <w:noProof/>
          </w:rPr>
          <w:t>13.3</w:t>
        </w:r>
        <w:r w:rsidR="007C143B">
          <w:rPr>
            <w:rFonts w:asciiTheme="minorHAnsi" w:eastAsiaTheme="minorEastAsia" w:hAnsiTheme="minorHAnsi" w:cstheme="minorBidi"/>
            <w:noProof/>
            <w:snapToGrid/>
            <w:color w:val="auto"/>
            <w:kern w:val="2"/>
            <w14:ligatures w14:val="standardContextual"/>
          </w:rPr>
          <w:tab/>
        </w:r>
        <w:r w:rsidR="007C143B" w:rsidRPr="00CF493A">
          <w:rPr>
            <w:rStyle w:val="Hyperlink"/>
            <w:noProof/>
          </w:rPr>
          <w:t>Data Quality Portal</w:t>
        </w:r>
        <w:r w:rsidR="007C143B">
          <w:rPr>
            <w:noProof/>
            <w:webHidden/>
          </w:rPr>
          <w:tab/>
        </w:r>
        <w:r w:rsidR="007C143B">
          <w:rPr>
            <w:noProof/>
            <w:webHidden/>
          </w:rPr>
          <w:fldChar w:fldCharType="begin"/>
        </w:r>
        <w:r w:rsidR="007C143B">
          <w:rPr>
            <w:noProof/>
            <w:webHidden/>
          </w:rPr>
          <w:instrText xml:space="preserve"> PAGEREF _Toc176419942 \h </w:instrText>
        </w:r>
        <w:r w:rsidR="007C143B">
          <w:rPr>
            <w:noProof/>
            <w:webHidden/>
          </w:rPr>
        </w:r>
        <w:r w:rsidR="007C143B">
          <w:rPr>
            <w:noProof/>
            <w:webHidden/>
          </w:rPr>
          <w:fldChar w:fldCharType="separate"/>
        </w:r>
        <w:r w:rsidR="00D947DB">
          <w:rPr>
            <w:noProof/>
            <w:webHidden/>
          </w:rPr>
          <w:t>83</w:t>
        </w:r>
        <w:r w:rsidR="007C143B">
          <w:rPr>
            <w:noProof/>
            <w:webHidden/>
          </w:rPr>
          <w:fldChar w:fldCharType="end"/>
        </w:r>
      </w:hyperlink>
    </w:p>
    <w:p w14:paraId="56AC05AF" w14:textId="66294D07" w:rsidR="007C143B" w:rsidRDefault="003B13CC">
      <w:pPr>
        <w:pStyle w:val="TOC2"/>
        <w:rPr>
          <w:rFonts w:asciiTheme="minorHAnsi" w:eastAsiaTheme="minorEastAsia" w:hAnsiTheme="minorHAnsi" w:cstheme="minorBidi"/>
          <w:noProof/>
          <w:snapToGrid/>
          <w:color w:val="auto"/>
          <w:kern w:val="2"/>
          <w14:ligatures w14:val="standardContextual"/>
        </w:rPr>
      </w:pPr>
      <w:hyperlink w:anchor="_Toc176419943" w:history="1">
        <w:r w:rsidR="007C143B" w:rsidRPr="00CF493A">
          <w:rPr>
            <w:rStyle w:val="Hyperlink"/>
            <w:iCs/>
            <w:noProof/>
          </w:rPr>
          <w:t>13.4</w:t>
        </w:r>
        <w:r w:rsidR="007C143B">
          <w:rPr>
            <w:rFonts w:asciiTheme="minorHAnsi" w:eastAsiaTheme="minorEastAsia" w:hAnsiTheme="minorHAnsi" w:cstheme="minorBidi"/>
            <w:noProof/>
            <w:snapToGrid/>
            <w:color w:val="auto"/>
            <w:kern w:val="2"/>
            <w14:ligatures w14:val="standardContextual"/>
          </w:rPr>
          <w:tab/>
        </w:r>
        <w:r w:rsidR="007C143B" w:rsidRPr="00CF493A">
          <w:rPr>
            <w:rStyle w:val="Hyperlink"/>
            <w:noProof/>
          </w:rPr>
          <w:t>CTEP Multicenter Guidelines</w:t>
        </w:r>
        <w:r w:rsidR="007C143B">
          <w:rPr>
            <w:noProof/>
            <w:webHidden/>
          </w:rPr>
          <w:tab/>
        </w:r>
        <w:r w:rsidR="007C143B">
          <w:rPr>
            <w:noProof/>
            <w:webHidden/>
          </w:rPr>
          <w:fldChar w:fldCharType="begin"/>
        </w:r>
        <w:r w:rsidR="007C143B">
          <w:rPr>
            <w:noProof/>
            <w:webHidden/>
          </w:rPr>
          <w:instrText xml:space="preserve"> PAGEREF _Toc176419943 \h </w:instrText>
        </w:r>
        <w:r w:rsidR="007C143B">
          <w:rPr>
            <w:noProof/>
            <w:webHidden/>
          </w:rPr>
        </w:r>
        <w:r w:rsidR="007C143B">
          <w:rPr>
            <w:noProof/>
            <w:webHidden/>
          </w:rPr>
          <w:fldChar w:fldCharType="separate"/>
        </w:r>
        <w:r w:rsidR="00D947DB">
          <w:rPr>
            <w:noProof/>
            <w:webHidden/>
          </w:rPr>
          <w:t>84</w:t>
        </w:r>
        <w:r w:rsidR="007C143B">
          <w:rPr>
            <w:noProof/>
            <w:webHidden/>
          </w:rPr>
          <w:fldChar w:fldCharType="end"/>
        </w:r>
      </w:hyperlink>
    </w:p>
    <w:p w14:paraId="2062FCB2" w14:textId="3188F583" w:rsidR="007C143B" w:rsidRDefault="003B13CC">
      <w:pPr>
        <w:pStyle w:val="TOC2"/>
        <w:rPr>
          <w:rFonts w:asciiTheme="minorHAnsi" w:eastAsiaTheme="minorEastAsia" w:hAnsiTheme="minorHAnsi" w:cstheme="minorBidi"/>
          <w:noProof/>
          <w:snapToGrid/>
          <w:color w:val="auto"/>
          <w:kern w:val="2"/>
          <w14:ligatures w14:val="standardContextual"/>
        </w:rPr>
      </w:pPr>
      <w:hyperlink w:anchor="_Toc176419944" w:history="1">
        <w:r w:rsidR="007C143B" w:rsidRPr="00CF493A">
          <w:rPr>
            <w:rStyle w:val="Hyperlink"/>
            <w:iCs/>
            <w:noProof/>
          </w:rPr>
          <w:t>13.5</w:t>
        </w:r>
        <w:r w:rsidR="007C143B">
          <w:rPr>
            <w:rFonts w:asciiTheme="minorHAnsi" w:eastAsiaTheme="minorEastAsia" w:hAnsiTheme="minorHAnsi" w:cstheme="minorBidi"/>
            <w:noProof/>
            <w:snapToGrid/>
            <w:color w:val="auto"/>
            <w:kern w:val="2"/>
            <w14:ligatures w14:val="standardContextual"/>
          </w:rPr>
          <w:tab/>
        </w:r>
        <w:r w:rsidR="007C143B" w:rsidRPr="00CF493A">
          <w:rPr>
            <w:rStyle w:val="Hyperlink"/>
            <w:noProof/>
          </w:rPr>
          <w:t>Collaborative Agreements Language</w:t>
        </w:r>
        <w:r w:rsidR="007C143B">
          <w:rPr>
            <w:noProof/>
            <w:webHidden/>
          </w:rPr>
          <w:tab/>
        </w:r>
        <w:r w:rsidR="007C143B">
          <w:rPr>
            <w:noProof/>
            <w:webHidden/>
          </w:rPr>
          <w:fldChar w:fldCharType="begin"/>
        </w:r>
        <w:r w:rsidR="007C143B">
          <w:rPr>
            <w:noProof/>
            <w:webHidden/>
          </w:rPr>
          <w:instrText xml:space="preserve"> PAGEREF _Toc176419944 \h </w:instrText>
        </w:r>
        <w:r w:rsidR="007C143B">
          <w:rPr>
            <w:noProof/>
            <w:webHidden/>
          </w:rPr>
        </w:r>
        <w:r w:rsidR="007C143B">
          <w:rPr>
            <w:noProof/>
            <w:webHidden/>
          </w:rPr>
          <w:fldChar w:fldCharType="separate"/>
        </w:r>
        <w:r w:rsidR="00D947DB">
          <w:rPr>
            <w:noProof/>
            <w:webHidden/>
          </w:rPr>
          <w:t>84</w:t>
        </w:r>
        <w:r w:rsidR="007C143B">
          <w:rPr>
            <w:noProof/>
            <w:webHidden/>
          </w:rPr>
          <w:fldChar w:fldCharType="end"/>
        </w:r>
      </w:hyperlink>
    </w:p>
    <w:p w14:paraId="1084F549" w14:textId="0E316665" w:rsidR="007C143B" w:rsidRDefault="003B13CC">
      <w:pPr>
        <w:pStyle w:val="TOC1"/>
        <w:rPr>
          <w:rFonts w:asciiTheme="minorHAnsi" w:eastAsiaTheme="minorEastAsia" w:hAnsiTheme="minorHAnsi" w:cstheme="minorBidi"/>
          <w:snapToGrid/>
          <w:color w:val="auto"/>
          <w:kern w:val="2"/>
          <w14:ligatures w14:val="standardContextual"/>
        </w:rPr>
      </w:pPr>
      <w:hyperlink w:anchor="_Toc176419945" w:history="1">
        <w:r w:rsidR="007C143B" w:rsidRPr="00CF493A">
          <w:rPr>
            <w:rStyle w:val="Hyperlink"/>
          </w:rPr>
          <w:t>14.</w:t>
        </w:r>
        <w:r w:rsidR="007C143B">
          <w:rPr>
            <w:rFonts w:asciiTheme="minorHAnsi" w:eastAsiaTheme="minorEastAsia" w:hAnsiTheme="minorHAnsi" w:cstheme="minorBidi"/>
            <w:snapToGrid/>
            <w:color w:val="auto"/>
            <w:kern w:val="2"/>
            <w14:ligatures w14:val="standardContextual"/>
          </w:rPr>
          <w:tab/>
        </w:r>
        <w:r w:rsidR="007C143B" w:rsidRPr="00CF493A">
          <w:rPr>
            <w:rStyle w:val="Hyperlink"/>
          </w:rPr>
          <w:t>REFERENCES</w:t>
        </w:r>
        <w:r w:rsidR="007C143B">
          <w:rPr>
            <w:webHidden/>
          </w:rPr>
          <w:tab/>
        </w:r>
        <w:r w:rsidR="007C143B">
          <w:rPr>
            <w:webHidden/>
          </w:rPr>
          <w:fldChar w:fldCharType="begin"/>
        </w:r>
        <w:r w:rsidR="007C143B">
          <w:rPr>
            <w:webHidden/>
          </w:rPr>
          <w:instrText xml:space="preserve"> PAGEREF _Toc176419945 \h </w:instrText>
        </w:r>
        <w:r w:rsidR="007C143B">
          <w:rPr>
            <w:webHidden/>
          </w:rPr>
        </w:r>
        <w:r w:rsidR="007C143B">
          <w:rPr>
            <w:webHidden/>
          </w:rPr>
          <w:fldChar w:fldCharType="separate"/>
        </w:r>
        <w:r w:rsidR="00D947DB">
          <w:rPr>
            <w:webHidden/>
          </w:rPr>
          <w:t>86</w:t>
        </w:r>
        <w:r w:rsidR="007C143B">
          <w:rPr>
            <w:webHidden/>
          </w:rPr>
          <w:fldChar w:fldCharType="end"/>
        </w:r>
      </w:hyperlink>
    </w:p>
    <w:p w14:paraId="57C2A2F9" w14:textId="7EE9A19E" w:rsidR="007C143B" w:rsidRDefault="003B13CC">
      <w:pPr>
        <w:pStyle w:val="TOC1"/>
        <w:tabs>
          <w:tab w:val="left" w:pos="2160"/>
        </w:tabs>
        <w:rPr>
          <w:rFonts w:asciiTheme="minorHAnsi" w:eastAsiaTheme="minorEastAsia" w:hAnsiTheme="minorHAnsi" w:cstheme="minorBidi"/>
          <w:snapToGrid/>
          <w:color w:val="auto"/>
          <w:kern w:val="2"/>
          <w14:ligatures w14:val="standardContextual"/>
        </w:rPr>
      </w:pPr>
      <w:hyperlink w:anchor="_Toc176419946" w:history="1">
        <w:r w:rsidR="007C143B" w:rsidRPr="00CF493A">
          <w:rPr>
            <w:rStyle w:val="Hyperlink"/>
          </w:rPr>
          <w:t>APPENDIX A</w:t>
        </w:r>
        <w:r w:rsidR="007C143B">
          <w:rPr>
            <w:rFonts w:asciiTheme="minorHAnsi" w:eastAsiaTheme="minorEastAsia" w:hAnsiTheme="minorHAnsi" w:cstheme="minorBidi"/>
            <w:snapToGrid/>
            <w:color w:val="auto"/>
            <w:kern w:val="2"/>
            <w14:ligatures w14:val="standardContextual"/>
          </w:rPr>
          <w:tab/>
        </w:r>
        <w:r w:rsidR="007C143B" w:rsidRPr="00CF493A">
          <w:rPr>
            <w:rStyle w:val="Hyperlink"/>
          </w:rPr>
          <w:t>PERFORMANCE STATUS CRITERIA</w:t>
        </w:r>
        <w:r w:rsidR="007C143B">
          <w:rPr>
            <w:webHidden/>
          </w:rPr>
          <w:tab/>
        </w:r>
        <w:r w:rsidR="007C143B">
          <w:rPr>
            <w:webHidden/>
          </w:rPr>
          <w:fldChar w:fldCharType="begin"/>
        </w:r>
        <w:r w:rsidR="007C143B">
          <w:rPr>
            <w:webHidden/>
          </w:rPr>
          <w:instrText xml:space="preserve"> PAGEREF _Toc176419946 \h </w:instrText>
        </w:r>
        <w:r w:rsidR="007C143B">
          <w:rPr>
            <w:webHidden/>
          </w:rPr>
        </w:r>
        <w:r w:rsidR="007C143B">
          <w:rPr>
            <w:webHidden/>
          </w:rPr>
          <w:fldChar w:fldCharType="separate"/>
        </w:r>
        <w:r w:rsidR="00D947DB">
          <w:rPr>
            <w:webHidden/>
          </w:rPr>
          <w:t>92</w:t>
        </w:r>
        <w:r w:rsidR="007C143B">
          <w:rPr>
            <w:webHidden/>
          </w:rPr>
          <w:fldChar w:fldCharType="end"/>
        </w:r>
      </w:hyperlink>
    </w:p>
    <w:p w14:paraId="60F2FFCC" w14:textId="517C1023" w:rsidR="007C143B" w:rsidRDefault="003B13CC">
      <w:pPr>
        <w:pStyle w:val="TOC1"/>
        <w:tabs>
          <w:tab w:val="left" w:pos="2160"/>
        </w:tabs>
        <w:rPr>
          <w:rFonts w:asciiTheme="minorHAnsi" w:eastAsiaTheme="minorEastAsia" w:hAnsiTheme="minorHAnsi" w:cstheme="minorBidi"/>
          <w:snapToGrid/>
          <w:color w:val="auto"/>
          <w:kern w:val="2"/>
          <w14:ligatures w14:val="standardContextual"/>
        </w:rPr>
      </w:pPr>
      <w:hyperlink w:anchor="_Toc176419947" w:history="1">
        <w:r w:rsidR="007C143B" w:rsidRPr="00CF493A">
          <w:rPr>
            <w:rStyle w:val="Hyperlink"/>
          </w:rPr>
          <w:t>APPENDIX B</w:t>
        </w:r>
        <w:r w:rsidR="007C143B">
          <w:rPr>
            <w:rFonts w:asciiTheme="minorHAnsi" w:eastAsiaTheme="minorEastAsia" w:hAnsiTheme="minorHAnsi" w:cstheme="minorBidi"/>
            <w:snapToGrid/>
            <w:color w:val="auto"/>
            <w:kern w:val="2"/>
            <w14:ligatures w14:val="standardContextual"/>
          </w:rPr>
          <w:tab/>
        </w:r>
        <w:r w:rsidR="007C143B" w:rsidRPr="00CF493A">
          <w:rPr>
            <w:rStyle w:val="Hyperlink"/>
          </w:rPr>
          <w:t>FORMULA TO ESTIMATE RENAL FUNCTION USING SERUM CREATININE</w:t>
        </w:r>
        <w:r w:rsidR="007C143B">
          <w:rPr>
            <w:webHidden/>
          </w:rPr>
          <w:tab/>
        </w:r>
        <w:r w:rsidR="007C143B">
          <w:rPr>
            <w:webHidden/>
          </w:rPr>
          <w:fldChar w:fldCharType="begin"/>
        </w:r>
        <w:r w:rsidR="007C143B">
          <w:rPr>
            <w:webHidden/>
          </w:rPr>
          <w:instrText xml:space="preserve"> PAGEREF _Toc176419947 \h </w:instrText>
        </w:r>
        <w:r w:rsidR="007C143B">
          <w:rPr>
            <w:webHidden/>
          </w:rPr>
        </w:r>
        <w:r w:rsidR="007C143B">
          <w:rPr>
            <w:webHidden/>
          </w:rPr>
          <w:fldChar w:fldCharType="separate"/>
        </w:r>
        <w:r w:rsidR="00D947DB">
          <w:rPr>
            <w:webHidden/>
          </w:rPr>
          <w:t>93</w:t>
        </w:r>
        <w:r w:rsidR="007C143B">
          <w:rPr>
            <w:webHidden/>
          </w:rPr>
          <w:fldChar w:fldCharType="end"/>
        </w:r>
      </w:hyperlink>
    </w:p>
    <w:p w14:paraId="654C310A" w14:textId="26B67265" w:rsidR="007C143B" w:rsidRDefault="003B13CC">
      <w:pPr>
        <w:pStyle w:val="TOC1"/>
        <w:tabs>
          <w:tab w:val="left" w:pos="2160"/>
        </w:tabs>
        <w:rPr>
          <w:rFonts w:asciiTheme="minorHAnsi" w:eastAsiaTheme="minorEastAsia" w:hAnsiTheme="minorHAnsi" w:cstheme="minorBidi"/>
          <w:snapToGrid/>
          <w:color w:val="auto"/>
          <w:kern w:val="2"/>
          <w14:ligatures w14:val="standardContextual"/>
        </w:rPr>
      </w:pPr>
      <w:hyperlink w:anchor="_Toc176419948" w:history="1">
        <w:r w:rsidR="007C143B" w:rsidRPr="00CF493A">
          <w:rPr>
            <w:rStyle w:val="Hyperlink"/>
          </w:rPr>
          <w:t>APPENDIX C</w:t>
        </w:r>
        <w:r w:rsidR="007C143B">
          <w:rPr>
            <w:rFonts w:asciiTheme="minorHAnsi" w:eastAsiaTheme="minorEastAsia" w:hAnsiTheme="minorHAnsi" w:cstheme="minorBidi"/>
            <w:snapToGrid/>
            <w:color w:val="auto"/>
            <w:kern w:val="2"/>
            <w14:ligatures w14:val="standardContextual"/>
          </w:rPr>
          <w:tab/>
        </w:r>
        <w:r w:rsidR="007C143B" w:rsidRPr="00CF493A">
          <w:rPr>
            <w:rStyle w:val="Hyperlink"/>
          </w:rPr>
          <w:t>PATIENT CLINICAL TRIAL WALLET CARD</w:t>
        </w:r>
        <w:r w:rsidR="007C143B">
          <w:rPr>
            <w:webHidden/>
          </w:rPr>
          <w:tab/>
        </w:r>
        <w:r w:rsidR="007C143B">
          <w:rPr>
            <w:webHidden/>
          </w:rPr>
          <w:fldChar w:fldCharType="begin"/>
        </w:r>
        <w:r w:rsidR="007C143B">
          <w:rPr>
            <w:webHidden/>
          </w:rPr>
          <w:instrText xml:space="preserve"> PAGEREF _Toc176419948 \h </w:instrText>
        </w:r>
        <w:r w:rsidR="007C143B">
          <w:rPr>
            <w:webHidden/>
          </w:rPr>
        </w:r>
        <w:r w:rsidR="007C143B">
          <w:rPr>
            <w:webHidden/>
          </w:rPr>
          <w:fldChar w:fldCharType="separate"/>
        </w:r>
        <w:r w:rsidR="00D947DB">
          <w:rPr>
            <w:webHidden/>
          </w:rPr>
          <w:t>94</w:t>
        </w:r>
        <w:r w:rsidR="007C143B">
          <w:rPr>
            <w:webHidden/>
          </w:rPr>
          <w:fldChar w:fldCharType="end"/>
        </w:r>
      </w:hyperlink>
    </w:p>
    <w:p w14:paraId="3702371B" w14:textId="73A6044A" w:rsidR="007C143B" w:rsidRDefault="003B13CC">
      <w:pPr>
        <w:pStyle w:val="TOC1"/>
        <w:tabs>
          <w:tab w:val="left" w:pos="2160"/>
        </w:tabs>
        <w:rPr>
          <w:rFonts w:asciiTheme="minorHAnsi" w:eastAsiaTheme="minorEastAsia" w:hAnsiTheme="minorHAnsi" w:cstheme="minorBidi"/>
          <w:snapToGrid/>
          <w:color w:val="auto"/>
          <w:kern w:val="2"/>
          <w14:ligatures w14:val="standardContextual"/>
        </w:rPr>
      </w:pPr>
      <w:hyperlink w:anchor="_Toc176419949" w:history="1">
        <w:r w:rsidR="007C143B" w:rsidRPr="00CF493A">
          <w:rPr>
            <w:rStyle w:val="Hyperlink"/>
          </w:rPr>
          <w:t>APPENDIX D</w:t>
        </w:r>
        <w:r w:rsidR="007C143B">
          <w:rPr>
            <w:rFonts w:asciiTheme="minorHAnsi" w:eastAsiaTheme="minorEastAsia" w:hAnsiTheme="minorHAnsi" w:cstheme="minorBidi"/>
            <w:snapToGrid/>
            <w:color w:val="auto"/>
            <w:kern w:val="2"/>
            <w14:ligatures w14:val="standardContextual"/>
          </w:rPr>
          <w:tab/>
        </w:r>
        <w:r w:rsidR="007C143B" w:rsidRPr="00CF493A">
          <w:rPr>
            <w:rStyle w:val="Hyperlink"/>
          </w:rPr>
          <w:t>PATIENT MEDICATION DIARY</w:t>
        </w:r>
        <w:r w:rsidR="007C143B">
          <w:rPr>
            <w:webHidden/>
          </w:rPr>
          <w:tab/>
        </w:r>
        <w:r w:rsidR="007C143B">
          <w:rPr>
            <w:webHidden/>
          </w:rPr>
          <w:fldChar w:fldCharType="begin"/>
        </w:r>
        <w:r w:rsidR="007C143B">
          <w:rPr>
            <w:webHidden/>
          </w:rPr>
          <w:instrText xml:space="preserve"> PAGEREF _Toc176419949 \h </w:instrText>
        </w:r>
        <w:r w:rsidR="007C143B">
          <w:rPr>
            <w:webHidden/>
          </w:rPr>
        </w:r>
        <w:r w:rsidR="007C143B">
          <w:rPr>
            <w:webHidden/>
          </w:rPr>
          <w:fldChar w:fldCharType="separate"/>
        </w:r>
        <w:r w:rsidR="00D947DB">
          <w:rPr>
            <w:webHidden/>
          </w:rPr>
          <w:t>95</w:t>
        </w:r>
        <w:r w:rsidR="007C143B">
          <w:rPr>
            <w:webHidden/>
          </w:rPr>
          <w:fldChar w:fldCharType="end"/>
        </w:r>
      </w:hyperlink>
    </w:p>
    <w:p w14:paraId="6B08E4EB" w14:textId="2E7789AD" w:rsidR="007C143B" w:rsidRDefault="003B13CC">
      <w:pPr>
        <w:pStyle w:val="TOC1"/>
        <w:tabs>
          <w:tab w:val="left" w:pos="2160"/>
        </w:tabs>
        <w:rPr>
          <w:rFonts w:asciiTheme="minorHAnsi" w:eastAsiaTheme="minorEastAsia" w:hAnsiTheme="minorHAnsi" w:cstheme="minorBidi"/>
          <w:snapToGrid/>
          <w:color w:val="auto"/>
          <w:kern w:val="2"/>
          <w14:ligatures w14:val="standardContextual"/>
        </w:rPr>
      </w:pPr>
      <w:hyperlink w:anchor="_Toc176419950" w:history="1">
        <w:r w:rsidR="007C143B" w:rsidRPr="00CF493A">
          <w:rPr>
            <w:rStyle w:val="Hyperlink"/>
          </w:rPr>
          <w:t>APPENDIX E</w:t>
        </w:r>
        <w:r w:rsidR="007C143B">
          <w:rPr>
            <w:rFonts w:asciiTheme="minorHAnsi" w:eastAsiaTheme="minorEastAsia" w:hAnsiTheme="minorHAnsi" w:cstheme="minorBidi"/>
            <w:snapToGrid/>
            <w:color w:val="auto"/>
            <w:kern w:val="2"/>
            <w14:ligatures w14:val="standardContextual"/>
          </w:rPr>
          <w:tab/>
        </w:r>
        <w:r w:rsidR="007C143B" w:rsidRPr="00CF493A">
          <w:rPr>
            <w:rStyle w:val="Hyperlink"/>
          </w:rPr>
          <w:t>RANO 2.0 CRITERIA FOR OVERALL RESPONSE STATUS</w:t>
        </w:r>
        <w:r w:rsidR="007C143B">
          <w:rPr>
            <w:webHidden/>
          </w:rPr>
          <w:tab/>
        </w:r>
        <w:r w:rsidR="007C143B">
          <w:rPr>
            <w:webHidden/>
          </w:rPr>
          <w:fldChar w:fldCharType="begin"/>
        </w:r>
        <w:r w:rsidR="007C143B">
          <w:rPr>
            <w:webHidden/>
          </w:rPr>
          <w:instrText xml:space="preserve"> PAGEREF _Toc176419950 \h </w:instrText>
        </w:r>
        <w:r w:rsidR="007C143B">
          <w:rPr>
            <w:webHidden/>
          </w:rPr>
        </w:r>
        <w:r w:rsidR="007C143B">
          <w:rPr>
            <w:webHidden/>
          </w:rPr>
          <w:fldChar w:fldCharType="separate"/>
        </w:r>
        <w:r w:rsidR="00D947DB">
          <w:rPr>
            <w:webHidden/>
          </w:rPr>
          <w:t>98</w:t>
        </w:r>
        <w:r w:rsidR="007C143B">
          <w:rPr>
            <w:webHidden/>
          </w:rPr>
          <w:fldChar w:fldCharType="end"/>
        </w:r>
      </w:hyperlink>
    </w:p>
    <w:p w14:paraId="6360A793" w14:textId="4F42EA9B" w:rsidR="009E246E" w:rsidRDefault="00EA6CC7" w:rsidP="001C6DB3">
      <w:pPr>
        <w:tabs>
          <w:tab w:val="left" w:pos="2160"/>
          <w:tab w:val="right" w:leader="dot" w:pos="9360"/>
        </w:tabs>
        <w:suppressAutoHyphens/>
        <w:rPr>
          <w:b/>
        </w:rPr>
      </w:pPr>
      <w:r>
        <w:rPr>
          <w:b/>
        </w:rPr>
        <w:fldChar w:fldCharType="end"/>
      </w:r>
    </w:p>
    <w:p w14:paraId="0E098EB8" w14:textId="77777777" w:rsidR="009E246E" w:rsidRDefault="009E246E" w:rsidP="009E246E">
      <w:pPr>
        <w:widowControl/>
        <w:rPr>
          <w:b/>
        </w:rPr>
      </w:pPr>
      <w:r>
        <w:rPr>
          <w:b/>
        </w:rPr>
        <w:br w:type="page"/>
      </w:r>
    </w:p>
    <w:p w14:paraId="1FB4D3EE" w14:textId="77777777" w:rsidR="009E246E" w:rsidRPr="00162466" w:rsidRDefault="009E246E" w:rsidP="00C94562">
      <w:pPr>
        <w:pStyle w:val="Heading1"/>
      </w:pPr>
      <w:bookmarkStart w:id="2" w:name="_Toc318812993"/>
      <w:bookmarkStart w:id="3" w:name="_Toc176419886"/>
      <w:r w:rsidRPr="00162466">
        <w:lastRenderedPageBreak/>
        <w:t>OBJECTIVES</w:t>
      </w:r>
      <w:bookmarkEnd w:id="2"/>
      <w:bookmarkEnd w:id="3"/>
    </w:p>
    <w:p w14:paraId="773315F1" w14:textId="77777777" w:rsidR="009E246E" w:rsidRPr="007300F3" w:rsidRDefault="009E246E" w:rsidP="009E246E">
      <w:pPr>
        <w:tabs>
          <w:tab w:val="left" w:pos="0"/>
          <w:tab w:val="left" w:pos="354"/>
          <w:tab w:val="left" w:pos="710"/>
          <w:tab w:val="left" w:pos="1086"/>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pPr>
    </w:p>
    <w:p w14:paraId="7DDDBF80" w14:textId="77777777" w:rsidR="009E246E" w:rsidRPr="00A36FBC" w:rsidRDefault="009E246E" w:rsidP="00C94562">
      <w:pPr>
        <w:pStyle w:val="Heading2"/>
      </w:pPr>
      <w:bookmarkStart w:id="4" w:name="_Toc318812994"/>
      <w:bookmarkStart w:id="5" w:name="_Toc176419887"/>
      <w:r w:rsidRPr="00A36FBC">
        <w:t>Primary Objectives</w:t>
      </w:r>
      <w:bookmarkEnd w:id="4"/>
      <w:bookmarkEnd w:id="5"/>
    </w:p>
    <w:p w14:paraId="3F088291" w14:textId="77777777" w:rsidR="009E246E" w:rsidRPr="00946CCB" w:rsidRDefault="009E246E" w:rsidP="009E246E"/>
    <w:p w14:paraId="4485D243" w14:textId="4470340B" w:rsidR="002270E8" w:rsidRPr="002322E3" w:rsidRDefault="00EE22A7" w:rsidP="00C312CF">
      <w:pPr>
        <w:pStyle w:val="Level3Heading"/>
        <w:rPr>
          <w:color w:val="auto"/>
        </w:rPr>
      </w:pPr>
      <w:r w:rsidRPr="002322E3">
        <w:rPr>
          <w:color w:val="auto"/>
        </w:rPr>
        <w:t xml:space="preserve">To identify the safety and maximally tolerated dose (MTD) of oral triapine used in combination with radiation therapy for patients with recurrent </w:t>
      </w:r>
      <w:r w:rsidR="003175BB" w:rsidRPr="002322E3">
        <w:rPr>
          <w:color w:val="auto"/>
        </w:rPr>
        <w:t>glioblastoma (GBM)</w:t>
      </w:r>
      <w:r w:rsidR="00C5690A" w:rsidRPr="002322E3">
        <w:rPr>
          <w:color w:val="auto"/>
        </w:rPr>
        <w:t>.</w:t>
      </w:r>
    </w:p>
    <w:p w14:paraId="41D50E51" w14:textId="77777777" w:rsidR="009E246E" w:rsidRPr="002322E3" w:rsidRDefault="009E246E" w:rsidP="009E246E">
      <w:pPr>
        <w:tabs>
          <w:tab w:val="left" w:pos="0"/>
          <w:tab w:val="left" w:pos="354"/>
          <w:tab w:val="left" w:pos="710"/>
          <w:tab w:val="left" w:pos="1086"/>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
          <w:color w:val="auto"/>
        </w:rPr>
      </w:pPr>
    </w:p>
    <w:p w14:paraId="259314EA" w14:textId="77777777" w:rsidR="009E246E" w:rsidRPr="002322E3" w:rsidRDefault="009E246E" w:rsidP="00C94562">
      <w:pPr>
        <w:pStyle w:val="Heading2"/>
        <w:rPr>
          <w:color w:val="auto"/>
        </w:rPr>
      </w:pPr>
      <w:bookmarkStart w:id="6" w:name="_Toc318812995"/>
      <w:bookmarkStart w:id="7" w:name="_Toc176419888"/>
      <w:r w:rsidRPr="002322E3">
        <w:rPr>
          <w:color w:val="auto"/>
        </w:rPr>
        <w:t>Secondary Objectives</w:t>
      </w:r>
      <w:bookmarkEnd w:id="6"/>
      <w:bookmarkEnd w:id="7"/>
    </w:p>
    <w:p w14:paraId="16962688" w14:textId="77777777" w:rsidR="009E246E" w:rsidRPr="002322E3" w:rsidRDefault="009E246E" w:rsidP="009E246E">
      <w:pPr>
        <w:rPr>
          <w:color w:val="auto"/>
        </w:rPr>
      </w:pPr>
    </w:p>
    <w:p w14:paraId="1950FADD" w14:textId="2A0432F7" w:rsidR="00AA2562" w:rsidRPr="002322E3" w:rsidRDefault="00AA2562" w:rsidP="00C312CF">
      <w:pPr>
        <w:pStyle w:val="Level3Heading"/>
        <w:rPr>
          <w:color w:val="auto"/>
        </w:rPr>
      </w:pPr>
      <w:r w:rsidRPr="002322E3">
        <w:rPr>
          <w:color w:val="auto"/>
        </w:rPr>
        <w:t>To observe and record anti-tumor activity.  Although the clinical benefit of this drug has not yet been established, the intent of offering this treatment is to provide a possible therapeutic benefit, and thus the patient will be carefully monitored for tumor response and symptom relief in addition to safety and tolerability.</w:t>
      </w:r>
    </w:p>
    <w:p w14:paraId="52B4A063" w14:textId="77777777" w:rsidR="00AA2562" w:rsidRPr="002322E3" w:rsidRDefault="00AA2562" w:rsidP="009E246E">
      <w:pPr>
        <w:rPr>
          <w:color w:val="auto"/>
        </w:rPr>
      </w:pPr>
    </w:p>
    <w:p w14:paraId="7679E754" w14:textId="3DA0309F" w:rsidR="002270E8" w:rsidRPr="002322E3" w:rsidRDefault="00E82955" w:rsidP="00C312CF">
      <w:pPr>
        <w:pStyle w:val="Level3Heading"/>
        <w:rPr>
          <w:color w:val="auto"/>
        </w:rPr>
      </w:pPr>
      <w:r w:rsidRPr="002322E3">
        <w:rPr>
          <w:color w:val="auto"/>
        </w:rPr>
        <w:t>To determine the pharmacokinetics of oral triapine in plasma and the central nervous system (CNS)</w:t>
      </w:r>
      <w:r w:rsidR="006347F1" w:rsidRPr="002322E3">
        <w:rPr>
          <w:color w:val="auto"/>
        </w:rPr>
        <w:t>.</w:t>
      </w:r>
    </w:p>
    <w:p w14:paraId="5DDEFFB0" w14:textId="77777777" w:rsidR="006347F1" w:rsidRPr="002322E3" w:rsidRDefault="006347F1" w:rsidP="006347F1">
      <w:pPr>
        <w:rPr>
          <w:color w:val="auto"/>
        </w:rPr>
      </w:pPr>
    </w:p>
    <w:p w14:paraId="76BA57E8" w14:textId="65CB5464" w:rsidR="00D952A5" w:rsidRPr="002322E3" w:rsidRDefault="006347F1" w:rsidP="00D952A5">
      <w:pPr>
        <w:pStyle w:val="Level3Heading"/>
        <w:rPr>
          <w:color w:val="auto"/>
        </w:rPr>
      </w:pPr>
      <w:r w:rsidRPr="002322E3">
        <w:rPr>
          <w:color w:val="auto"/>
        </w:rPr>
        <w:t>To evaluate the efficacy of triapine when administered in combination with radiation therapy by assessing</w:t>
      </w:r>
      <w:r w:rsidR="00D952A5" w:rsidRPr="002322E3">
        <w:rPr>
          <w:color w:val="auto"/>
        </w:rPr>
        <w:t>:</w:t>
      </w:r>
    </w:p>
    <w:p w14:paraId="261B0E1E" w14:textId="77777777" w:rsidR="00D952A5" w:rsidRPr="002322E3" w:rsidRDefault="00D952A5" w:rsidP="00D952A5">
      <w:pPr>
        <w:pStyle w:val="ListParagraph"/>
        <w:rPr>
          <w:color w:val="auto"/>
        </w:rPr>
      </w:pPr>
    </w:p>
    <w:p w14:paraId="3B0CDC67" w14:textId="777035DA" w:rsidR="00D952A5" w:rsidRPr="002322E3" w:rsidRDefault="00D952A5" w:rsidP="00562B10">
      <w:pPr>
        <w:pStyle w:val="Level4Heading"/>
        <w:numPr>
          <w:ilvl w:val="0"/>
          <w:numId w:val="79"/>
        </w:numPr>
        <w:rPr>
          <w:color w:val="auto"/>
        </w:rPr>
      </w:pPr>
      <w:r w:rsidRPr="002322E3">
        <w:rPr>
          <w:color w:val="auto"/>
        </w:rPr>
        <w:t>P</w:t>
      </w:r>
      <w:r w:rsidR="006347F1" w:rsidRPr="002322E3">
        <w:rPr>
          <w:color w:val="auto"/>
        </w:rPr>
        <w:t>rogression-free survival (PFS)</w:t>
      </w:r>
    </w:p>
    <w:p w14:paraId="744CB3B3" w14:textId="3D96D2F6" w:rsidR="00D952A5" w:rsidRPr="002322E3" w:rsidRDefault="00D952A5" w:rsidP="00562B10">
      <w:pPr>
        <w:pStyle w:val="Level4Heading"/>
        <w:numPr>
          <w:ilvl w:val="0"/>
          <w:numId w:val="79"/>
        </w:numPr>
        <w:rPr>
          <w:color w:val="auto"/>
        </w:rPr>
      </w:pPr>
      <w:r w:rsidRPr="002322E3">
        <w:rPr>
          <w:color w:val="auto"/>
        </w:rPr>
        <w:t>O</w:t>
      </w:r>
      <w:r w:rsidR="006347F1" w:rsidRPr="002322E3">
        <w:rPr>
          <w:color w:val="auto"/>
        </w:rPr>
        <w:t>verall survival (OS)</w:t>
      </w:r>
    </w:p>
    <w:p w14:paraId="10D95529" w14:textId="7CA4D0BF" w:rsidR="00D952A5" w:rsidRPr="002322E3" w:rsidRDefault="00D952A5" w:rsidP="00562B10">
      <w:pPr>
        <w:pStyle w:val="Level4Heading"/>
        <w:numPr>
          <w:ilvl w:val="0"/>
          <w:numId w:val="79"/>
        </w:numPr>
        <w:rPr>
          <w:color w:val="auto"/>
        </w:rPr>
      </w:pPr>
      <w:r w:rsidRPr="002322E3">
        <w:rPr>
          <w:color w:val="auto"/>
        </w:rPr>
        <w:t>T</w:t>
      </w:r>
      <w:r w:rsidR="006347F1" w:rsidRPr="002322E3">
        <w:rPr>
          <w:color w:val="auto"/>
        </w:rPr>
        <w:t>he proportion of patients requiring bevacizumab for symptom control</w:t>
      </w:r>
    </w:p>
    <w:p w14:paraId="6330C4D7" w14:textId="605BE6AB" w:rsidR="006347F1" w:rsidRPr="002322E3" w:rsidRDefault="00D952A5" w:rsidP="00562B10">
      <w:pPr>
        <w:pStyle w:val="Level4Heading"/>
        <w:numPr>
          <w:ilvl w:val="0"/>
          <w:numId w:val="79"/>
        </w:numPr>
        <w:rPr>
          <w:color w:val="auto"/>
        </w:rPr>
      </w:pPr>
      <w:r w:rsidRPr="002322E3">
        <w:rPr>
          <w:color w:val="auto"/>
        </w:rPr>
        <w:t>The c</w:t>
      </w:r>
      <w:r w:rsidR="000F2A52" w:rsidRPr="002322E3">
        <w:rPr>
          <w:color w:val="auto"/>
        </w:rPr>
        <w:t xml:space="preserve">orrelation of genetic mutations in </w:t>
      </w:r>
      <w:r w:rsidR="00AD0244" w:rsidRPr="002322E3">
        <w:rPr>
          <w:color w:val="auto"/>
        </w:rPr>
        <w:t>select genes (</w:t>
      </w:r>
      <w:r w:rsidR="00AD0244" w:rsidRPr="002322E3">
        <w:rPr>
          <w:i/>
          <w:iCs/>
          <w:color w:val="auto"/>
        </w:rPr>
        <w:t>e.g., p53</w:t>
      </w:r>
      <w:r w:rsidR="00AD0244" w:rsidRPr="002322E3">
        <w:rPr>
          <w:color w:val="auto"/>
        </w:rPr>
        <w:t xml:space="preserve">, </w:t>
      </w:r>
      <w:r w:rsidR="00AD0244" w:rsidRPr="002322E3">
        <w:rPr>
          <w:i/>
          <w:iCs/>
          <w:color w:val="auto"/>
        </w:rPr>
        <w:t>p16</w:t>
      </w:r>
      <w:r w:rsidR="00AD0244" w:rsidRPr="002322E3">
        <w:rPr>
          <w:color w:val="auto"/>
        </w:rPr>
        <w:t xml:space="preserve">, </w:t>
      </w:r>
      <w:r w:rsidR="00AD0244" w:rsidRPr="002322E3">
        <w:rPr>
          <w:i/>
          <w:iCs/>
          <w:color w:val="auto"/>
        </w:rPr>
        <w:t>KRAS</w:t>
      </w:r>
      <w:r w:rsidR="00AD0244" w:rsidRPr="002322E3">
        <w:rPr>
          <w:color w:val="auto"/>
        </w:rPr>
        <w:t xml:space="preserve">, and </w:t>
      </w:r>
      <w:r w:rsidR="00AD0244" w:rsidRPr="002322E3">
        <w:rPr>
          <w:i/>
          <w:iCs/>
          <w:color w:val="auto"/>
        </w:rPr>
        <w:t>Pi3k/mTOR/AKT</w:t>
      </w:r>
      <w:r w:rsidR="00AD0244" w:rsidRPr="002322E3">
        <w:rPr>
          <w:color w:val="auto"/>
        </w:rPr>
        <w:t>) with tumor response and clinical outcomes</w:t>
      </w:r>
    </w:p>
    <w:p w14:paraId="2FF921E2" w14:textId="77777777" w:rsidR="00CD7AC2" w:rsidRDefault="00CD7AC2" w:rsidP="00CD7AC2">
      <w:pPr>
        <w:suppressAutoHyphens/>
        <w:rPr>
          <w:i/>
          <w:szCs w:val="21"/>
        </w:rPr>
      </w:pPr>
      <w:bookmarkStart w:id="8" w:name="_Toc318812997"/>
    </w:p>
    <w:p w14:paraId="0395B758" w14:textId="2E53785F" w:rsidR="00CD7AC2" w:rsidRPr="00CA2928" w:rsidRDefault="00CD7AC2" w:rsidP="00AA3822">
      <w:pPr>
        <w:pStyle w:val="Heading1"/>
      </w:pPr>
      <w:bookmarkStart w:id="9" w:name="_Toc318812996"/>
      <w:bookmarkStart w:id="10" w:name="_Toc176419889"/>
      <w:r w:rsidRPr="00CA2928">
        <w:t>BACKGROUND</w:t>
      </w:r>
      <w:bookmarkEnd w:id="9"/>
      <w:bookmarkEnd w:id="10"/>
    </w:p>
    <w:p w14:paraId="21A74F16" w14:textId="77777777" w:rsidR="00CD7AC2" w:rsidRPr="00211BBD" w:rsidRDefault="00CD7AC2" w:rsidP="00CD7AC2"/>
    <w:p w14:paraId="169188DF" w14:textId="2FDF638C" w:rsidR="009E246E" w:rsidRPr="00C1714E" w:rsidRDefault="009E246E" w:rsidP="00C94562">
      <w:pPr>
        <w:pStyle w:val="Heading2"/>
      </w:pPr>
      <w:bookmarkStart w:id="11" w:name="_Toc176419890"/>
      <w:r w:rsidRPr="00C1714E">
        <w:t>Study Disease</w:t>
      </w:r>
      <w:bookmarkEnd w:id="8"/>
      <w:r w:rsidRPr="00C1714E">
        <w:t>(s)</w:t>
      </w:r>
      <w:bookmarkEnd w:id="11"/>
    </w:p>
    <w:p w14:paraId="683C9180" w14:textId="77777777" w:rsidR="009E246E" w:rsidRPr="007300F3" w:rsidRDefault="009E246E" w:rsidP="009E246E">
      <w:pPr>
        <w:tabs>
          <w:tab w:val="left" w:pos="0"/>
          <w:tab w:val="left" w:pos="354"/>
          <w:tab w:val="left" w:pos="710"/>
          <w:tab w:val="left" w:pos="1086"/>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pPr>
    </w:p>
    <w:p w14:paraId="5FDEA0C0" w14:textId="233192FA" w:rsidR="00987E7F" w:rsidRPr="002322E3" w:rsidRDefault="00B74C4E" w:rsidP="00B74C4E">
      <w:pPr>
        <w:suppressAutoHyphens/>
        <w:rPr>
          <w:color w:val="auto"/>
        </w:rPr>
      </w:pPr>
      <w:r w:rsidRPr="002322E3">
        <w:rPr>
          <w:color w:val="auto"/>
        </w:rPr>
        <w:t>Glioblastoma (GBM) is an aggressive malignancy that accounts for 48% of malignant central nervous system tumors</w:t>
      </w:r>
      <w:r w:rsidR="005479EA" w:rsidRPr="002322E3">
        <w:rPr>
          <w:color w:val="auto"/>
        </w:rPr>
        <w:t xml:space="preserve"> (</w:t>
      </w:r>
      <w:r w:rsidR="00A42FB4" w:rsidRPr="002322E3">
        <w:rPr>
          <w:color w:val="auto"/>
        </w:rPr>
        <w:t xml:space="preserve">Koshy </w:t>
      </w:r>
      <w:r w:rsidR="00A42FB4" w:rsidRPr="002322E3">
        <w:rPr>
          <w:i/>
          <w:iCs/>
          <w:color w:val="auto"/>
        </w:rPr>
        <w:t xml:space="preserve">et al., </w:t>
      </w:r>
      <w:r w:rsidR="00A42FB4" w:rsidRPr="002322E3">
        <w:rPr>
          <w:color w:val="auto"/>
        </w:rPr>
        <w:t xml:space="preserve">2012). </w:t>
      </w:r>
      <w:r w:rsidRPr="002322E3">
        <w:rPr>
          <w:color w:val="auto"/>
        </w:rPr>
        <w:t xml:space="preserve"> For the past </w:t>
      </w:r>
      <w:r w:rsidR="00F754D8" w:rsidRPr="002322E3">
        <w:rPr>
          <w:color w:val="auto"/>
        </w:rPr>
        <w:t>two</w:t>
      </w:r>
      <w:r w:rsidRPr="002322E3">
        <w:rPr>
          <w:color w:val="auto"/>
        </w:rPr>
        <w:t xml:space="preserve"> decades, despite administration of standard-of-care therapy</w:t>
      </w:r>
      <w:r w:rsidR="009E0939" w:rsidRPr="002322E3">
        <w:rPr>
          <w:color w:val="auto"/>
        </w:rPr>
        <w:t>,</w:t>
      </w:r>
      <w:r w:rsidRPr="002322E3">
        <w:rPr>
          <w:color w:val="auto"/>
        </w:rPr>
        <w:t xml:space="preserve"> comprising maximal safe resection followed by concurrent radiation and temozolomide, adjuvant temozolomide, and tumor treating fields (TTF)</w:t>
      </w:r>
      <w:r w:rsidR="00F918D3" w:rsidRPr="002322E3">
        <w:rPr>
          <w:color w:val="auto"/>
        </w:rPr>
        <w:t xml:space="preserve">, </w:t>
      </w:r>
      <w:r w:rsidRPr="002322E3">
        <w:rPr>
          <w:color w:val="auto"/>
        </w:rPr>
        <w:t>there ha</w:t>
      </w:r>
      <w:r w:rsidR="00CF7912" w:rsidRPr="002322E3">
        <w:rPr>
          <w:color w:val="auto"/>
        </w:rPr>
        <w:t>ve</w:t>
      </w:r>
      <w:r w:rsidRPr="002322E3">
        <w:rPr>
          <w:color w:val="auto"/>
        </w:rPr>
        <w:t xml:space="preserve"> been minimal improvement in survival rates</w:t>
      </w:r>
      <w:r w:rsidR="00A42FB4" w:rsidRPr="002322E3">
        <w:rPr>
          <w:color w:val="auto"/>
        </w:rPr>
        <w:t xml:space="preserve"> (</w:t>
      </w:r>
      <w:r w:rsidR="00490C44" w:rsidRPr="002322E3">
        <w:rPr>
          <w:color w:val="auto"/>
        </w:rPr>
        <w:t xml:space="preserve">Herrlinger </w:t>
      </w:r>
      <w:r w:rsidR="00490C44" w:rsidRPr="002322E3">
        <w:rPr>
          <w:i/>
          <w:iCs/>
          <w:color w:val="auto"/>
        </w:rPr>
        <w:t xml:space="preserve">et al., </w:t>
      </w:r>
      <w:r w:rsidR="00490C44" w:rsidRPr="002322E3">
        <w:rPr>
          <w:color w:val="auto"/>
        </w:rPr>
        <w:t xml:space="preserve">2019; </w:t>
      </w:r>
      <w:r w:rsidR="00A42FB4" w:rsidRPr="002322E3">
        <w:rPr>
          <w:color w:val="auto"/>
        </w:rPr>
        <w:t xml:space="preserve">Stupp </w:t>
      </w:r>
      <w:r w:rsidR="00A42FB4" w:rsidRPr="002322E3">
        <w:rPr>
          <w:i/>
          <w:iCs/>
          <w:color w:val="auto"/>
        </w:rPr>
        <w:t xml:space="preserve">et al., </w:t>
      </w:r>
      <w:r w:rsidR="00490C44" w:rsidRPr="002322E3">
        <w:rPr>
          <w:color w:val="auto"/>
        </w:rPr>
        <w:t xml:space="preserve">2005; Stupp </w:t>
      </w:r>
      <w:r w:rsidR="00490C44" w:rsidRPr="002322E3">
        <w:rPr>
          <w:i/>
          <w:iCs/>
          <w:color w:val="auto"/>
        </w:rPr>
        <w:t xml:space="preserve">et al., </w:t>
      </w:r>
      <w:r w:rsidR="00490C44" w:rsidRPr="002322E3">
        <w:rPr>
          <w:color w:val="auto"/>
        </w:rPr>
        <w:t xml:space="preserve">2017). </w:t>
      </w:r>
      <w:r w:rsidRPr="002322E3">
        <w:rPr>
          <w:color w:val="auto"/>
        </w:rPr>
        <w:t xml:space="preserve"> As a result, the median survival remains 14-20 months. </w:t>
      </w:r>
      <w:r w:rsidR="00C73448" w:rsidRPr="002322E3">
        <w:rPr>
          <w:color w:val="auto"/>
        </w:rPr>
        <w:t xml:space="preserve"> </w:t>
      </w:r>
      <w:r w:rsidRPr="002322E3">
        <w:rPr>
          <w:color w:val="auto"/>
        </w:rPr>
        <w:t xml:space="preserve">Approximately 80% of treatment failures occur within the radiation treatment field, implying the presence of radioresistant clones. </w:t>
      </w:r>
      <w:r w:rsidR="00C73448" w:rsidRPr="002322E3">
        <w:rPr>
          <w:color w:val="auto"/>
        </w:rPr>
        <w:t xml:space="preserve"> </w:t>
      </w:r>
      <w:r w:rsidRPr="002322E3">
        <w:rPr>
          <w:color w:val="auto"/>
        </w:rPr>
        <w:t>Radiation dose escalation studies beyond 60Gy</w:t>
      </w:r>
      <w:r w:rsidR="009E0939" w:rsidRPr="002322E3">
        <w:rPr>
          <w:color w:val="auto"/>
        </w:rPr>
        <w:t>,</w:t>
      </w:r>
      <w:r w:rsidRPr="002322E3">
        <w:rPr>
          <w:color w:val="auto"/>
        </w:rPr>
        <w:t xml:space="preserve"> with or without concurrent chemotherapy</w:t>
      </w:r>
      <w:r w:rsidR="009E0939" w:rsidRPr="002322E3">
        <w:rPr>
          <w:color w:val="auto"/>
        </w:rPr>
        <w:t>,</w:t>
      </w:r>
      <w:r w:rsidRPr="002322E3">
        <w:rPr>
          <w:color w:val="auto"/>
        </w:rPr>
        <w:t xml:space="preserve"> ha</w:t>
      </w:r>
      <w:r w:rsidR="009E0939" w:rsidRPr="002322E3">
        <w:rPr>
          <w:color w:val="auto"/>
        </w:rPr>
        <w:t>ve</w:t>
      </w:r>
      <w:r w:rsidRPr="002322E3">
        <w:rPr>
          <w:color w:val="auto"/>
        </w:rPr>
        <w:t xml:space="preserve"> not improved survival or local disease control, but </w:t>
      </w:r>
      <w:r w:rsidR="009E0939" w:rsidRPr="002322E3">
        <w:rPr>
          <w:color w:val="auto"/>
        </w:rPr>
        <w:t xml:space="preserve">have </w:t>
      </w:r>
      <w:r w:rsidRPr="002322E3">
        <w:rPr>
          <w:color w:val="auto"/>
        </w:rPr>
        <w:t>increased risk for radiation necrosis</w:t>
      </w:r>
      <w:r w:rsidR="00985651" w:rsidRPr="002322E3">
        <w:rPr>
          <w:color w:val="auto"/>
        </w:rPr>
        <w:t xml:space="preserve"> (</w:t>
      </w:r>
      <w:r w:rsidR="004E1CB2" w:rsidRPr="002322E3">
        <w:rPr>
          <w:color w:val="auto"/>
        </w:rPr>
        <w:t xml:space="preserve">Baumert </w:t>
      </w:r>
      <w:r w:rsidR="004E1CB2" w:rsidRPr="002322E3">
        <w:rPr>
          <w:i/>
          <w:iCs/>
          <w:color w:val="auto"/>
        </w:rPr>
        <w:t xml:space="preserve">et al., </w:t>
      </w:r>
      <w:r w:rsidR="00565F3A" w:rsidRPr="002322E3">
        <w:rPr>
          <w:color w:val="auto"/>
        </w:rPr>
        <w:t xml:space="preserve">2008; </w:t>
      </w:r>
      <w:r w:rsidR="00C7316E" w:rsidRPr="002322E3">
        <w:rPr>
          <w:color w:val="auto"/>
        </w:rPr>
        <w:t xml:space="preserve">Cardinale </w:t>
      </w:r>
      <w:r w:rsidR="00C7316E" w:rsidRPr="002322E3">
        <w:rPr>
          <w:i/>
          <w:iCs/>
          <w:color w:val="auto"/>
        </w:rPr>
        <w:t xml:space="preserve">et al., </w:t>
      </w:r>
      <w:r w:rsidR="00C7316E" w:rsidRPr="002322E3">
        <w:rPr>
          <w:color w:val="auto"/>
        </w:rPr>
        <w:t xml:space="preserve">2006; </w:t>
      </w:r>
      <w:r w:rsidR="004E1CB2" w:rsidRPr="002322E3">
        <w:rPr>
          <w:color w:val="auto"/>
        </w:rPr>
        <w:t xml:space="preserve">Chan </w:t>
      </w:r>
      <w:r w:rsidR="004E1CB2" w:rsidRPr="002322E3">
        <w:rPr>
          <w:i/>
          <w:iCs/>
          <w:color w:val="auto"/>
        </w:rPr>
        <w:t xml:space="preserve">et al., </w:t>
      </w:r>
      <w:r w:rsidR="004E1CB2" w:rsidRPr="002322E3">
        <w:rPr>
          <w:color w:val="auto"/>
        </w:rPr>
        <w:t xml:space="preserve">2002; </w:t>
      </w:r>
      <w:r w:rsidR="00985651" w:rsidRPr="002322E3">
        <w:rPr>
          <w:color w:val="auto"/>
        </w:rPr>
        <w:t xml:space="preserve">Chang </w:t>
      </w:r>
      <w:r w:rsidR="00985651" w:rsidRPr="002322E3">
        <w:rPr>
          <w:i/>
          <w:iCs/>
          <w:color w:val="auto"/>
        </w:rPr>
        <w:t xml:space="preserve">et al., </w:t>
      </w:r>
      <w:r w:rsidR="00985651" w:rsidRPr="002322E3">
        <w:rPr>
          <w:color w:val="auto"/>
        </w:rPr>
        <w:t xml:space="preserve">1983; Corn </w:t>
      </w:r>
      <w:r w:rsidR="00985651" w:rsidRPr="002322E3">
        <w:rPr>
          <w:i/>
          <w:iCs/>
          <w:color w:val="auto"/>
        </w:rPr>
        <w:t xml:space="preserve">et al., </w:t>
      </w:r>
      <w:r w:rsidR="00985651" w:rsidRPr="002322E3">
        <w:rPr>
          <w:color w:val="auto"/>
        </w:rPr>
        <w:t xml:space="preserve">2009; </w:t>
      </w:r>
      <w:r w:rsidR="004E1CB2" w:rsidRPr="002322E3">
        <w:rPr>
          <w:color w:val="auto"/>
        </w:rPr>
        <w:t xml:space="preserve">Lawrence </w:t>
      </w:r>
      <w:r w:rsidR="004E1CB2" w:rsidRPr="002322E3">
        <w:rPr>
          <w:i/>
          <w:iCs/>
          <w:color w:val="auto"/>
        </w:rPr>
        <w:t xml:space="preserve">et al., </w:t>
      </w:r>
      <w:r w:rsidR="004E1CB2" w:rsidRPr="002322E3">
        <w:rPr>
          <w:color w:val="auto"/>
        </w:rPr>
        <w:t xml:space="preserve">2010; </w:t>
      </w:r>
      <w:r w:rsidR="00985651" w:rsidRPr="002322E3">
        <w:rPr>
          <w:color w:val="auto"/>
        </w:rPr>
        <w:t xml:space="preserve">Nelson </w:t>
      </w:r>
      <w:r w:rsidR="00985651" w:rsidRPr="002322E3">
        <w:rPr>
          <w:i/>
          <w:iCs/>
          <w:color w:val="auto"/>
        </w:rPr>
        <w:t xml:space="preserve">et al., </w:t>
      </w:r>
      <w:r w:rsidR="00985651" w:rsidRPr="002322E3">
        <w:rPr>
          <w:color w:val="auto"/>
        </w:rPr>
        <w:t>1988;</w:t>
      </w:r>
      <w:r w:rsidR="00C73448" w:rsidRPr="002322E3">
        <w:rPr>
          <w:color w:val="auto"/>
        </w:rPr>
        <w:t xml:space="preserve"> Prados </w:t>
      </w:r>
      <w:r w:rsidR="00C73448" w:rsidRPr="002322E3">
        <w:rPr>
          <w:i/>
          <w:iCs/>
          <w:color w:val="auto"/>
        </w:rPr>
        <w:t xml:space="preserve">et al., </w:t>
      </w:r>
      <w:r w:rsidR="00C73448" w:rsidRPr="002322E3">
        <w:rPr>
          <w:color w:val="auto"/>
        </w:rPr>
        <w:t>2001;</w:t>
      </w:r>
      <w:r w:rsidR="00985651" w:rsidRPr="002322E3">
        <w:rPr>
          <w:color w:val="auto"/>
        </w:rPr>
        <w:t xml:space="preserve"> </w:t>
      </w:r>
      <w:proofErr w:type="spellStart"/>
      <w:r w:rsidR="00C7316E" w:rsidRPr="002322E3">
        <w:rPr>
          <w:color w:val="auto"/>
        </w:rPr>
        <w:t>Souhami</w:t>
      </w:r>
      <w:proofErr w:type="spellEnd"/>
      <w:r w:rsidR="00C7316E" w:rsidRPr="002322E3">
        <w:rPr>
          <w:color w:val="auto"/>
        </w:rPr>
        <w:t xml:space="preserve"> </w:t>
      </w:r>
      <w:r w:rsidR="00C7316E" w:rsidRPr="002322E3">
        <w:rPr>
          <w:i/>
          <w:iCs/>
          <w:color w:val="auto"/>
        </w:rPr>
        <w:t xml:space="preserve">et al., </w:t>
      </w:r>
      <w:r w:rsidR="00C7316E" w:rsidRPr="002322E3">
        <w:rPr>
          <w:color w:val="auto"/>
        </w:rPr>
        <w:t xml:space="preserve">2004; </w:t>
      </w:r>
      <w:r w:rsidR="00985651" w:rsidRPr="002322E3">
        <w:rPr>
          <w:color w:val="auto"/>
        </w:rPr>
        <w:t xml:space="preserve">Tsien </w:t>
      </w:r>
      <w:r w:rsidR="00985651" w:rsidRPr="002322E3">
        <w:rPr>
          <w:i/>
          <w:iCs/>
          <w:color w:val="auto"/>
        </w:rPr>
        <w:t xml:space="preserve">et al., </w:t>
      </w:r>
      <w:r w:rsidR="00985651" w:rsidRPr="002322E3">
        <w:rPr>
          <w:color w:val="auto"/>
        </w:rPr>
        <w:t>2009).</w:t>
      </w:r>
    </w:p>
    <w:p w14:paraId="2DB5BCC1" w14:textId="77777777" w:rsidR="00987E7F" w:rsidRPr="002322E3" w:rsidRDefault="00987E7F" w:rsidP="00B74C4E">
      <w:pPr>
        <w:suppressAutoHyphens/>
        <w:rPr>
          <w:color w:val="auto"/>
        </w:rPr>
      </w:pPr>
    </w:p>
    <w:p w14:paraId="2C6D9AA5" w14:textId="3C11F779" w:rsidR="00B74C4E" w:rsidRPr="002322E3" w:rsidRDefault="00B74C4E" w:rsidP="00B74C4E">
      <w:pPr>
        <w:suppressAutoHyphens/>
        <w:rPr>
          <w:color w:val="auto"/>
          <w:u w:val="single"/>
        </w:rPr>
      </w:pPr>
      <w:r w:rsidRPr="002322E3">
        <w:rPr>
          <w:color w:val="auto"/>
        </w:rPr>
        <w:t xml:space="preserve">While there is no consensus for the optimal treatment for recurrent GBM, secondary analyses indicate that patients who undergo salvage therapies may experience better survival, neurologic </w:t>
      </w:r>
      <w:r w:rsidRPr="002322E3">
        <w:rPr>
          <w:color w:val="auto"/>
        </w:rPr>
        <w:lastRenderedPageBreak/>
        <w:t>symptoms, and quality-of-life compared to patients who did not receive such interventions</w:t>
      </w:r>
      <w:r w:rsidR="004111E2" w:rsidRPr="002322E3">
        <w:rPr>
          <w:color w:val="auto"/>
        </w:rPr>
        <w:t xml:space="preserve"> (</w:t>
      </w:r>
      <w:proofErr w:type="spellStart"/>
      <w:r w:rsidR="004111E2" w:rsidRPr="002322E3">
        <w:rPr>
          <w:color w:val="auto"/>
        </w:rPr>
        <w:t>Scoccianti</w:t>
      </w:r>
      <w:proofErr w:type="spellEnd"/>
      <w:r w:rsidR="004111E2" w:rsidRPr="002322E3">
        <w:rPr>
          <w:color w:val="auto"/>
        </w:rPr>
        <w:t xml:space="preserve">, </w:t>
      </w:r>
      <w:r w:rsidR="004111E2" w:rsidRPr="002322E3">
        <w:rPr>
          <w:i/>
          <w:iCs/>
          <w:color w:val="auto"/>
        </w:rPr>
        <w:t xml:space="preserve">et al., </w:t>
      </w:r>
      <w:r w:rsidR="004111E2" w:rsidRPr="002322E3">
        <w:rPr>
          <w:color w:val="auto"/>
        </w:rPr>
        <w:t xml:space="preserve">2018; Shi </w:t>
      </w:r>
      <w:r w:rsidR="004111E2" w:rsidRPr="002322E3">
        <w:rPr>
          <w:i/>
          <w:iCs/>
          <w:color w:val="auto"/>
        </w:rPr>
        <w:t xml:space="preserve">et al., </w:t>
      </w:r>
      <w:r w:rsidR="004111E2" w:rsidRPr="002322E3">
        <w:rPr>
          <w:color w:val="auto"/>
        </w:rPr>
        <w:t xml:space="preserve">2018). </w:t>
      </w:r>
      <w:r w:rsidRPr="002322E3">
        <w:rPr>
          <w:color w:val="auto"/>
        </w:rPr>
        <w:t xml:space="preserve"> Re-irradiation is one treatment option for select patients with limited-volume recurrent GBM</w:t>
      </w:r>
      <w:r w:rsidR="00ED71AB" w:rsidRPr="002322E3">
        <w:rPr>
          <w:color w:val="auto"/>
        </w:rPr>
        <w:t xml:space="preserve"> (Fogh </w:t>
      </w:r>
      <w:r w:rsidR="00ED71AB" w:rsidRPr="002322E3">
        <w:rPr>
          <w:i/>
          <w:iCs/>
          <w:color w:val="auto"/>
        </w:rPr>
        <w:t xml:space="preserve">et al., </w:t>
      </w:r>
      <w:r w:rsidR="00ED71AB" w:rsidRPr="002322E3">
        <w:rPr>
          <w:color w:val="auto"/>
        </w:rPr>
        <w:t xml:space="preserve">2010; Grosu </w:t>
      </w:r>
      <w:r w:rsidR="00ED71AB" w:rsidRPr="002322E3">
        <w:rPr>
          <w:i/>
          <w:iCs/>
          <w:color w:val="auto"/>
        </w:rPr>
        <w:t xml:space="preserve">et al., </w:t>
      </w:r>
      <w:r w:rsidR="00ED71AB" w:rsidRPr="002322E3">
        <w:rPr>
          <w:color w:val="auto"/>
        </w:rPr>
        <w:t xml:space="preserve">2005; Lederman </w:t>
      </w:r>
      <w:r w:rsidR="00ED71AB" w:rsidRPr="002322E3">
        <w:rPr>
          <w:i/>
          <w:iCs/>
          <w:color w:val="auto"/>
        </w:rPr>
        <w:t xml:space="preserve">et al., </w:t>
      </w:r>
      <w:r w:rsidR="007425BD" w:rsidRPr="002322E3">
        <w:rPr>
          <w:color w:val="auto"/>
        </w:rPr>
        <w:t xml:space="preserve">2000). </w:t>
      </w:r>
      <w:r w:rsidRPr="002322E3">
        <w:rPr>
          <w:color w:val="auto"/>
        </w:rPr>
        <w:t xml:space="preserve"> Historically, 6-month PFS was 15%, prompting many clinical trials to seek a 13-15% improvement in outcomes</w:t>
      </w:r>
      <w:r w:rsidR="006A32A7" w:rsidRPr="002322E3">
        <w:rPr>
          <w:color w:val="auto"/>
        </w:rPr>
        <w:t xml:space="preserve"> (Minniti </w:t>
      </w:r>
      <w:r w:rsidR="006A32A7" w:rsidRPr="002322E3">
        <w:rPr>
          <w:i/>
          <w:iCs/>
          <w:color w:val="auto"/>
        </w:rPr>
        <w:t xml:space="preserve">et al., </w:t>
      </w:r>
      <w:r w:rsidR="006A32A7" w:rsidRPr="002322E3">
        <w:rPr>
          <w:color w:val="auto"/>
        </w:rPr>
        <w:t xml:space="preserve">2015; Reardon </w:t>
      </w:r>
      <w:r w:rsidR="006A32A7" w:rsidRPr="002322E3">
        <w:rPr>
          <w:i/>
          <w:iCs/>
          <w:color w:val="auto"/>
        </w:rPr>
        <w:t xml:space="preserve">et al., </w:t>
      </w:r>
      <w:r w:rsidR="006A32A7" w:rsidRPr="002322E3">
        <w:rPr>
          <w:color w:val="auto"/>
        </w:rPr>
        <w:t xml:space="preserve">2012). </w:t>
      </w:r>
      <w:r w:rsidRPr="002322E3">
        <w:rPr>
          <w:color w:val="auto"/>
        </w:rPr>
        <w:t xml:space="preserve"> In a recent meta- analysis, re-irradiation resulted in </w:t>
      </w:r>
      <w:r w:rsidR="00AB273F" w:rsidRPr="002322E3">
        <w:rPr>
          <w:color w:val="auto"/>
        </w:rPr>
        <w:t xml:space="preserve">a </w:t>
      </w:r>
      <w:r w:rsidRPr="002322E3">
        <w:rPr>
          <w:color w:val="auto"/>
        </w:rPr>
        <w:t>6-month PFS rate of 43% and 1-year OS of 36%</w:t>
      </w:r>
      <w:r w:rsidR="006A32A7" w:rsidRPr="002322E3">
        <w:rPr>
          <w:color w:val="auto"/>
        </w:rPr>
        <w:t xml:space="preserve"> (Kazmi </w:t>
      </w:r>
      <w:r w:rsidR="006A32A7" w:rsidRPr="002322E3">
        <w:rPr>
          <w:i/>
          <w:iCs/>
          <w:color w:val="auto"/>
        </w:rPr>
        <w:t xml:space="preserve">et al., </w:t>
      </w:r>
      <w:r w:rsidR="00CC5583" w:rsidRPr="002322E3">
        <w:rPr>
          <w:color w:val="auto"/>
        </w:rPr>
        <w:t xml:space="preserve">2019). </w:t>
      </w:r>
      <w:r w:rsidRPr="002322E3">
        <w:rPr>
          <w:color w:val="auto"/>
        </w:rPr>
        <w:t xml:space="preserve"> NRG/RTOG 1205 reported that re-irradiation (35Gy in 10 fractions) in addition to bevacizumab significantly improved median PFS </w:t>
      </w:r>
      <w:r w:rsidR="00AB273F" w:rsidRPr="002322E3">
        <w:rPr>
          <w:color w:val="auto"/>
        </w:rPr>
        <w:t xml:space="preserve">from 3.8 months (bevacizumab alone) </w:t>
      </w:r>
      <w:r w:rsidRPr="002322E3">
        <w:rPr>
          <w:color w:val="auto"/>
        </w:rPr>
        <w:t>to 7.1 months (hazards ratio [HR] 0.73, [95% CI, 0.53-1]) and was well tolerated</w:t>
      </w:r>
      <w:r w:rsidR="00CC5583" w:rsidRPr="002322E3">
        <w:rPr>
          <w:color w:val="auto"/>
        </w:rPr>
        <w:t xml:space="preserve"> (Tsien </w:t>
      </w:r>
      <w:r w:rsidR="00CC5583" w:rsidRPr="002322E3">
        <w:rPr>
          <w:i/>
          <w:iCs/>
          <w:color w:val="auto"/>
        </w:rPr>
        <w:t xml:space="preserve">et al., </w:t>
      </w:r>
      <w:r w:rsidR="00CC5583" w:rsidRPr="002322E3">
        <w:rPr>
          <w:color w:val="auto"/>
        </w:rPr>
        <w:t xml:space="preserve">2023). </w:t>
      </w:r>
      <w:r w:rsidRPr="002322E3">
        <w:rPr>
          <w:color w:val="auto"/>
        </w:rPr>
        <w:t xml:space="preserve"> Bevacizumab was selected as the control arm based on EORTC 26101, which led to its </w:t>
      </w:r>
      <w:r w:rsidR="00625C77" w:rsidRPr="002322E3">
        <w:rPr>
          <w:color w:val="auto"/>
        </w:rPr>
        <w:t>Food and Drug Administration (</w:t>
      </w:r>
      <w:r w:rsidRPr="002322E3">
        <w:rPr>
          <w:color w:val="auto"/>
        </w:rPr>
        <w:t>FDA</w:t>
      </w:r>
      <w:r w:rsidR="00625C77" w:rsidRPr="002322E3">
        <w:rPr>
          <w:color w:val="auto"/>
        </w:rPr>
        <w:t>)</w:t>
      </w:r>
      <w:r w:rsidRPr="002322E3">
        <w:rPr>
          <w:color w:val="auto"/>
        </w:rPr>
        <w:t xml:space="preserve"> approval for recurrent GBM. </w:t>
      </w:r>
      <w:r w:rsidR="00CC5583" w:rsidRPr="002322E3">
        <w:rPr>
          <w:color w:val="auto"/>
        </w:rPr>
        <w:t xml:space="preserve"> </w:t>
      </w:r>
      <w:r w:rsidR="00217019" w:rsidRPr="002322E3">
        <w:rPr>
          <w:color w:val="auto"/>
        </w:rPr>
        <w:t>EORTC 26101</w:t>
      </w:r>
      <w:r w:rsidRPr="002322E3">
        <w:rPr>
          <w:color w:val="auto"/>
        </w:rPr>
        <w:t xml:space="preserve"> demonstrated that combining bevacizumab with </w:t>
      </w:r>
      <w:proofErr w:type="spellStart"/>
      <w:r w:rsidRPr="002322E3">
        <w:rPr>
          <w:color w:val="auto"/>
        </w:rPr>
        <w:t>lomustine</w:t>
      </w:r>
      <w:proofErr w:type="spellEnd"/>
      <w:r w:rsidRPr="002322E3">
        <w:rPr>
          <w:color w:val="auto"/>
        </w:rPr>
        <w:t xml:space="preserve"> significantly improved median PFS compared to </w:t>
      </w:r>
      <w:proofErr w:type="spellStart"/>
      <w:r w:rsidRPr="002322E3">
        <w:rPr>
          <w:color w:val="auto"/>
        </w:rPr>
        <w:t>lomustine</w:t>
      </w:r>
      <w:proofErr w:type="spellEnd"/>
      <w:r w:rsidRPr="002322E3">
        <w:rPr>
          <w:color w:val="auto"/>
        </w:rPr>
        <w:t xml:space="preserve"> alone</w:t>
      </w:r>
      <w:r w:rsidR="00217019" w:rsidRPr="002322E3">
        <w:rPr>
          <w:color w:val="auto"/>
        </w:rPr>
        <w:t>, but</w:t>
      </w:r>
      <w:r w:rsidRPr="002322E3">
        <w:rPr>
          <w:color w:val="auto"/>
        </w:rPr>
        <w:t xml:space="preserve"> there was no significant improvement in OS</w:t>
      </w:r>
      <w:r w:rsidR="00CC5583" w:rsidRPr="002322E3">
        <w:rPr>
          <w:color w:val="auto"/>
        </w:rPr>
        <w:t xml:space="preserve"> (Wick </w:t>
      </w:r>
      <w:r w:rsidR="00CC5583" w:rsidRPr="002322E3">
        <w:rPr>
          <w:i/>
          <w:iCs/>
          <w:color w:val="auto"/>
        </w:rPr>
        <w:t xml:space="preserve">et al., </w:t>
      </w:r>
      <w:r w:rsidR="00CC5583" w:rsidRPr="002322E3">
        <w:rPr>
          <w:color w:val="auto"/>
        </w:rPr>
        <w:t xml:space="preserve">2017). </w:t>
      </w:r>
      <w:r w:rsidRPr="002322E3">
        <w:rPr>
          <w:color w:val="auto"/>
        </w:rPr>
        <w:t xml:space="preserve"> Similarly, </w:t>
      </w:r>
      <w:r w:rsidR="002D7D50" w:rsidRPr="002322E3">
        <w:rPr>
          <w:color w:val="auto"/>
        </w:rPr>
        <w:t>the combination of re-irradiation and bevacizumab arm in NRG/RTOG 1205 did not improve OS</w:t>
      </w:r>
      <w:r w:rsidR="002D67CB" w:rsidRPr="002322E3">
        <w:rPr>
          <w:color w:val="auto"/>
        </w:rPr>
        <w:t>,</w:t>
      </w:r>
      <w:r w:rsidR="002D7D50" w:rsidRPr="002322E3">
        <w:rPr>
          <w:color w:val="auto"/>
        </w:rPr>
        <w:t xml:space="preserve"> </w:t>
      </w:r>
      <w:r w:rsidRPr="002322E3">
        <w:rPr>
          <w:color w:val="auto"/>
        </w:rPr>
        <w:t xml:space="preserve">consistent with outcomes from numerous other trials focusing on recurrent GBM. </w:t>
      </w:r>
      <w:r w:rsidR="00CC5583" w:rsidRPr="002322E3">
        <w:rPr>
          <w:color w:val="auto"/>
        </w:rPr>
        <w:t xml:space="preserve"> </w:t>
      </w:r>
      <w:r w:rsidR="002D7D50" w:rsidRPr="002322E3">
        <w:rPr>
          <w:color w:val="auto"/>
        </w:rPr>
        <w:t>T</w:t>
      </w:r>
      <w:r w:rsidRPr="002322E3">
        <w:rPr>
          <w:color w:val="auto"/>
        </w:rPr>
        <w:t>hese findings underscore that radiation alone is not sufficient to improve oncologic outcomes for patients with GBM.</w:t>
      </w:r>
    </w:p>
    <w:p w14:paraId="17828897" w14:textId="77777777" w:rsidR="001E0F17" w:rsidRPr="002322E3" w:rsidRDefault="001E0F17" w:rsidP="00B74C4E">
      <w:pPr>
        <w:suppressAutoHyphens/>
        <w:rPr>
          <w:color w:val="auto"/>
        </w:rPr>
      </w:pPr>
    </w:p>
    <w:p w14:paraId="03D27AC5" w14:textId="303CAE37" w:rsidR="00B74C4E" w:rsidRPr="002322E3" w:rsidRDefault="00B74C4E" w:rsidP="00B74C4E">
      <w:pPr>
        <w:suppressAutoHyphens/>
        <w:rPr>
          <w:color w:val="auto"/>
        </w:rPr>
      </w:pPr>
      <w:r w:rsidRPr="002322E3">
        <w:rPr>
          <w:color w:val="auto"/>
        </w:rPr>
        <w:t>The presence of significant genetic heterogeneity and alterations in key signaling pathways within the tumor contribute to the development of aggressive, treatment-resistant phenotypes</w:t>
      </w:r>
      <w:r w:rsidR="00F42E93" w:rsidRPr="002322E3">
        <w:rPr>
          <w:color w:val="auto"/>
        </w:rPr>
        <w:t xml:space="preserve"> (Matthews </w:t>
      </w:r>
      <w:r w:rsidR="00F42E93" w:rsidRPr="002322E3">
        <w:rPr>
          <w:i/>
          <w:iCs/>
          <w:color w:val="auto"/>
        </w:rPr>
        <w:t xml:space="preserve">et al., </w:t>
      </w:r>
      <w:r w:rsidR="00F42E93" w:rsidRPr="002322E3">
        <w:rPr>
          <w:color w:val="auto"/>
        </w:rPr>
        <w:t xml:space="preserve">2022; McLendon </w:t>
      </w:r>
      <w:r w:rsidR="00F42E93" w:rsidRPr="002322E3">
        <w:rPr>
          <w:i/>
          <w:iCs/>
          <w:color w:val="auto"/>
        </w:rPr>
        <w:t xml:space="preserve">et al., </w:t>
      </w:r>
      <w:r w:rsidR="00F42E93" w:rsidRPr="002322E3">
        <w:rPr>
          <w:color w:val="auto"/>
        </w:rPr>
        <w:t xml:space="preserve">2008; Patel </w:t>
      </w:r>
      <w:r w:rsidR="00F42E93" w:rsidRPr="002322E3">
        <w:rPr>
          <w:i/>
          <w:iCs/>
          <w:color w:val="auto"/>
        </w:rPr>
        <w:t xml:space="preserve">et al., </w:t>
      </w:r>
      <w:r w:rsidR="001A5C21" w:rsidRPr="002322E3">
        <w:rPr>
          <w:color w:val="auto"/>
        </w:rPr>
        <w:t xml:space="preserve">2014; </w:t>
      </w:r>
      <w:proofErr w:type="spellStart"/>
      <w:r w:rsidR="001A5C21" w:rsidRPr="002322E3">
        <w:rPr>
          <w:color w:val="auto"/>
        </w:rPr>
        <w:t>Snuderl</w:t>
      </w:r>
      <w:proofErr w:type="spellEnd"/>
      <w:r w:rsidR="001A5C21" w:rsidRPr="002322E3">
        <w:rPr>
          <w:color w:val="auto"/>
        </w:rPr>
        <w:t xml:space="preserve"> </w:t>
      </w:r>
      <w:r w:rsidR="001A5C21" w:rsidRPr="002322E3">
        <w:rPr>
          <w:i/>
          <w:iCs/>
          <w:color w:val="auto"/>
        </w:rPr>
        <w:t xml:space="preserve">et al., </w:t>
      </w:r>
      <w:r w:rsidR="001A5C21" w:rsidRPr="002322E3">
        <w:rPr>
          <w:color w:val="auto"/>
        </w:rPr>
        <w:t xml:space="preserve">2011). </w:t>
      </w:r>
      <w:r w:rsidRPr="002322E3">
        <w:rPr>
          <w:color w:val="auto"/>
        </w:rPr>
        <w:t xml:space="preserve"> Heterogeneity results from uncontrolled, error-prone DNA replication and repair. </w:t>
      </w:r>
      <w:r w:rsidR="001A5C21" w:rsidRPr="002322E3">
        <w:rPr>
          <w:color w:val="auto"/>
        </w:rPr>
        <w:t xml:space="preserve"> </w:t>
      </w:r>
      <w:r w:rsidRPr="002322E3">
        <w:rPr>
          <w:color w:val="auto"/>
        </w:rPr>
        <w:t>These processes are influenced by a sustained yet unbalanced supply of deoxyribonucleotide triphosphates (dNTPs), the essential building blocks of DNA</w:t>
      </w:r>
      <w:r w:rsidR="001A5C21" w:rsidRPr="002322E3">
        <w:rPr>
          <w:color w:val="auto"/>
        </w:rPr>
        <w:t xml:space="preserve"> (</w:t>
      </w:r>
      <w:r w:rsidR="00946C5B" w:rsidRPr="002322E3">
        <w:rPr>
          <w:color w:val="auto"/>
        </w:rPr>
        <w:t xml:space="preserve">Bester </w:t>
      </w:r>
      <w:r w:rsidR="00946C5B" w:rsidRPr="002322E3">
        <w:rPr>
          <w:i/>
          <w:iCs/>
          <w:color w:val="auto"/>
        </w:rPr>
        <w:t xml:space="preserve">et al., </w:t>
      </w:r>
      <w:r w:rsidR="00113760" w:rsidRPr="002322E3">
        <w:rPr>
          <w:color w:val="auto"/>
        </w:rPr>
        <w:t xml:space="preserve">2011; Chabes </w:t>
      </w:r>
      <w:r w:rsidR="00113760" w:rsidRPr="002322E3">
        <w:rPr>
          <w:i/>
          <w:iCs/>
          <w:color w:val="auto"/>
        </w:rPr>
        <w:t xml:space="preserve">et al., </w:t>
      </w:r>
      <w:r w:rsidR="00113760" w:rsidRPr="002322E3">
        <w:rPr>
          <w:color w:val="auto"/>
        </w:rPr>
        <w:t xml:space="preserve">2003; </w:t>
      </w:r>
      <w:r w:rsidR="001A5C21" w:rsidRPr="002322E3">
        <w:rPr>
          <w:color w:val="auto"/>
        </w:rPr>
        <w:t>Saxena and Zou</w:t>
      </w:r>
      <w:r w:rsidR="00946C5B" w:rsidRPr="002322E3">
        <w:rPr>
          <w:color w:val="auto"/>
        </w:rPr>
        <w:t xml:space="preserve">, 2022; Weinberg </w:t>
      </w:r>
      <w:r w:rsidR="00946C5B" w:rsidRPr="002322E3">
        <w:rPr>
          <w:i/>
          <w:iCs/>
          <w:color w:val="auto"/>
        </w:rPr>
        <w:t xml:space="preserve">et al., </w:t>
      </w:r>
      <w:r w:rsidR="00946C5B" w:rsidRPr="002322E3">
        <w:rPr>
          <w:color w:val="auto"/>
        </w:rPr>
        <w:t xml:space="preserve">1981). </w:t>
      </w:r>
      <w:r w:rsidRPr="002322E3">
        <w:rPr>
          <w:color w:val="auto"/>
        </w:rPr>
        <w:t xml:space="preserve"> Ribonucleotide reductase (RNR) is a rate-limiting enzyme that mediates the production of dNTPs</w:t>
      </w:r>
      <w:r w:rsidR="00113760" w:rsidRPr="002322E3">
        <w:rPr>
          <w:color w:val="auto"/>
        </w:rPr>
        <w:t xml:space="preserve"> (Fairman </w:t>
      </w:r>
      <w:r w:rsidR="00113760" w:rsidRPr="002322E3">
        <w:rPr>
          <w:i/>
          <w:iCs/>
          <w:color w:val="auto"/>
        </w:rPr>
        <w:t>et al.,</w:t>
      </w:r>
      <w:r w:rsidR="00113760" w:rsidRPr="002322E3">
        <w:rPr>
          <w:color w:val="auto"/>
        </w:rPr>
        <w:t xml:space="preserve">2011). </w:t>
      </w:r>
      <w:r w:rsidRPr="002322E3">
        <w:rPr>
          <w:color w:val="auto"/>
        </w:rPr>
        <w:t xml:space="preserve"> RNR is composed of two non-identical regulatory subunits, with the second subunit </w:t>
      </w:r>
      <w:r w:rsidR="002421B3" w:rsidRPr="002322E3">
        <w:rPr>
          <w:color w:val="auto"/>
        </w:rPr>
        <w:t>(</w:t>
      </w:r>
      <w:r w:rsidR="007D7829" w:rsidRPr="002322E3">
        <w:rPr>
          <w:iCs/>
          <w:color w:val="auto"/>
        </w:rPr>
        <w:t xml:space="preserve">Regulatory subunit 2 </w:t>
      </w:r>
      <w:r w:rsidR="00257C94" w:rsidRPr="002322E3">
        <w:rPr>
          <w:color w:val="auto"/>
        </w:rPr>
        <w:t>[</w:t>
      </w:r>
      <w:r w:rsidRPr="002322E3">
        <w:rPr>
          <w:color w:val="auto"/>
        </w:rPr>
        <w:t>RRM2</w:t>
      </w:r>
      <w:r w:rsidR="00257C94" w:rsidRPr="002322E3">
        <w:rPr>
          <w:color w:val="auto"/>
        </w:rPr>
        <w:t>]</w:t>
      </w:r>
      <w:r w:rsidRPr="002322E3">
        <w:rPr>
          <w:color w:val="auto"/>
        </w:rPr>
        <w:t>) controlling RNR expression and activity</w:t>
      </w:r>
      <w:r w:rsidR="00A35E60" w:rsidRPr="002322E3">
        <w:rPr>
          <w:color w:val="auto"/>
        </w:rPr>
        <w:t xml:space="preserve"> (Thelander and Reichard, 1979). </w:t>
      </w:r>
      <w:r w:rsidRPr="002322E3">
        <w:rPr>
          <w:color w:val="auto"/>
        </w:rPr>
        <w:t xml:space="preserve"> RRM2 contains a di-iron center that catalyzes the reduction of 2’ carbon of ribonucleotides and is critical to its function</w:t>
      </w:r>
      <w:r w:rsidR="00A35E60" w:rsidRPr="002322E3">
        <w:rPr>
          <w:color w:val="auto"/>
        </w:rPr>
        <w:t xml:space="preserve"> (Aye </w:t>
      </w:r>
      <w:r w:rsidR="00A35E60" w:rsidRPr="002322E3">
        <w:rPr>
          <w:i/>
          <w:iCs/>
          <w:color w:val="auto"/>
        </w:rPr>
        <w:t>et al</w:t>
      </w:r>
      <w:r w:rsidR="006E5FCC" w:rsidRPr="002322E3">
        <w:rPr>
          <w:i/>
          <w:iCs/>
          <w:color w:val="auto"/>
        </w:rPr>
        <w:t xml:space="preserve">., </w:t>
      </w:r>
      <w:r w:rsidR="006E5FCC" w:rsidRPr="002322E3">
        <w:rPr>
          <w:color w:val="auto"/>
        </w:rPr>
        <w:t xml:space="preserve">2015; </w:t>
      </w:r>
      <w:proofErr w:type="spellStart"/>
      <w:r w:rsidR="006E5FCC" w:rsidRPr="002322E3">
        <w:rPr>
          <w:color w:val="auto"/>
        </w:rPr>
        <w:t>Cotruvo</w:t>
      </w:r>
      <w:proofErr w:type="spellEnd"/>
      <w:r w:rsidR="006E5FCC" w:rsidRPr="002322E3">
        <w:rPr>
          <w:color w:val="auto"/>
        </w:rPr>
        <w:t xml:space="preserve"> and Stubbe, 2011). </w:t>
      </w:r>
      <w:r w:rsidRPr="002322E3">
        <w:rPr>
          <w:color w:val="auto"/>
        </w:rPr>
        <w:t xml:space="preserve"> RRM2 is a target of many signaling pathways frequently dysregulated in cancer such as KRAS, p53, and mTOR, and has </w:t>
      </w:r>
      <w:r w:rsidR="00050DCA" w:rsidRPr="002322E3">
        <w:rPr>
          <w:color w:val="auto"/>
        </w:rPr>
        <w:t>been reported</w:t>
      </w:r>
      <w:r w:rsidRPr="002322E3">
        <w:rPr>
          <w:color w:val="auto"/>
        </w:rPr>
        <w:t xml:space="preserve"> to be upregulated in several cancer types</w:t>
      </w:r>
      <w:r w:rsidR="00F31768">
        <w:rPr>
          <w:color w:val="auto"/>
        </w:rPr>
        <w:t xml:space="preserve"> (</w:t>
      </w:r>
      <w:r w:rsidR="00CE2150">
        <w:rPr>
          <w:color w:val="auto"/>
        </w:rPr>
        <w:t xml:space="preserve">He </w:t>
      </w:r>
      <w:r w:rsidR="00CE2150">
        <w:rPr>
          <w:i/>
          <w:iCs/>
          <w:color w:val="auto"/>
        </w:rPr>
        <w:t>et al</w:t>
      </w:r>
      <w:r w:rsidR="00CE2150">
        <w:rPr>
          <w:color w:val="auto"/>
        </w:rPr>
        <w:t xml:space="preserve">., 2017; Shen </w:t>
      </w:r>
      <w:r w:rsidR="00CE2150">
        <w:rPr>
          <w:i/>
          <w:iCs/>
          <w:color w:val="auto"/>
        </w:rPr>
        <w:t xml:space="preserve">et al., </w:t>
      </w:r>
      <w:r w:rsidR="00CE2150">
        <w:rPr>
          <w:color w:val="auto"/>
        </w:rPr>
        <w:t xml:space="preserve">2007; Yoshida </w:t>
      </w:r>
      <w:r w:rsidR="00CE2150">
        <w:rPr>
          <w:i/>
          <w:iCs/>
          <w:color w:val="auto"/>
        </w:rPr>
        <w:t>et al.</w:t>
      </w:r>
      <w:r w:rsidR="00CE2150">
        <w:rPr>
          <w:color w:val="auto"/>
        </w:rPr>
        <w:t>, 2011)</w:t>
      </w:r>
      <w:r w:rsidR="006A6A95">
        <w:rPr>
          <w:color w:val="auto"/>
        </w:rPr>
        <w:t>.</w:t>
      </w:r>
      <w:r w:rsidR="009E7E26">
        <w:rPr>
          <w:color w:val="auto"/>
        </w:rPr>
        <w:t xml:space="preserve">  </w:t>
      </w:r>
      <w:r w:rsidRPr="002322E3">
        <w:rPr>
          <w:color w:val="auto"/>
        </w:rPr>
        <w:t>These findings suggest an important role of RRM2-mediated dNTP metabolism in treatment resistance which makes RRM2 an attractive therapeutic target in GBM.</w:t>
      </w:r>
    </w:p>
    <w:p w14:paraId="77563BF1" w14:textId="77777777" w:rsidR="009E246E" w:rsidRDefault="009E246E" w:rsidP="009E246E"/>
    <w:p w14:paraId="424691D9" w14:textId="09479291" w:rsidR="009E246E" w:rsidRPr="007300F3" w:rsidRDefault="009E246E" w:rsidP="00C94562">
      <w:pPr>
        <w:pStyle w:val="Heading2"/>
        <w:rPr>
          <w:i/>
        </w:rPr>
      </w:pPr>
      <w:bookmarkStart w:id="12" w:name="_Toc318812998"/>
      <w:bookmarkStart w:id="13" w:name="_Toc176419891"/>
      <w:r w:rsidRPr="00A40C6A">
        <w:t>CTEP</w:t>
      </w:r>
      <w:r>
        <w:t xml:space="preserve"> IND</w:t>
      </w:r>
      <w:r w:rsidRPr="00A40C6A">
        <w:t xml:space="preserve"> Agent</w:t>
      </w:r>
      <w:bookmarkEnd w:id="12"/>
      <w:r w:rsidR="00643819">
        <w:t xml:space="preserve"> (Triapine)</w:t>
      </w:r>
      <w:bookmarkEnd w:id="13"/>
    </w:p>
    <w:p w14:paraId="43EAD71C" w14:textId="77777777" w:rsidR="009E246E" w:rsidRPr="005F6306" w:rsidRDefault="009E246E" w:rsidP="009E246E">
      <w:pPr>
        <w:tabs>
          <w:tab w:val="left" w:pos="0"/>
          <w:tab w:val="left" w:pos="354"/>
          <w:tab w:val="left" w:pos="710"/>
          <w:tab w:val="left" w:pos="1086"/>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720"/>
        <w:rPr>
          <w:highlight w:val="cyan"/>
        </w:rPr>
      </w:pPr>
    </w:p>
    <w:p w14:paraId="1CE13195" w14:textId="1D7E4D55" w:rsidR="00633D20" w:rsidRPr="002322E3" w:rsidRDefault="00C011C7" w:rsidP="00144734">
      <w:pPr>
        <w:suppressAutoHyphens/>
        <w:rPr>
          <w:color w:val="auto"/>
        </w:rPr>
      </w:pPr>
      <w:r w:rsidRPr="002322E3">
        <w:rPr>
          <w:color w:val="auto"/>
        </w:rPr>
        <w:t xml:space="preserve">Triapine </w:t>
      </w:r>
      <w:r w:rsidR="00755A5D" w:rsidRPr="002322E3">
        <w:rPr>
          <w:color w:val="auto"/>
        </w:rPr>
        <w:t xml:space="preserve">belongs to the class of </w:t>
      </w:r>
      <w:r w:rsidR="00165B88" w:rsidRPr="002322E3">
        <w:rPr>
          <w:color w:val="auto"/>
        </w:rPr>
        <w:t>iron free radical site (</w:t>
      </w:r>
      <w:r w:rsidR="00755A5D" w:rsidRPr="002322E3">
        <w:rPr>
          <w:color w:val="auto"/>
        </w:rPr>
        <w:t>M2</w:t>
      </w:r>
      <w:r w:rsidR="00165B88" w:rsidRPr="002322E3">
        <w:rPr>
          <w:color w:val="auto"/>
        </w:rPr>
        <w:t>)</w:t>
      </w:r>
      <w:r w:rsidR="00755A5D" w:rsidRPr="002322E3">
        <w:rPr>
          <w:color w:val="auto"/>
        </w:rPr>
        <w:t xml:space="preserve">-affecting </w:t>
      </w:r>
      <w:r w:rsidRPr="002322E3">
        <w:rPr>
          <w:color w:val="auto"/>
        </w:rPr>
        <w:t>RNR inhibitor</w:t>
      </w:r>
      <w:r w:rsidR="00755A5D" w:rsidRPr="002322E3">
        <w:rPr>
          <w:color w:val="auto"/>
        </w:rPr>
        <w:t>s that are derivatives of a-heterocyclic carboxaldehyde thiosemicarbazone (HCT)</w:t>
      </w:r>
      <w:r w:rsidR="002A1B90" w:rsidRPr="002322E3">
        <w:rPr>
          <w:color w:val="auto"/>
        </w:rPr>
        <w:t xml:space="preserve">, which is 65-5,000 times more potent than the only </w:t>
      </w:r>
      <w:r w:rsidR="00AE61C1" w:rsidRPr="002322E3">
        <w:rPr>
          <w:color w:val="auto"/>
        </w:rPr>
        <w:t xml:space="preserve">clinically approved M2-affecting RNR inhibitor, hydroxyurea (Investigator’s Brochure, </w:t>
      </w:r>
      <w:r w:rsidR="00CD2510" w:rsidRPr="002322E3">
        <w:rPr>
          <w:color w:val="auto"/>
        </w:rPr>
        <w:t>2018)</w:t>
      </w:r>
      <w:r w:rsidRPr="002322E3">
        <w:rPr>
          <w:color w:val="auto"/>
        </w:rPr>
        <w:t>.</w:t>
      </w:r>
      <w:r w:rsidR="00CD2510" w:rsidRPr="002322E3">
        <w:rPr>
          <w:color w:val="auto"/>
        </w:rPr>
        <w:t xml:space="preserve">  Triapine was designed to avoid the metabolic fate of the initial lead </w:t>
      </w:r>
      <w:r w:rsidR="002375B8" w:rsidRPr="002322E3">
        <w:rPr>
          <w:color w:val="auto"/>
        </w:rPr>
        <w:t>structure in the HCT series, which underwent rapid metabolism and had a short biological half-life of 2.5-10 minutes in patients.</w:t>
      </w:r>
    </w:p>
    <w:p w14:paraId="45F3F7F8" w14:textId="77777777" w:rsidR="00306FCF" w:rsidRPr="002322E3" w:rsidRDefault="00306FCF" w:rsidP="00144734">
      <w:pPr>
        <w:suppressAutoHyphens/>
        <w:rPr>
          <w:color w:val="auto"/>
        </w:rPr>
      </w:pPr>
    </w:p>
    <w:p w14:paraId="3D8D1349" w14:textId="37EC604F" w:rsidR="00306FCF" w:rsidRPr="002322E3" w:rsidRDefault="00306FCF" w:rsidP="00EA0AFF">
      <w:pPr>
        <w:pStyle w:val="Level3Heading"/>
        <w:suppressAutoHyphens/>
        <w:rPr>
          <w:color w:val="auto"/>
        </w:rPr>
      </w:pPr>
      <w:r w:rsidRPr="002322E3">
        <w:rPr>
          <w:color w:val="auto"/>
        </w:rPr>
        <w:t xml:space="preserve">Nonclinical </w:t>
      </w:r>
      <w:r w:rsidR="00A171F4" w:rsidRPr="002322E3">
        <w:rPr>
          <w:color w:val="auto"/>
        </w:rPr>
        <w:t>Summary</w:t>
      </w:r>
    </w:p>
    <w:p w14:paraId="262C1842" w14:textId="77777777" w:rsidR="00633D20" w:rsidRPr="002322E3" w:rsidRDefault="00633D20" w:rsidP="00144734">
      <w:pPr>
        <w:suppressAutoHyphens/>
        <w:rPr>
          <w:color w:val="auto"/>
        </w:rPr>
      </w:pPr>
    </w:p>
    <w:p w14:paraId="2F684926" w14:textId="17E757FF" w:rsidR="00304D0E" w:rsidRPr="002322E3" w:rsidRDefault="00305857" w:rsidP="00144734">
      <w:pPr>
        <w:suppressAutoHyphens/>
        <w:rPr>
          <w:color w:val="auto"/>
        </w:rPr>
      </w:pPr>
      <w:r w:rsidRPr="002322E3">
        <w:rPr>
          <w:color w:val="auto"/>
        </w:rPr>
        <w:lastRenderedPageBreak/>
        <w:t xml:space="preserve">Triapine </w:t>
      </w:r>
      <w:r w:rsidR="001B4904" w:rsidRPr="002322E3">
        <w:rPr>
          <w:color w:val="auto"/>
        </w:rPr>
        <w:t>I</w:t>
      </w:r>
      <w:r w:rsidRPr="002322E3">
        <w:rPr>
          <w:color w:val="auto"/>
        </w:rPr>
        <w:t xml:space="preserve">njection has been shown to inhibit RNR (as measured by cytosine diphosphate [CDP] reductase activity) </w:t>
      </w:r>
      <w:r w:rsidRPr="002322E3">
        <w:rPr>
          <w:i/>
          <w:iCs/>
          <w:color w:val="auto"/>
        </w:rPr>
        <w:t>in vitro</w:t>
      </w:r>
      <w:r w:rsidRPr="002322E3">
        <w:rPr>
          <w:color w:val="auto"/>
        </w:rPr>
        <w:t>, with an average IC</w:t>
      </w:r>
      <w:r w:rsidRPr="002322E3">
        <w:rPr>
          <w:color w:val="auto"/>
          <w:vertAlign w:val="subscript"/>
        </w:rPr>
        <w:t>50</w:t>
      </w:r>
      <w:r w:rsidRPr="002322E3">
        <w:rPr>
          <w:color w:val="auto"/>
        </w:rPr>
        <w:t xml:space="preserve"> </w:t>
      </w:r>
      <w:r w:rsidR="00F20A02" w:rsidRPr="002322E3">
        <w:rPr>
          <w:color w:val="auto"/>
        </w:rPr>
        <w:t xml:space="preserve">value of 0.3 </w:t>
      </w:r>
      <w:proofErr w:type="spellStart"/>
      <w:r w:rsidR="00F20A02" w:rsidRPr="002322E3">
        <w:rPr>
          <w:color w:val="auto"/>
        </w:rPr>
        <w:t>mcM</w:t>
      </w:r>
      <w:proofErr w:type="spellEnd"/>
      <w:r w:rsidR="00F20A02" w:rsidRPr="002322E3">
        <w:rPr>
          <w:color w:val="auto"/>
        </w:rPr>
        <w:t xml:space="preserve"> against a highly purified enzyme and 0.82 </w:t>
      </w:r>
      <w:proofErr w:type="spellStart"/>
      <w:r w:rsidR="00F20A02" w:rsidRPr="002322E3">
        <w:rPr>
          <w:color w:val="auto"/>
        </w:rPr>
        <w:t>mcM</w:t>
      </w:r>
      <w:proofErr w:type="spellEnd"/>
      <w:r w:rsidR="00F20A02" w:rsidRPr="002322E3">
        <w:rPr>
          <w:color w:val="auto"/>
        </w:rPr>
        <w:t xml:space="preserve"> against a partially purified enzyme, from the Ehrlich carcinoma</w:t>
      </w:r>
      <w:r w:rsidR="001B4904" w:rsidRPr="002322E3">
        <w:rPr>
          <w:color w:val="auto"/>
        </w:rPr>
        <w:t xml:space="preserve"> (Investigator’s Brochure, 2018)</w:t>
      </w:r>
      <w:r w:rsidR="00F20A02" w:rsidRPr="002322E3">
        <w:rPr>
          <w:color w:val="auto"/>
        </w:rPr>
        <w:t xml:space="preserve">.  Triapine </w:t>
      </w:r>
      <w:r w:rsidR="001B4904" w:rsidRPr="002322E3">
        <w:rPr>
          <w:color w:val="auto"/>
        </w:rPr>
        <w:t>Injection has also shown anti-tumor activity against M109 and L1210 tumors, and the HU-resistant subline version of L1210 tumors.  The average IC</w:t>
      </w:r>
      <w:r w:rsidR="001B4904" w:rsidRPr="002322E3">
        <w:rPr>
          <w:color w:val="auto"/>
          <w:vertAlign w:val="subscript"/>
        </w:rPr>
        <w:t xml:space="preserve">50 </w:t>
      </w:r>
      <w:r w:rsidR="001B4904" w:rsidRPr="002322E3">
        <w:rPr>
          <w:color w:val="auto"/>
        </w:rPr>
        <w:t xml:space="preserve">values for the anti-tumor activities were 0.75-1.6 </w:t>
      </w:r>
      <w:proofErr w:type="spellStart"/>
      <w:r w:rsidR="001B4904" w:rsidRPr="002322E3">
        <w:rPr>
          <w:color w:val="auto"/>
        </w:rPr>
        <w:t>mcM</w:t>
      </w:r>
      <w:proofErr w:type="spellEnd"/>
      <w:r w:rsidR="001B4904" w:rsidRPr="002322E3">
        <w:rPr>
          <w:color w:val="auto"/>
        </w:rPr>
        <w:t>.</w:t>
      </w:r>
      <w:r w:rsidR="00410905" w:rsidRPr="002322E3">
        <w:rPr>
          <w:color w:val="auto"/>
        </w:rPr>
        <w:t xml:space="preserve">  Triapine </w:t>
      </w:r>
      <w:r w:rsidR="008F1963" w:rsidRPr="002322E3">
        <w:rPr>
          <w:color w:val="auto"/>
        </w:rPr>
        <w:t>inhibited CDP reductase activity for a longer time in tumor cells as compared to normal cells, where the R</w:t>
      </w:r>
      <w:r w:rsidR="008F1963" w:rsidRPr="002322E3">
        <w:rPr>
          <w:color w:val="auto"/>
          <w:vertAlign w:val="subscript"/>
        </w:rPr>
        <w:t xml:space="preserve">50 </w:t>
      </w:r>
      <w:r w:rsidR="008F1963" w:rsidRPr="002322E3">
        <w:rPr>
          <w:color w:val="auto"/>
        </w:rPr>
        <w:t xml:space="preserve">(the time for 50% recovery from Triapine-induced inhibition of DNA synthesis) was </w:t>
      </w:r>
      <w:r w:rsidR="00940574" w:rsidRPr="002322E3">
        <w:rPr>
          <w:color w:val="auto"/>
        </w:rPr>
        <w:t>10.1 hours in L1210 tumors cells but only 4.8-7.3 hours in normal cells.</w:t>
      </w:r>
    </w:p>
    <w:p w14:paraId="04EB128C" w14:textId="77777777" w:rsidR="005B2782" w:rsidRPr="002322E3" w:rsidRDefault="005B2782" w:rsidP="00144734">
      <w:pPr>
        <w:suppressAutoHyphens/>
        <w:rPr>
          <w:color w:val="auto"/>
        </w:rPr>
      </w:pPr>
    </w:p>
    <w:p w14:paraId="4BD17AC0" w14:textId="7C23F76D" w:rsidR="005B2782" w:rsidRPr="002322E3" w:rsidRDefault="000036F8" w:rsidP="00144734">
      <w:pPr>
        <w:suppressAutoHyphens/>
        <w:rPr>
          <w:color w:val="auto"/>
        </w:rPr>
      </w:pPr>
      <w:r w:rsidRPr="002322E3">
        <w:rPr>
          <w:color w:val="auto"/>
        </w:rPr>
        <w:t>In mouse studies, when mice were injected intraperitoneally twice daily for six consecutive days at doses of 10-30 mg/kg/injection, triapine induced a “bell-shaped” dose response curve, where the maximum anti-tumor effect was observed at 15 mg/kg/injection</w:t>
      </w:r>
      <w:r w:rsidR="00592136" w:rsidRPr="002322E3">
        <w:rPr>
          <w:color w:val="auto"/>
        </w:rPr>
        <w:t>, with a treatment/control survival ratio of 262%</w:t>
      </w:r>
      <w:r w:rsidRPr="002322E3">
        <w:rPr>
          <w:color w:val="auto"/>
        </w:rPr>
        <w:t xml:space="preserve"> (Investigator’s Brochure, 2018).  </w:t>
      </w:r>
      <w:r w:rsidR="00592136" w:rsidRPr="002322E3">
        <w:rPr>
          <w:color w:val="auto"/>
        </w:rPr>
        <w:t xml:space="preserve">Triapine has also been shown to reduce tumor size in mice previously implanted at a stringent distal site with murine M109 lung carcinoma and the human A2780 ovarian carcinoma. </w:t>
      </w:r>
      <w:r w:rsidR="00F07C33" w:rsidRPr="002322E3">
        <w:rPr>
          <w:color w:val="auto"/>
        </w:rPr>
        <w:t xml:space="preserve"> When combined with a DNA-damaging agent such as cisplatin, triapine has been shown to induce an at least additive anti-tumor effect in mice with L1210 leukemia, </w:t>
      </w:r>
      <w:r w:rsidR="00391639" w:rsidRPr="002322E3">
        <w:rPr>
          <w:color w:val="auto"/>
        </w:rPr>
        <w:t>with an enhanced prolongation of survival time beyond the time induced by either agent alone.</w:t>
      </w:r>
      <w:r w:rsidR="00466FD6" w:rsidRPr="002322E3">
        <w:rPr>
          <w:color w:val="auto"/>
        </w:rPr>
        <w:t xml:space="preserve">  Conversely, no enhancement in prolongation of survival time was found when triapine was combined with</w:t>
      </w:r>
      <w:r w:rsidR="00F256B8" w:rsidRPr="002322E3">
        <w:rPr>
          <w:color w:val="auto"/>
        </w:rPr>
        <w:t xml:space="preserve"> the nucleoside analogs</w:t>
      </w:r>
      <w:r w:rsidR="00466FD6" w:rsidRPr="002322E3">
        <w:rPr>
          <w:color w:val="auto"/>
        </w:rPr>
        <w:t xml:space="preserve"> gemcitabine or cytosine arabinoside, </w:t>
      </w:r>
      <w:r w:rsidR="00B609AD" w:rsidRPr="002322E3">
        <w:rPr>
          <w:color w:val="auto"/>
        </w:rPr>
        <w:t>indicating that triapine may inhibit the DNA repair process.</w:t>
      </w:r>
    </w:p>
    <w:p w14:paraId="01ED6E06" w14:textId="77777777" w:rsidR="00472B04" w:rsidRPr="002322E3" w:rsidRDefault="00472B04" w:rsidP="00144734">
      <w:pPr>
        <w:suppressAutoHyphens/>
        <w:rPr>
          <w:color w:val="auto"/>
        </w:rPr>
      </w:pPr>
    </w:p>
    <w:p w14:paraId="0978D94E" w14:textId="5DAD3CC8" w:rsidR="00246637" w:rsidRPr="002322E3" w:rsidRDefault="00601022" w:rsidP="00144734">
      <w:pPr>
        <w:suppressAutoHyphens/>
        <w:rPr>
          <w:color w:val="auto"/>
        </w:rPr>
      </w:pPr>
      <w:r w:rsidRPr="002322E3">
        <w:rPr>
          <w:color w:val="auto"/>
        </w:rPr>
        <w:t>The pharmacological effects of triapine on the central nervous system, inflammatory responses, cholesterol metabolism, gastrointestinal (GI) tract, cardiovascular system, and immune system were examined in rodents (Investigator’s Brochure, 2018).  Triapine only affected the GI tract and cholesterol metabolism</w:t>
      </w:r>
      <w:r w:rsidR="003C094F" w:rsidRPr="002322E3">
        <w:rPr>
          <w:color w:val="auto"/>
        </w:rPr>
        <w:t>, eliminating aspirin-induced ulcers and selectively and significantly reducing average serum cholesterol and low</w:t>
      </w:r>
      <w:r w:rsidR="002322E3">
        <w:rPr>
          <w:color w:val="auto"/>
        </w:rPr>
        <w:t>-</w:t>
      </w:r>
      <w:r w:rsidR="003C094F" w:rsidRPr="002322E3">
        <w:rPr>
          <w:color w:val="auto"/>
        </w:rPr>
        <w:t xml:space="preserve">density </w:t>
      </w:r>
      <w:r w:rsidR="00E73AD4" w:rsidRPr="002322E3">
        <w:rPr>
          <w:color w:val="auto"/>
        </w:rPr>
        <w:t>lipoprotein</w:t>
      </w:r>
      <w:r w:rsidRPr="002322E3">
        <w:rPr>
          <w:color w:val="auto"/>
        </w:rPr>
        <w:t>.</w:t>
      </w:r>
      <w:r w:rsidR="00DD0C06" w:rsidRPr="002322E3">
        <w:rPr>
          <w:color w:val="auto"/>
        </w:rPr>
        <w:t xml:space="preserve">  The serum pharmacokinetic (PK) parameters of triapine after intravenous (IV) administration were evaluated in rats and dogs</w:t>
      </w:r>
      <w:r w:rsidR="00424883" w:rsidRPr="002322E3">
        <w:rPr>
          <w:color w:val="auto"/>
        </w:rPr>
        <w:t xml:space="preserve">, where generally the concentration-time profile was biphasic.  </w:t>
      </w:r>
      <w:r w:rsidR="00262665" w:rsidRPr="002322E3">
        <w:rPr>
          <w:color w:val="auto"/>
        </w:rPr>
        <w:t>Rate of administration was not found to affect the distribution and metabolism of triapine in dogs, nor does triapine bioaccumulate in dogs with single daily doses for up to five days.</w:t>
      </w:r>
      <w:r w:rsidR="004A3152" w:rsidRPr="002322E3">
        <w:rPr>
          <w:color w:val="auto"/>
        </w:rPr>
        <w:t xml:space="preserve">  </w:t>
      </w:r>
      <w:r w:rsidR="009C3853" w:rsidRPr="002322E3">
        <w:rPr>
          <w:color w:val="auto"/>
        </w:rPr>
        <w:t xml:space="preserve">A study on the distribution and elimination of triapine was conducted in rats, where the primary route of excretion was feces, suggesting the involvement of biliary excretion. </w:t>
      </w:r>
      <w:r w:rsidR="003E5535" w:rsidRPr="002322E3">
        <w:rPr>
          <w:color w:val="auto"/>
        </w:rPr>
        <w:t xml:space="preserve"> Data suggested an even distribution of triapine between intra- and extra-cellular space, with widespread distribution to all organs except those related to the CNS.</w:t>
      </w:r>
    </w:p>
    <w:p w14:paraId="48310BB0" w14:textId="77777777" w:rsidR="00246637" w:rsidRPr="002322E3" w:rsidRDefault="00246637" w:rsidP="00144734">
      <w:pPr>
        <w:suppressAutoHyphens/>
        <w:rPr>
          <w:color w:val="auto"/>
        </w:rPr>
      </w:pPr>
    </w:p>
    <w:p w14:paraId="66105E7A" w14:textId="109FCC58" w:rsidR="00246637" w:rsidRPr="002322E3" w:rsidRDefault="00246637" w:rsidP="00144734">
      <w:pPr>
        <w:suppressAutoHyphens/>
        <w:rPr>
          <w:color w:val="auto"/>
        </w:rPr>
      </w:pPr>
      <w:r w:rsidRPr="002322E3">
        <w:rPr>
          <w:color w:val="auto"/>
        </w:rPr>
        <w:t>The acute and sub</w:t>
      </w:r>
      <w:r w:rsidR="00DF3B56">
        <w:rPr>
          <w:color w:val="auto"/>
        </w:rPr>
        <w:t>-</w:t>
      </w:r>
      <w:r w:rsidRPr="002322E3">
        <w:rPr>
          <w:color w:val="auto"/>
        </w:rPr>
        <w:t xml:space="preserve">chronic toxicity of triapine </w:t>
      </w:r>
      <w:r w:rsidR="00D31476" w:rsidRPr="002322E3">
        <w:rPr>
          <w:color w:val="auto"/>
        </w:rPr>
        <w:t>was evaluate</w:t>
      </w:r>
      <w:r w:rsidR="00D343B4" w:rsidRPr="002322E3">
        <w:rPr>
          <w:color w:val="auto"/>
        </w:rPr>
        <w:t>d</w:t>
      </w:r>
      <w:r w:rsidR="00D31476" w:rsidRPr="002322E3">
        <w:rPr>
          <w:color w:val="auto"/>
        </w:rPr>
        <w:t xml:space="preserve"> in dogs and in rats (Investigator’s Brochure, 2018).  </w:t>
      </w:r>
      <w:r w:rsidR="0015552D" w:rsidRPr="002322E3">
        <w:rPr>
          <w:color w:val="auto"/>
        </w:rPr>
        <w:t xml:space="preserve">In dogs, no treatment-related effects were observed at 1 mg/kg of triapine when administered by IV </w:t>
      </w:r>
      <w:r w:rsidR="00D343B4" w:rsidRPr="002322E3">
        <w:rPr>
          <w:color w:val="auto"/>
        </w:rPr>
        <w:t xml:space="preserve">over 15 minutes once daily for five consecutive days.  When administered at 3 mg/kg over </w:t>
      </w:r>
      <w:r w:rsidR="00214A19" w:rsidRPr="002322E3">
        <w:rPr>
          <w:color w:val="auto"/>
        </w:rPr>
        <w:t xml:space="preserve">15 or 120 minutes for one day or five consecutive days, triapine induced mild toxicological effects that were indirectly related to the rate of administration.  </w:t>
      </w:r>
      <w:r w:rsidR="00A72BB9" w:rsidRPr="002322E3">
        <w:rPr>
          <w:color w:val="auto"/>
        </w:rPr>
        <w:t>In rats, an injection of triapine administered once daily for five consecutive days produced a wide range of toxicity</w:t>
      </w:r>
      <w:r w:rsidR="0065468B" w:rsidRPr="002322E3">
        <w:rPr>
          <w:color w:val="auto"/>
        </w:rPr>
        <w:t xml:space="preserve">; the broad spectrum of toxicological effects </w:t>
      </w:r>
      <w:r w:rsidR="005B0550" w:rsidRPr="002322E3">
        <w:rPr>
          <w:color w:val="auto"/>
        </w:rPr>
        <w:t>was</w:t>
      </w:r>
      <w:r w:rsidR="0065468B" w:rsidRPr="002322E3">
        <w:rPr>
          <w:color w:val="auto"/>
        </w:rPr>
        <w:t xml:space="preserve"> consistent with the RNR inhibitory properties of triapine.  </w:t>
      </w:r>
      <w:r w:rsidR="00472A6D" w:rsidRPr="002322E3">
        <w:rPr>
          <w:color w:val="auto"/>
        </w:rPr>
        <w:t>The following effects were related to triapine:  m</w:t>
      </w:r>
      <w:r w:rsidR="004A3BEB" w:rsidRPr="002322E3">
        <w:rPr>
          <w:color w:val="auto"/>
        </w:rPr>
        <w:t xml:space="preserve">ortality, reductions in total protein and albumin levels, reductions in red and white blood cell counts, reductions in platelet counts, reductions in body and thymic weights, increases in the liver and </w:t>
      </w:r>
      <w:r w:rsidR="004A3BEB" w:rsidRPr="002322E3">
        <w:rPr>
          <w:color w:val="auto"/>
        </w:rPr>
        <w:lastRenderedPageBreak/>
        <w:t>lung weights</w:t>
      </w:r>
      <w:r w:rsidR="00472A6D" w:rsidRPr="002322E3">
        <w:rPr>
          <w:color w:val="auto"/>
        </w:rPr>
        <w:t xml:space="preserve"> with corresponding microscopic findings, and microscopic findings of the adrenal cortex, testes, bone marrow, and kidney.  The intensity of most of these effects were dose-related and essentially all effects induced by triapine were reversible. </w:t>
      </w:r>
      <w:r w:rsidR="00524A43" w:rsidRPr="002322E3">
        <w:rPr>
          <w:color w:val="auto"/>
        </w:rPr>
        <w:t xml:space="preserve"> Mutagenicity assays indicated that triapine did not induce any gene mutations.</w:t>
      </w:r>
    </w:p>
    <w:p w14:paraId="7319152E" w14:textId="77777777" w:rsidR="00A171F4" w:rsidRPr="002322E3" w:rsidRDefault="00A171F4" w:rsidP="00144734">
      <w:pPr>
        <w:suppressAutoHyphens/>
        <w:rPr>
          <w:color w:val="auto"/>
        </w:rPr>
      </w:pPr>
    </w:p>
    <w:p w14:paraId="71326DD2" w14:textId="0F6F4486" w:rsidR="00A171F4" w:rsidRPr="002322E3" w:rsidRDefault="00A171F4" w:rsidP="00EA0AFF">
      <w:pPr>
        <w:pStyle w:val="Level3Heading"/>
        <w:suppressAutoHyphens/>
        <w:rPr>
          <w:color w:val="auto"/>
        </w:rPr>
      </w:pPr>
      <w:r w:rsidRPr="002322E3">
        <w:rPr>
          <w:color w:val="auto"/>
        </w:rPr>
        <w:t>Clinical Summary</w:t>
      </w:r>
    </w:p>
    <w:p w14:paraId="5B92E66B" w14:textId="77777777" w:rsidR="00304D0E" w:rsidRPr="002322E3" w:rsidRDefault="00304D0E" w:rsidP="00144734">
      <w:pPr>
        <w:suppressAutoHyphens/>
        <w:rPr>
          <w:color w:val="auto"/>
        </w:rPr>
      </w:pPr>
    </w:p>
    <w:p w14:paraId="14809723" w14:textId="2CF63F10" w:rsidR="009E246E" w:rsidRPr="002322E3" w:rsidRDefault="00641624" w:rsidP="00144734">
      <w:pPr>
        <w:suppressAutoHyphens/>
        <w:rPr>
          <w:color w:val="auto"/>
        </w:rPr>
      </w:pPr>
      <w:r w:rsidRPr="002322E3">
        <w:rPr>
          <w:color w:val="auto"/>
        </w:rPr>
        <w:t>Triapine has previously been shown to be safe</w:t>
      </w:r>
      <w:r w:rsidRPr="002322E3">
        <w:rPr>
          <w:color w:val="auto"/>
          <w:spacing w:val="40"/>
        </w:rPr>
        <w:t xml:space="preserve"> </w:t>
      </w:r>
      <w:r w:rsidRPr="002322E3">
        <w:rPr>
          <w:color w:val="auto"/>
        </w:rPr>
        <w:t xml:space="preserve">in several phase </w:t>
      </w:r>
      <w:r w:rsidR="00A74251" w:rsidRPr="002322E3">
        <w:rPr>
          <w:color w:val="auto"/>
        </w:rPr>
        <w:t>1</w:t>
      </w:r>
      <w:r w:rsidRPr="002322E3">
        <w:rPr>
          <w:color w:val="auto"/>
        </w:rPr>
        <w:t xml:space="preserve"> and </w:t>
      </w:r>
      <w:r w:rsidR="00A74251" w:rsidRPr="002322E3">
        <w:rPr>
          <w:color w:val="auto"/>
        </w:rPr>
        <w:t xml:space="preserve">2 </w:t>
      </w:r>
      <w:r w:rsidRPr="002322E3">
        <w:rPr>
          <w:color w:val="auto"/>
        </w:rPr>
        <w:t>trials as a radiosensitizer alone or in combination with chemotherapy in several cancer types</w:t>
      </w:r>
      <w:r w:rsidR="00900D8D" w:rsidRPr="002322E3">
        <w:rPr>
          <w:color w:val="auto"/>
        </w:rPr>
        <w:t xml:space="preserve"> (Kunos </w:t>
      </w:r>
      <w:r w:rsidR="00900D8D" w:rsidRPr="002322E3">
        <w:rPr>
          <w:i/>
          <w:iCs/>
          <w:color w:val="auto"/>
        </w:rPr>
        <w:t xml:space="preserve">et al., </w:t>
      </w:r>
      <w:r w:rsidR="00900D8D" w:rsidRPr="002322E3">
        <w:rPr>
          <w:color w:val="auto"/>
        </w:rPr>
        <w:t xml:space="preserve">2017). </w:t>
      </w:r>
      <w:r w:rsidRPr="002322E3">
        <w:rPr>
          <w:color w:val="auto"/>
          <w:spacing w:val="19"/>
          <w:position w:val="6"/>
          <w:sz w:val="13"/>
        </w:rPr>
        <w:t xml:space="preserve"> </w:t>
      </w:r>
      <w:r w:rsidRPr="002322E3">
        <w:rPr>
          <w:color w:val="auto"/>
        </w:rPr>
        <w:t>In</w:t>
      </w:r>
      <w:r w:rsidRPr="002322E3">
        <w:rPr>
          <w:color w:val="auto"/>
          <w:spacing w:val="-1"/>
        </w:rPr>
        <w:t xml:space="preserve"> </w:t>
      </w:r>
      <w:r w:rsidRPr="002322E3">
        <w:rPr>
          <w:color w:val="auto"/>
        </w:rPr>
        <w:t>a</w:t>
      </w:r>
      <w:r w:rsidR="0090005E" w:rsidRPr="002322E3">
        <w:rPr>
          <w:color w:val="auto"/>
        </w:rPr>
        <w:t xml:space="preserve"> </w:t>
      </w:r>
      <w:r w:rsidRPr="002322E3">
        <w:rPr>
          <w:color w:val="auto"/>
        </w:rPr>
        <w:t xml:space="preserve">phase </w:t>
      </w:r>
      <w:r w:rsidR="00A74251" w:rsidRPr="002322E3">
        <w:rPr>
          <w:color w:val="auto"/>
        </w:rPr>
        <w:t xml:space="preserve">1 </w:t>
      </w:r>
      <w:r w:rsidRPr="002322E3">
        <w:rPr>
          <w:color w:val="auto"/>
        </w:rPr>
        <w:t>dose-finding study of IV triapine and cisplatin</w:t>
      </w:r>
      <w:r w:rsidRPr="002322E3">
        <w:rPr>
          <w:color w:val="auto"/>
          <w:spacing w:val="-2"/>
        </w:rPr>
        <w:t xml:space="preserve"> </w:t>
      </w:r>
      <w:r w:rsidRPr="002322E3">
        <w:rPr>
          <w:color w:val="auto"/>
        </w:rPr>
        <w:t>in</w:t>
      </w:r>
      <w:r w:rsidRPr="002322E3">
        <w:rPr>
          <w:color w:val="auto"/>
          <w:spacing w:val="-2"/>
        </w:rPr>
        <w:t xml:space="preserve"> </w:t>
      </w:r>
      <w:r w:rsidRPr="002322E3">
        <w:rPr>
          <w:color w:val="auto"/>
        </w:rPr>
        <w:t>patients</w:t>
      </w:r>
      <w:r w:rsidRPr="002322E3">
        <w:rPr>
          <w:color w:val="auto"/>
          <w:spacing w:val="-3"/>
        </w:rPr>
        <w:t xml:space="preserve"> </w:t>
      </w:r>
      <w:r w:rsidRPr="002322E3">
        <w:rPr>
          <w:color w:val="auto"/>
        </w:rPr>
        <w:t>with</w:t>
      </w:r>
      <w:r w:rsidRPr="002322E3">
        <w:rPr>
          <w:color w:val="auto"/>
          <w:spacing w:val="-4"/>
        </w:rPr>
        <w:t xml:space="preserve"> </w:t>
      </w:r>
      <w:r w:rsidRPr="002322E3">
        <w:rPr>
          <w:color w:val="auto"/>
        </w:rPr>
        <w:t>advanced-stage</w:t>
      </w:r>
      <w:r w:rsidRPr="002322E3">
        <w:rPr>
          <w:color w:val="auto"/>
          <w:spacing w:val="-2"/>
        </w:rPr>
        <w:t xml:space="preserve"> </w:t>
      </w:r>
      <w:r w:rsidRPr="002322E3">
        <w:rPr>
          <w:color w:val="auto"/>
        </w:rPr>
        <w:t>malignancies,</w:t>
      </w:r>
      <w:r w:rsidRPr="002322E3">
        <w:rPr>
          <w:color w:val="auto"/>
          <w:spacing w:val="-4"/>
        </w:rPr>
        <w:t xml:space="preserve"> </w:t>
      </w:r>
      <w:r w:rsidRPr="002322E3">
        <w:rPr>
          <w:color w:val="auto"/>
        </w:rPr>
        <w:t>the</w:t>
      </w:r>
      <w:r w:rsidRPr="002322E3">
        <w:rPr>
          <w:color w:val="auto"/>
          <w:spacing w:val="-2"/>
        </w:rPr>
        <w:t xml:space="preserve"> </w:t>
      </w:r>
      <w:r w:rsidRPr="002322E3">
        <w:rPr>
          <w:color w:val="auto"/>
        </w:rPr>
        <w:t>MTD</w:t>
      </w:r>
      <w:r w:rsidRPr="002322E3">
        <w:rPr>
          <w:color w:val="auto"/>
          <w:spacing w:val="-3"/>
        </w:rPr>
        <w:t xml:space="preserve"> </w:t>
      </w:r>
      <w:r w:rsidRPr="002322E3">
        <w:rPr>
          <w:color w:val="auto"/>
        </w:rPr>
        <w:t>of</w:t>
      </w:r>
      <w:r w:rsidRPr="002322E3">
        <w:rPr>
          <w:color w:val="auto"/>
          <w:spacing w:val="-4"/>
        </w:rPr>
        <w:t xml:space="preserve"> </w:t>
      </w:r>
      <w:r w:rsidRPr="002322E3">
        <w:rPr>
          <w:color w:val="auto"/>
        </w:rPr>
        <w:t>triapine</w:t>
      </w:r>
      <w:r w:rsidRPr="002322E3">
        <w:rPr>
          <w:color w:val="auto"/>
          <w:spacing w:val="-3"/>
        </w:rPr>
        <w:t xml:space="preserve"> </w:t>
      </w:r>
      <w:r w:rsidRPr="002322E3">
        <w:rPr>
          <w:color w:val="auto"/>
        </w:rPr>
        <w:t>was</w:t>
      </w:r>
      <w:r w:rsidRPr="002322E3">
        <w:rPr>
          <w:color w:val="auto"/>
          <w:spacing w:val="-3"/>
        </w:rPr>
        <w:t xml:space="preserve"> </w:t>
      </w:r>
      <w:r w:rsidRPr="002322E3">
        <w:rPr>
          <w:color w:val="auto"/>
        </w:rPr>
        <w:t>96mg/m</w:t>
      </w:r>
      <w:r w:rsidRPr="002322E3">
        <w:rPr>
          <w:color w:val="auto"/>
          <w:position w:val="6"/>
          <w:sz w:val="13"/>
        </w:rPr>
        <w:t>2</w:t>
      </w:r>
      <w:r w:rsidRPr="002322E3">
        <w:rPr>
          <w:color w:val="auto"/>
          <w:spacing w:val="15"/>
          <w:position w:val="6"/>
          <w:sz w:val="13"/>
        </w:rPr>
        <w:t xml:space="preserve"> </w:t>
      </w:r>
      <w:r w:rsidRPr="002322E3">
        <w:rPr>
          <w:color w:val="auto"/>
        </w:rPr>
        <w:t>daily days 1-4 when given with 75mg/m</w:t>
      </w:r>
      <w:r w:rsidRPr="002322E3">
        <w:rPr>
          <w:color w:val="auto"/>
          <w:position w:val="6"/>
          <w:sz w:val="13"/>
        </w:rPr>
        <w:t>2</w:t>
      </w:r>
      <w:r w:rsidRPr="002322E3">
        <w:rPr>
          <w:color w:val="auto"/>
          <w:spacing w:val="25"/>
          <w:position w:val="6"/>
          <w:sz w:val="13"/>
        </w:rPr>
        <w:t xml:space="preserve"> </w:t>
      </w:r>
      <w:r w:rsidRPr="002322E3">
        <w:rPr>
          <w:color w:val="auto"/>
        </w:rPr>
        <w:t>cisplatin</w:t>
      </w:r>
      <w:r w:rsidR="00900D8D" w:rsidRPr="002322E3">
        <w:rPr>
          <w:color w:val="auto"/>
        </w:rPr>
        <w:t xml:space="preserve">. </w:t>
      </w:r>
      <w:r w:rsidRPr="002322E3">
        <w:rPr>
          <w:color w:val="auto"/>
          <w:spacing w:val="27"/>
          <w:position w:val="6"/>
          <w:sz w:val="13"/>
        </w:rPr>
        <w:t xml:space="preserve"> </w:t>
      </w:r>
      <w:r w:rsidRPr="002322E3">
        <w:rPr>
          <w:color w:val="auto"/>
        </w:rPr>
        <w:t>The most frequent grade 3-4 toxicities observed were leukopenia and thrombocytopenia.</w:t>
      </w:r>
      <w:r w:rsidRPr="002322E3">
        <w:rPr>
          <w:color w:val="auto"/>
          <w:spacing w:val="-2"/>
        </w:rPr>
        <w:t xml:space="preserve"> </w:t>
      </w:r>
      <w:r w:rsidR="00900D8D" w:rsidRPr="002322E3">
        <w:rPr>
          <w:color w:val="auto"/>
          <w:spacing w:val="-2"/>
        </w:rPr>
        <w:t xml:space="preserve"> </w:t>
      </w:r>
      <w:r w:rsidRPr="002322E3">
        <w:rPr>
          <w:color w:val="auto"/>
        </w:rPr>
        <w:t>Pharmacokinetic</w:t>
      </w:r>
      <w:r w:rsidRPr="002322E3">
        <w:rPr>
          <w:color w:val="auto"/>
          <w:spacing w:val="-1"/>
        </w:rPr>
        <w:t xml:space="preserve"> </w:t>
      </w:r>
      <w:r w:rsidRPr="002322E3">
        <w:rPr>
          <w:color w:val="auto"/>
        </w:rPr>
        <w:t>data</w:t>
      </w:r>
      <w:r w:rsidRPr="002322E3">
        <w:rPr>
          <w:color w:val="auto"/>
          <w:spacing w:val="-2"/>
        </w:rPr>
        <w:t xml:space="preserve"> </w:t>
      </w:r>
      <w:r w:rsidRPr="002322E3">
        <w:rPr>
          <w:color w:val="auto"/>
        </w:rPr>
        <w:t>indicate</w:t>
      </w:r>
      <w:r w:rsidRPr="002322E3">
        <w:rPr>
          <w:color w:val="auto"/>
          <w:spacing w:val="-1"/>
        </w:rPr>
        <w:t xml:space="preserve"> </w:t>
      </w:r>
      <w:r w:rsidRPr="002322E3">
        <w:rPr>
          <w:color w:val="auto"/>
        </w:rPr>
        <w:t>oral</w:t>
      </w:r>
      <w:r w:rsidRPr="002322E3">
        <w:rPr>
          <w:color w:val="auto"/>
          <w:spacing w:val="-1"/>
        </w:rPr>
        <w:t xml:space="preserve"> </w:t>
      </w:r>
      <w:r w:rsidRPr="002322E3">
        <w:rPr>
          <w:color w:val="auto"/>
        </w:rPr>
        <w:t>triapine</w:t>
      </w:r>
      <w:r w:rsidRPr="002322E3">
        <w:rPr>
          <w:color w:val="auto"/>
          <w:spacing w:val="-1"/>
        </w:rPr>
        <w:t xml:space="preserve"> </w:t>
      </w:r>
      <w:r w:rsidRPr="002322E3">
        <w:rPr>
          <w:color w:val="auto"/>
        </w:rPr>
        <w:t>bioavailability</w:t>
      </w:r>
      <w:r w:rsidRPr="002322E3">
        <w:rPr>
          <w:color w:val="auto"/>
          <w:spacing w:val="-1"/>
        </w:rPr>
        <w:t xml:space="preserve"> </w:t>
      </w:r>
      <w:r w:rsidRPr="002322E3">
        <w:rPr>
          <w:color w:val="auto"/>
        </w:rPr>
        <w:t>of</w:t>
      </w:r>
      <w:r w:rsidRPr="002322E3">
        <w:rPr>
          <w:color w:val="auto"/>
          <w:spacing w:val="-2"/>
        </w:rPr>
        <w:t xml:space="preserve"> </w:t>
      </w:r>
      <w:r w:rsidRPr="002322E3">
        <w:rPr>
          <w:color w:val="auto"/>
        </w:rPr>
        <w:t xml:space="preserve">88%. </w:t>
      </w:r>
      <w:r w:rsidR="00900D8D" w:rsidRPr="002322E3">
        <w:rPr>
          <w:color w:val="auto"/>
        </w:rPr>
        <w:t xml:space="preserve"> </w:t>
      </w:r>
      <w:r w:rsidRPr="002322E3">
        <w:rPr>
          <w:color w:val="auto"/>
        </w:rPr>
        <w:t>Chao</w:t>
      </w:r>
      <w:r w:rsidRPr="002322E3">
        <w:rPr>
          <w:color w:val="auto"/>
          <w:spacing w:val="-2"/>
        </w:rPr>
        <w:t xml:space="preserve"> </w:t>
      </w:r>
      <w:r w:rsidRPr="002322E3">
        <w:rPr>
          <w:color w:val="auto"/>
        </w:rPr>
        <w:t xml:space="preserve">et al. </w:t>
      </w:r>
      <w:r w:rsidR="006A64AC" w:rsidRPr="002322E3">
        <w:rPr>
          <w:color w:val="auto"/>
        </w:rPr>
        <w:t xml:space="preserve">(2012) </w:t>
      </w:r>
      <w:r w:rsidRPr="002322E3">
        <w:rPr>
          <w:color w:val="auto"/>
        </w:rPr>
        <w:t>conducted</w:t>
      </w:r>
      <w:r w:rsidRPr="002322E3">
        <w:rPr>
          <w:color w:val="auto"/>
          <w:spacing w:val="-1"/>
        </w:rPr>
        <w:t xml:space="preserve"> </w:t>
      </w:r>
      <w:r w:rsidRPr="002322E3">
        <w:rPr>
          <w:color w:val="auto"/>
        </w:rPr>
        <w:t xml:space="preserve">a phase </w:t>
      </w:r>
      <w:r w:rsidR="00A74251" w:rsidRPr="002322E3">
        <w:rPr>
          <w:color w:val="auto"/>
        </w:rPr>
        <w:t>1</w:t>
      </w:r>
      <w:r w:rsidR="00A74251" w:rsidRPr="002322E3">
        <w:rPr>
          <w:color w:val="auto"/>
          <w:spacing w:val="-2"/>
        </w:rPr>
        <w:t xml:space="preserve"> </w:t>
      </w:r>
      <w:r w:rsidRPr="002322E3">
        <w:rPr>
          <w:color w:val="auto"/>
        </w:rPr>
        <w:t>trial of oral triapine in patients with advanced-stage solid tumors</w:t>
      </w:r>
      <w:r w:rsidR="006A64AC" w:rsidRPr="002322E3">
        <w:rPr>
          <w:color w:val="auto"/>
        </w:rPr>
        <w:t xml:space="preserve">. </w:t>
      </w:r>
      <w:r w:rsidRPr="002322E3">
        <w:rPr>
          <w:color w:val="auto"/>
          <w:spacing w:val="24"/>
          <w:position w:val="6"/>
          <w:sz w:val="13"/>
        </w:rPr>
        <w:t xml:space="preserve"> </w:t>
      </w:r>
      <w:r w:rsidRPr="002322E3">
        <w:rPr>
          <w:color w:val="auto"/>
        </w:rPr>
        <w:t>The MTD was 150mg every 12 hours on days 1-3, 8-10, and 15-17 of every 28</w:t>
      </w:r>
      <w:r w:rsidR="0090005E" w:rsidRPr="002322E3">
        <w:rPr>
          <w:color w:val="auto"/>
        </w:rPr>
        <w:t>-</w:t>
      </w:r>
      <w:r w:rsidRPr="002322E3">
        <w:rPr>
          <w:color w:val="auto"/>
        </w:rPr>
        <w:t xml:space="preserve">day cycle. </w:t>
      </w:r>
      <w:r w:rsidR="006A64AC" w:rsidRPr="002322E3">
        <w:rPr>
          <w:color w:val="auto"/>
        </w:rPr>
        <w:t xml:space="preserve"> </w:t>
      </w:r>
      <w:r w:rsidRPr="002322E3">
        <w:rPr>
          <w:color w:val="auto"/>
        </w:rPr>
        <w:t xml:space="preserve">Triapine was well tolerated, and common toxicities were grade 1-2 (reversible) hematologic toxicities, fatigue, hypoxia, nausea, and hyperglycemia. </w:t>
      </w:r>
      <w:r w:rsidR="00271289" w:rsidRPr="002322E3">
        <w:rPr>
          <w:color w:val="auto"/>
        </w:rPr>
        <w:t xml:space="preserve"> </w:t>
      </w:r>
      <w:r w:rsidRPr="002322E3">
        <w:rPr>
          <w:color w:val="auto"/>
        </w:rPr>
        <w:t>The oral bioavailability of triapine was 67% ±</w:t>
      </w:r>
      <w:r w:rsidRPr="002322E3">
        <w:rPr>
          <w:color w:val="auto"/>
          <w:spacing w:val="-2"/>
        </w:rPr>
        <w:t xml:space="preserve"> </w:t>
      </w:r>
      <w:r w:rsidRPr="002322E3">
        <w:rPr>
          <w:color w:val="auto"/>
        </w:rPr>
        <w:t>29%</w:t>
      </w:r>
      <w:r w:rsidR="00BC6A0E" w:rsidRPr="002322E3">
        <w:rPr>
          <w:color w:val="auto"/>
        </w:rPr>
        <w:t>.</w:t>
      </w:r>
      <w:r w:rsidR="009E7E26">
        <w:rPr>
          <w:color w:val="auto"/>
        </w:rPr>
        <w:t xml:space="preserve"> </w:t>
      </w:r>
      <w:r w:rsidRPr="002322E3">
        <w:rPr>
          <w:color w:val="auto"/>
        </w:rPr>
        <w:t xml:space="preserve"> </w:t>
      </w:r>
      <w:r w:rsidR="004F187B">
        <w:rPr>
          <w:color w:val="auto"/>
        </w:rPr>
        <w:t>T</w:t>
      </w:r>
      <w:r w:rsidRPr="002322E3">
        <w:rPr>
          <w:color w:val="auto"/>
        </w:rPr>
        <w:t>h</w:t>
      </w:r>
      <w:r w:rsidR="00BC6A0E" w:rsidRPr="002322E3">
        <w:rPr>
          <w:color w:val="auto"/>
        </w:rPr>
        <w:t>e</w:t>
      </w:r>
      <w:r w:rsidRPr="002322E3">
        <w:rPr>
          <w:color w:val="auto"/>
        </w:rPr>
        <w:t xml:space="preserve"> MTD by oral route was 33% greater than IV route</w:t>
      </w:r>
      <w:r w:rsidR="009E7E26">
        <w:rPr>
          <w:color w:val="auto"/>
        </w:rPr>
        <w:t xml:space="preserve"> (Kunos </w:t>
      </w:r>
      <w:r w:rsidR="009E7E26">
        <w:rPr>
          <w:i/>
          <w:iCs/>
          <w:color w:val="auto"/>
        </w:rPr>
        <w:t xml:space="preserve">et al., </w:t>
      </w:r>
      <w:r w:rsidR="009E7E26">
        <w:rPr>
          <w:color w:val="auto"/>
        </w:rPr>
        <w:t>2017)</w:t>
      </w:r>
      <w:r w:rsidRPr="002322E3">
        <w:rPr>
          <w:color w:val="auto"/>
        </w:rPr>
        <w:t xml:space="preserve">. </w:t>
      </w:r>
      <w:r w:rsidR="00271289" w:rsidRPr="002322E3">
        <w:rPr>
          <w:color w:val="auto"/>
        </w:rPr>
        <w:t xml:space="preserve"> </w:t>
      </w:r>
      <w:r w:rsidRPr="002322E3">
        <w:rPr>
          <w:color w:val="auto"/>
        </w:rPr>
        <w:t>Unpublished data from the University of Pittsburg show triapine concentrations peaked in plasma two hours after oral administration.</w:t>
      </w:r>
    </w:p>
    <w:p w14:paraId="5AE769D3" w14:textId="77777777" w:rsidR="00641624" w:rsidRPr="002322E3" w:rsidRDefault="00641624" w:rsidP="00144734">
      <w:pPr>
        <w:suppressAutoHyphens/>
        <w:rPr>
          <w:color w:val="auto"/>
        </w:rPr>
      </w:pPr>
    </w:p>
    <w:p w14:paraId="215B072D" w14:textId="1D24132B" w:rsidR="00641624" w:rsidRPr="002322E3" w:rsidRDefault="00104C64" w:rsidP="00144734">
      <w:pPr>
        <w:suppressAutoHyphens/>
        <w:rPr>
          <w:color w:val="auto"/>
        </w:rPr>
      </w:pPr>
      <w:r w:rsidRPr="002322E3">
        <w:rPr>
          <w:color w:val="auto"/>
        </w:rPr>
        <w:t xml:space="preserve">Triapine has shown promising activity in pancreatic cancer. </w:t>
      </w:r>
      <w:r w:rsidR="00271289" w:rsidRPr="002322E3">
        <w:rPr>
          <w:color w:val="auto"/>
        </w:rPr>
        <w:t xml:space="preserve"> </w:t>
      </w:r>
      <w:r w:rsidRPr="002322E3">
        <w:rPr>
          <w:color w:val="auto"/>
        </w:rPr>
        <w:t xml:space="preserve">In a phase </w:t>
      </w:r>
      <w:r w:rsidR="00A74251" w:rsidRPr="002322E3">
        <w:rPr>
          <w:color w:val="auto"/>
        </w:rPr>
        <w:t xml:space="preserve">1 </w:t>
      </w:r>
      <w:r w:rsidRPr="002322E3">
        <w:rPr>
          <w:color w:val="auto"/>
        </w:rPr>
        <w:t>dose escalation study of IV triapine co-administered with radiation therapy (50.4Gy) for locally advanced pancreatic cancer, the MTD was not reached</w:t>
      </w:r>
      <w:r w:rsidR="00333B48" w:rsidRPr="002322E3">
        <w:rPr>
          <w:color w:val="auto"/>
        </w:rPr>
        <w:t xml:space="preserve"> (Martin </w:t>
      </w:r>
      <w:r w:rsidR="00333B48" w:rsidRPr="002322E3">
        <w:rPr>
          <w:i/>
          <w:iCs/>
          <w:color w:val="auto"/>
        </w:rPr>
        <w:t xml:space="preserve">et al., </w:t>
      </w:r>
      <w:r w:rsidR="00333B48" w:rsidRPr="002322E3">
        <w:rPr>
          <w:color w:val="auto"/>
        </w:rPr>
        <w:t xml:space="preserve">2012). </w:t>
      </w:r>
      <w:r w:rsidRPr="002322E3">
        <w:rPr>
          <w:color w:val="auto"/>
          <w:spacing w:val="24"/>
          <w:position w:val="6"/>
          <w:sz w:val="13"/>
        </w:rPr>
        <w:t xml:space="preserve"> </w:t>
      </w:r>
      <w:r w:rsidRPr="002322E3">
        <w:rPr>
          <w:color w:val="auto"/>
        </w:rPr>
        <w:t>Thus, combining triapine at 72mg/ m</w:t>
      </w:r>
      <w:r w:rsidRPr="002322E3">
        <w:rPr>
          <w:color w:val="auto"/>
          <w:position w:val="6"/>
          <w:sz w:val="13"/>
        </w:rPr>
        <w:t>2</w:t>
      </w:r>
      <w:r w:rsidRPr="002322E3">
        <w:rPr>
          <w:color w:val="auto"/>
          <w:spacing w:val="24"/>
          <w:position w:val="6"/>
          <w:sz w:val="13"/>
        </w:rPr>
        <w:t xml:space="preserve"> </w:t>
      </w:r>
      <w:r w:rsidRPr="002322E3">
        <w:rPr>
          <w:color w:val="auto"/>
        </w:rPr>
        <w:t>given three times weekly with conventionally fractionated radiation was well tolerated.</w:t>
      </w:r>
      <w:r w:rsidR="00333B48" w:rsidRPr="002322E3">
        <w:rPr>
          <w:color w:val="auto"/>
        </w:rPr>
        <w:t xml:space="preserve"> </w:t>
      </w:r>
      <w:r w:rsidRPr="002322E3">
        <w:rPr>
          <w:color w:val="auto"/>
        </w:rPr>
        <w:t xml:space="preserve"> Ninety-two</w:t>
      </w:r>
      <w:r w:rsidRPr="002322E3">
        <w:rPr>
          <w:color w:val="auto"/>
          <w:spacing w:val="-5"/>
        </w:rPr>
        <w:t xml:space="preserve"> </w:t>
      </w:r>
      <w:r w:rsidRPr="002322E3">
        <w:rPr>
          <w:color w:val="auto"/>
        </w:rPr>
        <w:t>percent</w:t>
      </w:r>
      <w:r w:rsidRPr="002322E3">
        <w:rPr>
          <w:color w:val="auto"/>
          <w:spacing w:val="-5"/>
        </w:rPr>
        <w:t xml:space="preserve"> </w:t>
      </w:r>
      <w:r w:rsidRPr="002322E3">
        <w:rPr>
          <w:color w:val="auto"/>
        </w:rPr>
        <w:t>of</w:t>
      </w:r>
      <w:r w:rsidRPr="002322E3">
        <w:rPr>
          <w:color w:val="auto"/>
          <w:spacing w:val="-3"/>
        </w:rPr>
        <w:t xml:space="preserve"> </w:t>
      </w:r>
      <w:r w:rsidRPr="002322E3">
        <w:rPr>
          <w:color w:val="auto"/>
        </w:rPr>
        <w:t>patients</w:t>
      </w:r>
      <w:r w:rsidRPr="002322E3">
        <w:rPr>
          <w:color w:val="auto"/>
          <w:spacing w:val="-4"/>
        </w:rPr>
        <w:t xml:space="preserve"> </w:t>
      </w:r>
      <w:r w:rsidRPr="002322E3">
        <w:rPr>
          <w:color w:val="auto"/>
        </w:rPr>
        <w:t>experienced</w:t>
      </w:r>
      <w:r w:rsidRPr="002322E3">
        <w:rPr>
          <w:color w:val="auto"/>
          <w:spacing w:val="-3"/>
        </w:rPr>
        <w:t xml:space="preserve"> </w:t>
      </w:r>
      <w:r w:rsidRPr="002322E3">
        <w:rPr>
          <w:color w:val="auto"/>
        </w:rPr>
        <w:t>freedom</w:t>
      </w:r>
      <w:r w:rsidRPr="002322E3">
        <w:rPr>
          <w:color w:val="auto"/>
          <w:spacing w:val="-3"/>
        </w:rPr>
        <w:t xml:space="preserve"> </w:t>
      </w:r>
      <w:r w:rsidRPr="002322E3">
        <w:rPr>
          <w:color w:val="auto"/>
        </w:rPr>
        <w:t>from</w:t>
      </w:r>
      <w:r w:rsidRPr="002322E3">
        <w:rPr>
          <w:color w:val="auto"/>
          <w:spacing w:val="-5"/>
        </w:rPr>
        <w:t xml:space="preserve"> </w:t>
      </w:r>
      <w:r w:rsidRPr="002322E3">
        <w:rPr>
          <w:color w:val="auto"/>
        </w:rPr>
        <w:t>local</w:t>
      </w:r>
      <w:r w:rsidRPr="002322E3">
        <w:rPr>
          <w:color w:val="auto"/>
          <w:spacing w:val="-4"/>
        </w:rPr>
        <w:t xml:space="preserve"> </w:t>
      </w:r>
      <w:r w:rsidRPr="002322E3">
        <w:rPr>
          <w:color w:val="auto"/>
        </w:rPr>
        <w:t>tumor</w:t>
      </w:r>
      <w:r w:rsidRPr="002322E3">
        <w:rPr>
          <w:color w:val="auto"/>
          <w:spacing w:val="-5"/>
        </w:rPr>
        <w:t xml:space="preserve"> </w:t>
      </w:r>
      <w:r w:rsidRPr="002322E3">
        <w:rPr>
          <w:color w:val="auto"/>
        </w:rPr>
        <w:t>progression,</w:t>
      </w:r>
      <w:r w:rsidRPr="002322E3">
        <w:rPr>
          <w:color w:val="auto"/>
          <w:spacing w:val="-5"/>
        </w:rPr>
        <w:t xml:space="preserve"> </w:t>
      </w:r>
      <w:r w:rsidRPr="002322E3">
        <w:rPr>
          <w:color w:val="auto"/>
        </w:rPr>
        <w:t>suggesting</w:t>
      </w:r>
      <w:r w:rsidRPr="002322E3">
        <w:rPr>
          <w:color w:val="auto"/>
          <w:spacing w:val="-3"/>
        </w:rPr>
        <w:t xml:space="preserve"> </w:t>
      </w:r>
      <w:r w:rsidRPr="002322E3">
        <w:rPr>
          <w:color w:val="auto"/>
        </w:rPr>
        <w:t>highly</w:t>
      </w:r>
      <w:r w:rsidRPr="002322E3">
        <w:rPr>
          <w:color w:val="auto"/>
          <w:spacing w:val="-4"/>
        </w:rPr>
        <w:t xml:space="preserve"> </w:t>
      </w:r>
      <w:r w:rsidRPr="002322E3">
        <w:rPr>
          <w:color w:val="auto"/>
        </w:rPr>
        <w:t>promising</w:t>
      </w:r>
      <w:r w:rsidRPr="002322E3">
        <w:rPr>
          <w:color w:val="auto"/>
          <w:spacing w:val="-6"/>
        </w:rPr>
        <w:t xml:space="preserve"> </w:t>
      </w:r>
      <w:r w:rsidRPr="002322E3">
        <w:rPr>
          <w:color w:val="auto"/>
        </w:rPr>
        <w:t>results</w:t>
      </w:r>
      <w:r w:rsidRPr="002322E3">
        <w:rPr>
          <w:color w:val="auto"/>
          <w:spacing w:val="-4"/>
        </w:rPr>
        <w:t xml:space="preserve"> </w:t>
      </w:r>
      <w:r w:rsidRPr="002322E3">
        <w:rPr>
          <w:color w:val="auto"/>
        </w:rPr>
        <w:t>in</w:t>
      </w:r>
      <w:r w:rsidRPr="002322E3">
        <w:rPr>
          <w:color w:val="auto"/>
          <w:spacing w:val="-3"/>
        </w:rPr>
        <w:t xml:space="preserve"> </w:t>
      </w:r>
      <w:r w:rsidRPr="002322E3">
        <w:rPr>
          <w:color w:val="auto"/>
        </w:rPr>
        <w:t xml:space="preserve">a disease where local failure occurs in 50-70% of patients after chemoradiation. </w:t>
      </w:r>
      <w:r w:rsidR="00333B48" w:rsidRPr="002322E3">
        <w:rPr>
          <w:color w:val="auto"/>
        </w:rPr>
        <w:t xml:space="preserve"> </w:t>
      </w:r>
      <w:r w:rsidRPr="002322E3">
        <w:rPr>
          <w:color w:val="auto"/>
        </w:rPr>
        <w:t xml:space="preserve">Mackenzie et al. </w:t>
      </w:r>
      <w:r w:rsidR="00F34696" w:rsidRPr="002322E3">
        <w:rPr>
          <w:color w:val="auto"/>
        </w:rPr>
        <w:t xml:space="preserve">(2007) </w:t>
      </w:r>
      <w:r w:rsidRPr="002322E3">
        <w:rPr>
          <w:color w:val="auto"/>
        </w:rPr>
        <w:t>conducted a phase II trial of IV triapine (105mg/ m</w:t>
      </w:r>
      <w:r w:rsidRPr="002322E3">
        <w:rPr>
          <w:color w:val="auto"/>
          <w:position w:val="6"/>
          <w:sz w:val="13"/>
        </w:rPr>
        <w:t>2</w:t>
      </w:r>
      <w:r w:rsidRPr="002322E3">
        <w:rPr>
          <w:color w:val="auto"/>
        </w:rPr>
        <w:t>) concurrently with gemcitabine (1,000 mg/ m</w:t>
      </w:r>
      <w:r w:rsidRPr="002322E3">
        <w:rPr>
          <w:color w:val="auto"/>
          <w:position w:val="6"/>
          <w:sz w:val="13"/>
        </w:rPr>
        <w:t>2</w:t>
      </w:r>
      <w:r w:rsidRPr="002322E3">
        <w:rPr>
          <w:color w:val="auto"/>
        </w:rPr>
        <w:t>) in locally advanced pancreatic cancer patients</w:t>
      </w:r>
      <w:r w:rsidR="00F34696" w:rsidRPr="002322E3">
        <w:rPr>
          <w:color w:val="auto"/>
        </w:rPr>
        <w:t xml:space="preserve">. </w:t>
      </w:r>
      <w:r w:rsidRPr="002322E3">
        <w:rPr>
          <w:color w:val="auto"/>
          <w:spacing w:val="40"/>
          <w:position w:val="6"/>
          <w:sz w:val="13"/>
        </w:rPr>
        <w:t xml:space="preserve"> </w:t>
      </w:r>
      <w:r w:rsidRPr="002322E3">
        <w:rPr>
          <w:color w:val="auto"/>
        </w:rPr>
        <w:t>Both agents</w:t>
      </w:r>
      <w:r w:rsidRPr="002322E3">
        <w:rPr>
          <w:color w:val="auto"/>
          <w:spacing w:val="-1"/>
        </w:rPr>
        <w:t xml:space="preserve"> </w:t>
      </w:r>
      <w:r w:rsidRPr="002322E3">
        <w:rPr>
          <w:color w:val="auto"/>
        </w:rPr>
        <w:t>were</w:t>
      </w:r>
      <w:r w:rsidRPr="002322E3">
        <w:rPr>
          <w:color w:val="auto"/>
          <w:spacing w:val="-2"/>
        </w:rPr>
        <w:t xml:space="preserve"> </w:t>
      </w:r>
      <w:r w:rsidRPr="002322E3">
        <w:rPr>
          <w:color w:val="auto"/>
        </w:rPr>
        <w:t>given</w:t>
      </w:r>
      <w:r w:rsidRPr="002322E3">
        <w:rPr>
          <w:color w:val="auto"/>
          <w:spacing w:val="-1"/>
        </w:rPr>
        <w:t xml:space="preserve"> </w:t>
      </w:r>
      <w:r w:rsidRPr="002322E3">
        <w:rPr>
          <w:color w:val="auto"/>
        </w:rPr>
        <w:t>on</w:t>
      </w:r>
      <w:r w:rsidRPr="002322E3">
        <w:rPr>
          <w:color w:val="auto"/>
          <w:spacing w:val="-1"/>
        </w:rPr>
        <w:t xml:space="preserve"> </w:t>
      </w:r>
      <w:r w:rsidRPr="002322E3">
        <w:rPr>
          <w:color w:val="auto"/>
        </w:rPr>
        <w:t>days</w:t>
      </w:r>
      <w:r w:rsidRPr="002322E3">
        <w:rPr>
          <w:color w:val="auto"/>
          <w:spacing w:val="-1"/>
        </w:rPr>
        <w:t xml:space="preserve"> </w:t>
      </w:r>
      <w:r w:rsidRPr="002322E3">
        <w:rPr>
          <w:color w:val="auto"/>
        </w:rPr>
        <w:t>1,</w:t>
      </w:r>
      <w:r w:rsidRPr="002322E3">
        <w:rPr>
          <w:color w:val="auto"/>
          <w:spacing w:val="-2"/>
        </w:rPr>
        <w:t xml:space="preserve"> </w:t>
      </w:r>
      <w:r w:rsidRPr="002322E3">
        <w:rPr>
          <w:color w:val="auto"/>
        </w:rPr>
        <w:t>8, and</w:t>
      </w:r>
      <w:r w:rsidRPr="002322E3">
        <w:rPr>
          <w:color w:val="auto"/>
          <w:spacing w:val="-2"/>
        </w:rPr>
        <w:t xml:space="preserve"> </w:t>
      </w:r>
      <w:r w:rsidRPr="002322E3">
        <w:rPr>
          <w:color w:val="auto"/>
        </w:rPr>
        <w:t>15 of a</w:t>
      </w:r>
      <w:r w:rsidRPr="002322E3">
        <w:rPr>
          <w:color w:val="auto"/>
          <w:spacing w:val="-2"/>
        </w:rPr>
        <w:t xml:space="preserve"> </w:t>
      </w:r>
      <w:r w:rsidRPr="002322E3">
        <w:rPr>
          <w:color w:val="auto"/>
        </w:rPr>
        <w:t>28-day</w:t>
      </w:r>
      <w:r w:rsidRPr="002322E3">
        <w:rPr>
          <w:color w:val="auto"/>
          <w:spacing w:val="-1"/>
        </w:rPr>
        <w:t xml:space="preserve"> </w:t>
      </w:r>
      <w:r w:rsidRPr="002322E3">
        <w:rPr>
          <w:color w:val="auto"/>
        </w:rPr>
        <w:t>cycle.</w:t>
      </w:r>
      <w:r w:rsidR="00F34696" w:rsidRPr="002322E3">
        <w:rPr>
          <w:color w:val="auto"/>
        </w:rPr>
        <w:t xml:space="preserve"> </w:t>
      </w:r>
      <w:r w:rsidRPr="002322E3">
        <w:rPr>
          <w:color w:val="auto"/>
          <w:spacing w:val="-2"/>
        </w:rPr>
        <w:t xml:space="preserve"> </w:t>
      </w:r>
      <w:r w:rsidR="003F0363" w:rsidRPr="002322E3">
        <w:rPr>
          <w:color w:val="auto"/>
        </w:rPr>
        <w:t>O</w:t>
      </w:r>
      <w:r w:rsidRPr="002322E3">
        <w:rPr>
          <w:color w:val="auto"/>
        </w:rPr>
        <w:t>f</w:t>
      </w:r>
      <w:r w:rsidRPr="002322E3">
        <w:rPr>
          <w:color w:val="auto"/>
          <w:spacing w:val="-2"/>
        </w:rPr>
        <w:t xml:space="preserve"> </w:t>
      </w:r>
      <w:r w:rsidRPr="002322E3">
        <w:rPr>
          <w:color w:val="auto"/>
        </w:rPr>
        <w:t>26</w:t>
      </w:r>
      <w:r w:rsidRPr="002322E3">
        <w:rPr>
          <w:color w:val="auto"/>
          <w:spacing w:val="-2"/>
        </w:rPr>
        <w:t xml:space="preserve"> </w:t>
      </w:r>
      <w:r w:rsidRPr="002322E3">
        <w:rPr>
          <w:color w:val="auto"/>
        </w:rPr>
        <w:t>patients</w:t>
      </w:r>
      <w:r w:rsidR="003F0363" w:rsidRPr="002322E3">
        <w:rPr>
          <w:color w:val="auto"/>
        </w:rPr>
        <w:t>, 11 patients</w:t>
      </w:r>
      <w:r w:rsidRPr="002322E3">
        <w:rPr>
          <w:color w:val="auto"/>
          <w:spacing w:val="-1"/>
        </w:rPr>
        <w:t xml:space="preserve"> </w:t>
      </w:r>
      <w:r w:rsidRPr="002322E3">
        <w:rPr>
          <w:color w:val="auto"/>
        </w:rPr>
        <w:t>had stable</w:t>
      </w:r>
      <w:r w:rsidRPr="002322E3">
        <w:rPr>
          <w:color w:val="auto"/>
          <w:spacing w:val="-2"/>
        </w:rPr>
        <w:t xml:space="preserve"> </w:t>
      </w:r>
      <w:r w:rsidRPr="002322E3">
        <w:rPr>
          <w:color w:val="auto"/>
        </w:rPr>
        <w:t xml:space="preserve">disease. </w:t>
      </w:r>
      <w:r w:rsidR="00F34696" w:rsidRPr="002322E3">
        <w:rPr>
          <w:color w:val="auto"/>
        </w:rPr>
        <w:t xml:space="preserve"> </w:t>
      </w:r>
      <w:r w:rsidRPr="002322E3">
        <w:rPr>
          <w:color w:val="auto"/>
        </w:rPr>
        <w:t>Median</w:t>
      </w:r>
      <w:r w:rsidRPr="002322E3">
        <w:rPr>
          <w:color w:val="auto"/>
          <w:spacing w:val="-2"/>
        </w:rPr>
        <w:t xml:space="preserve"> </w:t>
      </w:r>
      <w:r w:rsidRPr="002322E3">
        <w:rPr>
          <w:color w:val="auto"/>
        </w:rPr>
        <w:t xml:space="preserve">survival was 9 months with a 1-year OS of 28%. </w:t>
      </w:r>
      <w:r w:rsidR="00F34696" w:rsidRPr="002322E3">
        <w:rPr>
          <w:color w:val="auto"/>
        </w:rPr>
        <w:t xml:space="preserve"> </w:t>
      </w:r>
      <w:r w:rsidRPr="002322E3">
        <w:rPr>
          <w:color w:val="auto"/>
        </w:rPr>
        <w:t xml:space="preserve">Combination triapine and gemcitabine was well tolerated, with </w:t>
      </w:r>
      <w:r w:rsidR="00383C49" w:rsidRPr="002322E3">
        <w:rPr>
          <w:color w:val="auto"/>
        </w:rPr>
        <w:t xml:space="preserve">common non-hematologic toxicities including </w:t>
      </w:r>
      <w:r w:rsidRPr="002322E3">
        <w:rPr>
          <w:color w:val="auto"/>
        </w:rPr>
        <w:t>hypoxia due to methemoglobinemia, hyperglycemia, elevated liver enzymes, and fatigue.</w:t>
      </w:r>
    </w:p>
    <w:p w14:paraId="10B9B54D" w14:textId="77777777" w:rsidR="00104C64" w:rsidRPr="002322E3" w:rsidRDefault="00104C64" w:rsidP="00144734">
      <w:pPr>
        <w:suppressAutoHyphens/>
        <w:rPr>
          <w:color w:val="auto"/>
        </w:rPr>
      </w:pPr>
    </w:p>
    <w:p w14:paraId="5794C771" w14:textId="60576124" w:rsidR="00DB78C9" w:rsidRPr="002322E3" w:rsidRDefault="00DB78C9" w:rsidP="00DB78C9">
      <w:pPr>
        <w:suppressAutoHyphens/>
        <w:rPr>
          <w:color w:val="auto"/>
        </w:rPr>
      </w:pPr>
      <w:r w:rsidRPr="002322E3">
        <w:rPr>
          <w:color w:val="auto"/>
        </w:rPr>
        <w:t xml:space="preserve">Finally, triapine was extensively tested in patients with stage IB2-IVB cervical and stage II-IV vaginal cancers. </w:t>
      </w:r>
      <w:r w:rsidR="00F34696" w:rsidRPr="002322E3">
        <w:rPr>
          <w:color w:val="auto"/>
        </w:rPr>
        <w:t xml:space="preserve"> </w:t>
      </w:r>
      <w:r w:rsidRPr="002322E3">
        <w:rPr>
          <w:color w:val="auto"/>
        </w:rPr>
        <w:t xml:space="preserve">In a phase </w:t>
      </w:r>
      <w:r w:rsidR="003E05C3" w:rsidRPr="002322E3">
        <w:rPr>
          <w:color w:val="auto"/>
        </w:rPr>
        <w:t xml:space="preserve">2 </w:t>
      </w:r>
      <w:r w:rsidRPr="002322E3">
        <w:rPr>
          <w:color w:val="auto"/>
        </w:rPr>
        <w:t>study evaluating IV triapine (25mg/ m2) delivered three times weekly (days 1,3, 5) concurrently with once weekly IV cisplatin (40mg/ m2) and daily conventionally fractionated pelvic radiation (45Gy total), triapine achieved clinical response in 96% (24/25) of patients (95% CI</w:t>
      </w:r>
      <w:r w:rsidR="00C1196F">
        <w:rPr>
          <w:color w:val="auto"/>
        </w:rPr>
        <w:t>,</w:t>
      </w:r>
      <w:r w:rsidRPr="002322E3">
        <w:rPr>
          <w:color w:val="auto"/>
        </w:rPr>
        <w:t xml:space="preserve"> 80-99%) after median follow-up of 20 months.</w:t>
      </w:r>
      <w:r w:rsidR="00F34696" w:rsidRPr="002322E3">
        <w:rPr>
          <w:color w:val="auto"/>
        </w:rPr>
        <w:t xml:space="preserve"> </w:t>
      </w:r>
      <w:r w:rsidRPr="002322E3">
        <w:rPr>
          <w:color w:val="auto"/>
        </w:rPr>
        <w:t xml:space="preserve"> The most frequent toxicities observed were fatigue, nausea, diarrhea, and reversible hematological and electrolyte abnormalities.</w:t>
      </w:r>
      <w:r w:rsidR="00F34696" w:rsidRPr="002322E3">
        <w:rPr>
          <w:color w:val="auto"/>
        </w:rPr>
        <w:t xml:space="preserve"> </w:t>
      </w:r>
      <w:r w:rsidRPr="002322E3">
        <w:rPr>
          <w:color w:val="auto"/>
        </w:rPr>
        <w:t xml:space="preserve"> Based on 29 eligible patients from phase </w:t>
      </w:r>
      <w:r w:rsidR="00F771F3" w:rsidRPr="002322E3">
        <w:rPr>
          <w:color w:val="auto"/>
        </w:rPr>
        <w:t xml:space="preserve">1 </w:t>
      </w:r>
      <w:r w:rsidRPr="002322E3">
        <w:rPr>
          <w:color w:val="auto"/>
        </w:rPr>
        <w:t xml:space="preserve">and </w:t>
      </w:r>
      <w:r w:rsidR="00F771F3" w:rsidRPr="002322E3">
        <w:rPr>
          <w:color w:val="auto"/>
        </w:rPr>
        <w:t xml:space="preserve">2 </w:t>
      </w:r>
      <w:r w:rsidRPr="002322E3">
        <w:rPr>
          <w:color w:val="auto"/>
        </w:rPr>
        <w:t>trials of combination triapine and chemoradiotherapy, OS was 83% (95% CI, 63- 92%) at 30 months and 59% (95% CI, 39-74%) at 60 months</w:t>
      </w:r>
      <w:r w:rsidR="00546A04" w:rsidRPr="002322E3">
        <w:rPr>
          <w:color w:val="auto"/>
        </w:rPr>
        <w:t xml:space="preserve"> (Kunos and Ivy, 2018). </w:t>
      </w:r>
      <w:r w:rsidRPr="002322E3">
        <w:rPr>
          <w:color w:val="auto"/>
        </w:rPr>
        <w:t xml:space="preserve"> As a comparison, OS estimates at 30 and 60 months with cisplatin-based chemoradiation alone were 70% and 30%, respectively</w:t>
      </w:r>
      <w:r w:rsidR="00546A04" w:rsidRPr="002322E3">
        <w:rPr>
          <w:color w:val="auto"/>
        </w:rPr>
        <w:t xml:space="preserve"> (Rose </w:t>
      </w:r>
      <w:r w:rsidR="00546A04" w:rsidRPr="002322E3">
        <w:rPr>
          <w:i/>
          <w:iCs/>
          <w:color w:val="auto"/>
        </w:rPr>
        <w:t xml:space="preserve">et al., </w:t>
      </w:r>
      <w:r w:rsidR="0086017C" w:rsidRPr="002322E3">
        <w:rPr>
          <w:color w:val="auto"/>
        </w:rPr>
        <w:t xml:space="preserve">2007). </w:t>
      </w:r>
      <w:r w:rsidRPr="002322E3">
        <w:rPr>
          <w:color w:val="auto"/>
        </w:rPr>
        <w:t xml:space="preserve"> Despite promising phase </w:t>
      </w:r>
      <w:r w:rsidR="00F771F3" w:rsidRPr="002322E3">
        <w:rPr>
          <w:color w:val="auto"/>
        </w:rPr>
        <w:t xml:space="preserve">2 </w:t>
      </w:r>
      <w:r w:rsidRPr="002322E3">
        <w:rPr>
          <w:color w:val="auto"/>
        </w:rPr>
        <w:t xml:space="preserve">results, NRG-GY006 phase </w:t>
      </w:r>
      <w:r w:rsidR="00AA77A2" w:rsidRPr="002322E3">
        <w:rPr>
          <w:color w:val="auto"/>
        </w:rPr>
        <w:t xml:space="preserve">3 </w:t>
      </w:r>
      <w:r w:rsidRPr="002322E3">
        <w:rPr>
          <w:color w:val="auto"/>
        </w:rPr>
        <w:t xml:space="preserve">trial failed to demonstrate improvement in OS with the addition of triapine to chemoradiation for locally advanced cervical </w:t>
      </w:r>
      <w:r w:rsidRPr="002322E3">
        <w:rPr>
          <w:color w:val="auto"/>
        </w:rPr>
        <w:lastRenderedPageBreak/>
        <w:t xml:space="preserve">and vaginal cancer. </w:t>
      </w:r>
      <w:r w:rsidR="0086017C" w:rsidRPr="002322E3">
        <w:rPr>
          <w:color w:val="auto"/>
        </w:rPr>
        <w:t xml:space="preserve"> </w:t>
      </w:r>
      <w:r w:rsidRPr="002322E3">
        <w:rPr>
          <w:color w:val="auto"/>
        </w:rPr>
        <w:t>The study was designed to detect a 10% improvement in 3-year OS with addition of triapine compared to chemoradiation alone with 80% power and 2.5% significance level including one interim futility analysis</w:t>
      </w:r>
      <w:r w:rsidR="0086017C" w:rsidRPr="002322E3">
        <w:rPr>
          <w:color w:val="auto"/>
        </w:rPr>
        <w:t xml:space="preserve"> (Leath </w:t>
      </w:r>
      <w:r w:rsidR="0086017C" w:rsidRPr="002322E3">
        <w:rPr>
          <w:i/>
          <w:iCs/>
          <w:color w:val="auto"/>
        </w:rPr>
        <w:t xml:space="preserve">et al., </w:t>
      </w:r>
      <w:r w:rsidR="0086017C" w:rsidRPr="002322E3">
        <w:rPr>
          <w:color w:val="auto"/>
        </w:rPr>
        <w:t xml:space="preserve">2023). </w:t>
      </w:r>
      <w:r w:rsidRPr="002322E3">
        <w:rPr>
          <w:color w:val="auto"/>
        </w:rPr>
        <w:t xml:space="preserve"> Seventy-six percent of patients completed the entire protocol directed therapy. </w:t>
      </w:r>
      <w:r w:rsidR="0086017C" w:rsidRPr="002322E3">
        <w:rPr>
          <w:color w:val="auto"/>
        </w:rPr>
        <w:t xml:space="preserve"> </w:t>
      </w:r>
      <w:r w:rsidRPr="002322E3">
        <w:rPr>
          <w:color w:val="auto"/>
        </w:rPr>
        <w:t xml:space="preserve">Triapine was well tolerated, and there was no difference in severe grade 3-5 toxicities between the two arms. </w:t>
      </w:r>
      <w:r w:rsidR="0086017C" w:rsidRPr="002322E3">
        <w:rPr>
          <w:color w:val="auto"/>
        </w:rPr>
        <w:t xml:space="preserve"> </w:t>
      </w:r>
      <w:r w:rsidRPr="002322E3">
        <w:rPr>
          <w:color w:val="auto"/>
        </w:rPr>
        <w:t xml:space="preserve">Median follow-up was 28 months (IQR, 15-45). </w:t>
      </w:r>
      <w:r w:rsidR="0086017C" w:rsidRPr="002322E3">
        <w:rPr>
          <w:color w:val="auto"/>
        </w:rPr>
        <w:t xml:space="preserve"> </w:t>
      </w:r>
      <w:r w:rsidRPr="002322E3">
        <w:rPr>
          <w:color w:val="auto"/>
        </w:rPr>
        <w:t xml:space="preserve">Median PFS and OS were not reached in both arms, with hazard rate ratio for death 1.018 (95% CI, 0.634-1.635). </w:t>
      </w:r>
      <w:r w:rsidR="0086017C" w:rsidRPr="002322E3">
        <w:rPr>
          <w:color w:val="auto"/>
        </w:rPr>
        <w:t xml:space="preserve"> </w:t>
      </w:r>
      <w:r w:rsidRPr="002322E3">
        <w:rPr>
          <w:color w:val="auto"/>
        </w:rPr>
        <w:t>Despite the ultimate lack of improvement in OS in NRG-GY006, triapine remains worthy of exploration for GBM for two main reasons:</w:t>
      </w:r>
    </w:p>
    <w:p w14:paraId="3383128D" w14:textId="77777777" w:rsidR="006D559A" w:rsidRPr="002322E3" w:rsidRDefault="006D559A" w:rsidP="00DB78C9">
      <w:pPr>
        <w:suppressAutoHyphens/>
        <w:rPr>
          <w:color w:val="auto"/>
        </w:rPr>
      </w:pPr>
    </w:p>
    <w:p w14:paraId="45D0DC80" w14:textId="11B6C4BA" w:rsidR="0086017C" w:rsidRPr="002322E3" w:rsidRDefault="00DB3A10" w:rsidP="00562B10">
      <w:pPr>
        <w:pStyle w:val="ListParagraph"/>
        <w:numPr>
          <w:ilvl w:val="0"/>
          <w:numId w:val="80"/>
        </w:numPr>
        <w:suppressAutoHyphens/>
        <w:rPr>
          <w:color w:val="auto"/>
        </w:rPr>
      </w:pPr>
      <w:r w:rsidRPr="002322E3">
        <w:rPr>
          <w:color w:val="auto"/>
        </w:rPr>
        <w:t>T</w:t>
      </w:r>
      <w:r w:rsidR="00DB78C9" w:rsidRPr="002322E3">
        <w:rPr>
          <w:color w:val="auto"/>
        </w:rPr>
        <w:t>here are distinct underlying biological characteristics between GBM and HPV-driven gynecological cancers</w:t>
      </w:r>
      <w:r w:rsidRPr="002322E3">
        <w:rPr>
          <w:color w:val="auto"/>
        </w:rPr>
        <w:t>.</w:t>
      </w:r>
    </w:p>
    <w:p w14:paraId="1A2C7139" w14:textId="4536A0CF" w:rsidR="00A07672" w:rsidRPr="002322E3" w:rsidRDefault="00DB3A10" w:rsidP="00144734">
      <w:pPr>
        <w:pStyle w:val="ListParagraph"/>
        <w:numPr>
          <w:ilvl w:val="0"/>
          <w:numId w:val="80"/>
        </w:numPr>
        <w:suppressAutoHyphens/>
        <w:rPr>
          <w:color w:val="auto"/>
        </w:rPr>
      </w:pPr>
      <w:r w:rsidRPr="002322E3">
        <w:rPr>
          <w:color w:val="auto"/>
        </w:rPr>
        <w:t>T</w:t>
      </w:r>
      <w:r w:rsidR="00DB78C9" w:rsidRPr="002322E3">
        <w:rPr>
          <w:color w:val="auto"/>
        </w:rPr>
        <w:t>riapine combined with standard-of-care cisplatin for cervical cancer has not shown substantial clinical activity together</w:t>
      </w:r>
      <w:r w:rsidR="006D0C47" w:rsidRPr="002322E3">
        <w:rPr>
          <w:color w:val="auto"/>
        </w:rPr>
        <w:t xml:space="preserve"> (</w:t>
      </w:r>
      <w:proofErr w:type="spellStart"/>
      <w:r w:rsidR="006D0C47" w:rsidRPr="002322E3">
        <w:rPr>
          <w:color w:val="auto"/>
        </w:rPr>
        <w:t>Feun</w:t>
      </w:r>
      <w:proofErr w:type="spellEnd"/>
      <w:r w:rsidR="006D0C47" w:rsidRPr="002322E3">
        <w:rPr>
          <w:color w:val="auto"/>
        </w:rPr>
        <w:t xml:space="preserve"> </w:t>
      </w:r>
      <w:r w:rsidR="006D0C47" w:rsidRPr="002322E3">
        <w:rPr>
          <w:i/>
          <w:iCs/>
          <w:color w:val="auto"/>
        </w:rPr>
        <w:t xml:space="preserve">et al., </w:t>
      </w:r>
      <w:r w:rsidR="006D0C47" w:rsidRPr="002322E3">
        <w:rPr>
          <w:color w:val="auto"/>
        </w:rPr>
        <w:t xml:space="preserve">2002; Kunos </w:t>
      </w:r>
      <w:r w:rsidR="006D0C47" w:rsidRPr="002322E3">
        <w:rPr>
          <w:i/>
          <w:iCs/>
          <w:color w:val="auto"/>
        </w:rPr>
        <w:t xml:space="preserve">et al., </w:t>
      </w:r>
      <w:r w:rsidR="006D0C47" w:rsidRPr="002322E3">
        <w:rPr>
          <w:color w:val="auto"/>
        </w:rPr>
        <w:t xml:space="preserve">2017; Wadler </w:t>
      </w:r>
      <w:r w:rsidR="006D0C47" w:rsidRPr="002322E3">
        <w:rPr>
          <w:i/>
          <w:iCs/>
          <w:color w:val="auto"/>
        </w:rPr>
        <w:t xml:space="preserve">et al., </w:t>
      </w:r>
      <w:r w:rsidR="006D0C47" w:rsidRPr="002322E3">
        <w:rPr>
          <w:color w:val="auto"/>
        </w:rPr>
        <w:t>2004)</w:t>
      </w:r>
      <w:r w:rsidR="00DB78C9" w:rsidRPr="002322E3">
        <w:rPr>
          <w:color w:val="auto"/>
        </w:rPr>
        <w:t xml:space="preserve"> while recent pre-clinical studies specific to GBM suggest that triapine may independently overcome resistance to both radiation and temozolomide</w:t>
      </w:r>
      <w:r w:rsidR="004A4C4B" w:rsidRPr="002322E3">
        <w:rPr>
          <w:color w:val="auto"/>
        </w:rPr>
        <w:t xml:space="preserve"> (</w:t>
      </w:r>
      <w:r w:rsidR="00C65659" w:rsidRPr="002322E3">
        <w:rPr>
          <w:color w:val="auto"/>
        </w:rPr>
        <w:t xml:space="preserve">Corrales-Guerrero </w:t>
      </w:r>
      <w:r w:rsidR="00C65659" w:rsidRPr="002322E3">
        <w:rPr>
          <w:i/>
          <w:iCs/>
          <w:color w:val="auto"/>
        </w:rPr>
        <w:t xml:space="preserve">et al., </w:t>
      </w:r>
      <w:r w:rsidR="00C65659" w:rsidRPr="002322E3">
        <w:rPr>
          <w:color w:val="auto"/>
        </w:rPr>
        <w:t xml:space="preserve">2023; Perrault </w:t>
      </w:r>
      <w:r w:rsidR="00C65659" w:rsidRPr="002322E3">
        <w:rPr>
          <w:i/>
          <w:iCs/>
          <w:color w:val="auto"/>
        </w:rPr>
        <w:t xml:space="preserve">et al., </w:t>
      </w:r>
      <w:r w:rsidR="00C65659" w:rsidRPr="002322E3">
        <w:rPr>
          <w:color w:val="auto"/>
        </w:rPr>
        <w:t>2023).</w:t>
      </w:r>
    </w:p>
    <w:p w14:paraId="62DA611D" w14:textId="77777777" w:rsidR="009E246E" w:rsidRPr="007300F3" w:rsidRDefault="009E246E" w:rsidP="009E246E">
      <w:pPr>
        <w:suppressAutoHyphens/>
      </w:pPr>
    </w:p>
    <w:p w14:paraId="6ECC7EBB" w14:textId="201AB078" w:rsidR="009E246E" w:rsidRPr="007300F3" w:rsidRDefault="009E246E" w:rsidP="004D02CF">
      <w:pPr>
        <w:pStyle w:val="Heading2"/>
      </w:pPr>
      <w:bookmarkStart w:id="14" w:name="_Toc318813000"/>
      <w:bookmarkStart w:id="15" w:name="_Toc176419892"/>
      <w:r w:rsidRPr="007300F3">
        <w:t>Rationale</w:t>
      </w:r>
      <w:bookmarkEnd w:id="14"/>
      <w:bookmarkEnd w:id="15"/>
    </w:p>
    <w:p w14:paraId="3626CD09" w14:textId="77777777" w:rsidR="009E246E" w:rsidRPr="007300F3" w:rsidRDefault="009E246E" w:rsidP="009E246E">
      <w:pPr>
        <w:tabs>
          <w:tab w:val="left" w:pos="0"/>
          <w:tab w:val="left" w:pos="354"/>
          <w:tab w:val="left" w:pos="710"/>
          <w:tab w:val="left" w:pos="1086"/>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pPr>
    </w:p>
    <w:p w14:paraId="1CCF5C19" w14:textId="49FC3CE1" w:rsidR="00FB4A07" w:rsidRPr="002322E3" w:rsidRDefault="00FB4A07" w:rsidP="00855323">
      <w:pPr>
        <w:suppressAutoHyphens/>
        <w:rPr>
          <w:color w:val="auto"/>
        </w:rPr>
      </w:pPr>
      <w:r w:rsidRPr="002322E3">
        <w:rPr>
          <w:color w:val="auto"/>
        </w:rPr>
        <w:t>Currently, there is a clear lack of effective interventions that overcome genetic heterogeneity and the resulting treatment resistance.  There is a critical need to test candidate agents that may potentially overcome genetic heterogeneity and restore tumor response to radiation.  Without such information, the promise of improving disease control and survival for the treatment of GBM will remain unrealized.  3-aminopyridine-2-carboxyaldehyde thiosemicarbazone (3-AP or triapine) is a competitive iron inhibitor that blocks the essential di-iron center of RRM2 and holds potential to overcome genetic heterogeneity.  By inhibiting the function of dysregulated RRM2 in cancer cells, triapine can influence RNR to restore greater genomic stability (</w:t>
      </w:r>
      <w:proofErr w:type="spellStart"/>
      <w:r w:rsidRPr="002322E3">
        <w:rPr>
          <w:color w:val="auto"/>
        </w:rPr>
        <w:t>Cotruvo</w:t>
      </w:r>
      <w:proofErr w:type="spellEnd"/>
      <w:r w:rsidRPr="002322E3">
        <w:rPr>
          <w:color w:val="auto"/>
        </w:rPr>
        <w:t xml:space="preserve"> and Stubbe, 2011; Zhan </w:t>
      </w:r>
      <w:r w:rsidRPr="002322E3">
        <w:rPr>
          <w:i/>
          <w:iCs/>
          <w:color w:val="auto"/>
        </w:rPr>
        <w:t xml:space="preserve">et al., </w:t>
      </w:r>
      <w:r w:rsidRPr="002322E3">
        <w:rPr>
          <w:color w:val="auto"/>
        </w:rPr>
        <w:t xml:space="preserve">2021).  Triapine is also a small molecule able to pass through the blood-brain barrier, a well-known issue preventing many therapeutic agents from </w:t>
      </w:r>
      <w:r w:rsidR="00C245CB" w:rsidRPr="002322E3">
        <w:rPr>
          <w:color w:val="auto"/>
        </w:rPr>
        <w:t>entering</w:t>
      </w:r>
      <w:r w:rsidRPr="002322E3">
        <w:rPr>
          <w:color w:val="auto"/>
        </w:rPr>
        <w:t xml:space="preserve"> the central nervous system (Finch </w:t>
      </w:r>
      <w:r w:rsidRPr="002322E3">
        <w:rPr>
          <w:i/>
          <w:iCs/>
          <w:color w:val="auto"/>
        </w:rPr>
        <w:t xml:space="preserve">et al., </w:t>
      </w:r>
      <w:r w:rsidRPr="002322E3">
        <w:rPr>
          <w:color w:val="auto"/>
        </w:rPr>
        <w:t xml:space="preserve">2000; Jiang </w:t>
      </w:r>
      <w:r w:rsidRPr="002322E3">
        <w:rPr>
          <w:i/>
          <w:iCs/>
          <w:color w:val="auto"/>
        </w:rPr>
        <w:t xml:space="preserve">et al., </w:t>
      </w:r>
      <w:r w:rsidRPr="002322E3">
        <w:rPr>
          <w:color w:val="auto"/>
        </w:rPr>
        <w:t>2006).</w:t>
      </w:r>
      <w:r w:rsidR="00C510D1" w:rsidRPr="002322E3">
        <w:rPr>
          <w:color w:val="auto"/>
        </w:rPr>
        <w:t xml:space="preserve">  Our long-term goal is to integrate therapeutic interventions that would overcome treatment resistance in GBM.</w:t>
      </w:r>
    </w:p>
    <w:p w14:paraId="2E389E72" w14:textId="77777777" w:rsidR="004B6B34" w:rsidRPr="002322E3" w:rsidRDefault="004B6B34" w:rsidP="00855323">
      <w:pPr>
        <w:suppressAutoHyphens/>
        <w:rPr>
          <w:color w:val="auto"/>
        </w:rPr>
      </w:pPr>
    </w:p>
    <w:p w14:paraId="5DF80264" w14:textId="4984DE73" w:rsidR="004B6B34" w:rsidRPr="001C2F69" w:rsidRDefault="00D3301F" w:rsidP="00855323">
      <w:pPr>
        <w:suppressAutoHyphens/>
        <w:rPr>
          <w:color w:val="auto"/>
        </w:rPr>
      </w:pPr>
      <w:r w:rsidRPr="002322E3">
        <w:rPr>
          <w:color w:val="auto"/>
        </w:rPr>
        <w:t>Ph</w:t>
      </w:r>
      <w:r w:rsidR="004B6B34" w:rsidRPr="002322E3">
        <w:rPr>
          <w:color w:val="auto"/>
        </w:rPr>
        <w:t xml:space="preserve">ase </w:t>
      </w:r>
      <w:r w:rsidR="000A2939" w:rsidRPr="002322E3">
        <w:rPr>
          <w:color w:val="auto"/>
        </w:rPr>
        <w:t>1</w:t>
      </w:r>
      <w:r w:rsidR="004B6B34" w:rsidRPr="002322E3">
        <w:rPr>
          <w:color w:val="auto"/>
        </w:rPr>
        <w:t xml:space="preserve"> and </w:t>
      </w:r>
      <w:r w:rsidR="000A2939" w:rsidRPr="002322E3">
        <w:rPr>
          <w:color w:val="auto"/>
        </w:rPr>
        <w:t xml:space="preserve">2 </w:t>
      </w:r>
      <w:r w:rsidR="004B6B34" w:rsidRPr="002322E3">
        <w:rPr>
          <w:color w:val="auto"/>
        </w:rPr>
        <w:t>trials investigating the use of triapine suggest it is well tolerated, with main toxicities including hypoxia due to methemoglobinemia, reversible hematologic and electrolyte abnormalities, hyperglycemia, and fatigue.  Favorable disease responses have been observed particularly for cervical, vaginal, and pancreatic cancers.  We hypothesize</w:t>
      </w:r>
      <w:r w:rsidR="004B6B34" w:rsidRPr="002322E3">
        <w:rPr>
          <w:color w:val="auto"/>
          <w:spacing w:val="-3"/>
        </w:rPr>
        <w:t xml:space="preserve"> </w:t>
      </w:r>
      <w:r w:rsidR="004B6B34" w:rsidRPr="002322E3">
        <w:rPr>
          <w:color w:val="auto"/>
        </w:rPr>
        <w:t>that</w:t>
      </w:r>
      <w:r w:rsidR="004B6B34" w:rsidRPr="002322E3">
        <w:rPr>
          <w:color w:val="auto"/>
          <w:spacing w:val="-2"/>
        </w:rPr>
        <w:t xml:space="preserve"> </w:t>
      </w:r>
      <w:r w:rsidR="004B6B34" w:rsidRPr="002322E3">
        <w:rPr>
          <w:color w:val="auto"/>
        </w:rPr>
        <w:t>inhibiting</w:t>
      </w:r>
      <w:r w:rsidR="004B6B34" w:rsidRPr="002322E3">
        <w:rPr>
          <w:color w:val="auto"/>
          <w:spacing w:val="-3"/>
        </w:rPr>
        <w:t xml:space="preserve"> </w:t>
      </w:r>
      <w:r w:rsidR="004B6B34" w:rsidRPr="002322E3">
        <w:rPr>
          <w:color w:val="auto"/>
        </w:rPr>
        <w:t>RRM2</w:t>
      </w:r>
      <w:r w:rsidR="004B6B34" w:rsidRPr="002322E3">
        <w:rPr>
          <w:color w:val="auto"/>
          <w:spacing w:val="-2"/>
        </w:rPr>
        <w:t xml:space="preserve"> </w:t>
      </w:r>
      <w:r w:rsidR="004B6B34" w:rsidRPr="002322E3">
        <w:rPr>
          <w:color w:val="auto"/>
        </w:rPr>
        <w:t>activity</w:t>
      </w:r>
      <w:r w:rsidR="004B6B34" w:rsidRPr="002322E3">
        <w:rPr>
          <w:color w:val="auto"/>
          <w:spacing w:val="-3"/>
        </w:rPr>
        <w:t xml:space="preserve"> </w:t>
      </w:r>
      <w:r w:rsidR="004B6B34" w:rsidRPr="002322E3">
        <w:rPr>
          <w:color w:val="auto"/>
        </w:rPr>
        <w:t>with</w:t>
      </w:r>
      <w:r w:rsidR="004B6B34" w:rsidRPr="002322E3">
        <w:rPr>
          <w:color w:val="auto"/>
          <w:spacing w:val="-2"/>
        </w:rPr>
        <w:t xml:space="preserve"> </w:t>
      </w:r>
      <w:r w:rsidR="004B6B34" w:rsidRPr="002322E3">
        <w:rPr>
          <w:color w:val="auto"/>
        </w:rPr>
        <w:t>triapine</w:t>
      </w:r>
      <w:r w:rsidR="004B6B34" w:rsidRPr="002322E3">
        <w:rPr>
          <w:color w:val="auto"/>
          <w:spacing w:val="-2"/>
        </w:rPr>
        <w:t xml:space="preserve"> </w:t>
      </w:r>
      <w:r w:rsidR="004B6B34" w:rsidRPr="002322E3">
        <w:rPr>
          <w:color w:val="auto"/>
        </w:rPr>
        <w:t>in</w:t>
      </w:r>
      <w:r w:rsidR="004B6B34" w:rsidRPr="002322E3">
        <w:rPr>
          <w:color w:val="auto"/>
          <w:spacing w:val="-4"/>
        </w:rPr>
        <w:t xml:space="preserve"> </w:t>
      </w:r>
      <w:r w:rsidR="004B6B34" w:rsidRPr="002322E3">
        <w:rPr>
          <w:color w:val="auto"/>
        </w:rPr>
        <w:t>combination</w:t>
      </w:r>
      <w:r w:rsidR="004B6B34" w:rsidRPr="002322E3">
        <w:rPr>
          <w:color w:val="auto"/>
          <w:spacing w:val="-2"/>
        </w:rPr>
        <w:t xml:space="preserve"> </w:t>
      </w:r>
      <w:r w:rsidR="004B6B34" w:rsidRPr="002322E3">
        <w:rPr>
          <w:color w:val="auto"/>
        </w:rPr>
        <w:t>with radiation</w:t>
      </w:r>
      <w:r w:rsidR="004B6B34" w:rsidRPr="002322E3">
        <w:rPr>
          <w:color w:val="auto"/>
          <w:spacing w:val="-3"/>
        </w:rPr>
        <w:t xml:space="preserve"> </w:t>
      </w:r>
      <w:r w:rsidR="004B6B34" w:rsidRPr="002322E3">
        <w:rPr>
          <w:color w:val="auto"/>
        </w:rPr>
        <w:t>will</w:t>
      </w:r>
      <w:r w:rsidR="004B6B34" w:rsidRPr="002322E3">
        <w:rPr>
          <w:color w:val="auto"/>
          <w:spacing w:val="-2"/>
        </w:rPr>
        <w:t xml:space="preserve"> </w:t>
      </w:r>
      <w:r w:rsidR="004B6B34" w:rsidRPr="002322E3">
        <w:rPr>
          <w:color w:val="auto"/>
        </w:rPr>
        <w:t>not</w:t>
      </w:r>
      <w:r w:rsidR="004B6B34" w:rsidRPr="002322E3">
        <w:rPr>
          <w:color w:val="auto"/>
          <w:spacing w:val="-2"/>
        </w:rPr>
        <w:t xml:space="preserve"> </w:t>
      </w:r>
      <w:r w:rsidR="004B6B34" w:rsidRPr="002322E3">
        <w:rPr>
          <w:color w:val="auto"/>
        </w:rPr>
        <w:t>only</w:t>
      </w:r>
      <w:r w:rsidR="004B6B34" w:rsidRPr="002322E3">
        <w:rPr>
          <w:color w:val="auto"/>
          <w:spacing w:val="-1"/>
        </w:rPr>
        <w:t xml:space="preserve"> </w:t>
      </w:r>
      <w:r w:rsidR="004B6B34" w:rsidRPr="002322E3">
        <w:rPr>
          <w:color w:val="auto"/>
        </w:rPr>
        <w:t>be</w:t>
      </w:r>
      <w:r w:rsidR="004B6B34" w:rsidRPr="002322E3">
        <w:rPr>
          <w:color w:val="auto"/>
          <w:spacing w:val="-5"/>
        </w:rPr>
        <w:t xml:space="preserve"> </w:t>
      </w:r>
      <w:r w:rsidR="004B6B34" w:rsidRPr="002322E3">
        <w:rPr>
          <w:color w:val="auto"/>
        </w:rPr>
        <w:t>well</w:t>
      </w:r>
      <w:r w:rsidR="004B6B34" w:rsidRPr="002322E3">
        <w:rPr>
          <w:color w:val="auto"/>
          <w:spacing w:val="-5"/>
        </w:rPr>
        <w:t xml:space="preserve"> </w:t>
      </w:r>
      <w:r w:rsidR="004B6B34" w:rsidRPr="002322E3">
        <w:rPr>
          <w:color w:val="auto"/>
        </w:rPr>
        <w:t>tolerated,</w:t>
      </w:r>
      <w:r w:rsidR="004B6B34" w:rsidRPr="002322E3">
        <w:rPr>
          <w:color w:val="auto"/>
          <w:spacing w:val="-2"/>
        </w:rPr>
        <w:t xml:space="preserve"> </w:t>
      </w:r>
      <w:r w:rsidR="004B6B34" w:rsidRPr="002322E3">
        <w:rPr>
          <w:color w:val="auto"/>
        </w:rPr>
        <w:t>but</w:t>
      </w:r>
      <w:r w:rsidR="004B6B34" w:rsidRPr="002322E3">
        <w:rPr>
          <w:color w:val="auto"/>
          <w:spacing w:val="-2"/>
        </w:rPr>
        <w:t xml:space="preserve"> </w:t>
      </w:r>
      <w:r w:rsidR="004B6B34" w:rsidRPr="002322E3">
        <w:rPr>
          <w:color w:val="auto"/>
        </w:rPr>
        <w:t xml:space="preserve">also enhance disease control for patients with GBM.  This hypothesis has been formulated largely </w:t>
      </w:r>
      <w:r w:rsidR="000F4A2D" w:rsidRPr="002322E3">
        <w:rPr>
          <w:color w:val="auto"/>
        </w:rPr>
        <w:t>based on</w:t>
      </w:r>
      <w:r w:rsidR="004B6B34" w:rsidRPr="002322E3">
        <w:rPr>
          <w:color w:val="auto"/>
        </w:rPr>
        <w:t xml:space="preserve"> our preliminary</w:t>
      </w:r>
      <w:r w:rsidR="004B6B34" w:rsidRPr="002322E3">
        <w:rPr>
          <w:color w:val="auto"/>
          <w:spacing w:val="-3"/>
        </w:rPr>
        <w:t xml:space="preserve"> </w:t>
      </w:r>
      <w:r w:rsidR="004B6B34" w:rsidRPr="002322E3">
        <w:rPr>
          <w:color w:val="auto"/>
        </w:rPr>
        <w:t>data</w:t>
      </w:r>
      <w:r w:rsidR="004B6B34" w:rsidRPr="002322E3">
        <w:rPr>
          <w:color w:val="auto"/>
          <w:spacing w:val="-5"/>
        </w:rPr>
        <w:t xml:space="preserve"> </w:t>
      </w:r>
      <w:r w:rsidR="004B6B34" w:rsidRPr="002322E3">
        <w:rPr>
          <w:color w:val="auto"/>
        </w:rPr>
        <w:t>generated using well-characterized</w:t>
      </w:r>
      <w:r w:rsidR="004B6B34" w:rsidRPr="002322E3">
        <w:rPr>
          <w:color w:val="auto"/>
          <w:spacing w:val="-5"/>
        </w:rPr>
        <w:t xml:space="preserve"> </w:t>
      </w:r>
      <w:r w:rsidR="004B6B34" w:rsidRPr="002322E3">
        <w:rPr>
          <w:color w:val="auto"/>
        </w:rPr>
        <w:t>human</w:t>
      </w:r>
      <w:r w:rsidR="004B6B34" w:rsidRPr="002322E3">
        <w:rPr>
          <w:color w:val="auto"/>
          <w:spacing w:val="-4"/>
        </w:rPr>
        <w:t xml:space="preserve"> </w:t>
      </w:r>
      <w:r w:rsidR="004B6B34" w:rsidRPr="002322E3">
        <w:rPr>
          <w:color w:val="auto"/>
        </w:rPr>
        <w:t>cancer</w:t>
      </w:r>
      <w:r w:rsidR="004B6B34" w:rsidRPr="002322E3">
        <w:rPr>
          <w:color w:val="auto"/>
          <w:spacing w:val="-4"/>
        </w:rPr>
        <w:t xml:space="preserve"> </w:t>
      </w:r>
      <w:r w:rsidR="004B6B34" w:rsidRPr="002322E3">
        <w:rPr>
          <w:color w:val="auto"/>
        </w:rPr>
        <w:t>cell</w:t>
      </w:r>
      <w:r w:rsidR="004B6B34" w:rsidRPr="002322E3">
        <w:rPr>
          <w:color w:val="auto"/>
          <w:spacing w:val="-5"/>
        </w:rPr>
        <w:t xml:space="preserve"> </w:t>
      </w:r>
      <w:r w:rsidR="004B6B34" w:rsidRPr="002322E3">
        <w:rPr>
          <w:color w:val="auto"/>
        </w:rPr>
        <w:t>lines</w:t>
      </w:r>
      <w:r w:rsidR="004B6B34" w:rsidRPr="002322E3">
        <w:rPr>
          <w:color w:val="auto"/>
          <w:spacing w:val="-3"/>
        </w:rPr>
        <w:t xml:space="preserve"> </w:t>
      </w:r>
      <w:r w:rsidR="004B6B34" w:rsidRPr="002322E3">
        <w:rPr>
          <w:color w:val="auto"/>
        </w:rPr>
        <w:t xml:space="preserve">and </w:t>
      </w:r>
      <w:r w:rsidR="004B6B34" w:rsidRPr="002322E3">
        <w:rPr>
          <w:i/>
          <w:color w:val="auto"/>
        </w:rPr>
        <w:t>in</w:t>
      </w:r>
      <w:r w:rsidR="004B6B34" w:rsidRPr="002322E3">
        <w:rPr>
          <w:i/>
          <w:color w:val="auto"/>
          <w:spacing w:val="-4"/>
        </w:rPr>
        <w:t xml:space="preserve"> </w:t>
      </w:r>
      <w:r w:rsidR="004B6B34" w:rsidRPr="002322E3">
        <w:rPr>
          <w:i/>
          <w:color w:val="auto"/>
        </w:rPr>
        <w:t>vivo</w:t>
      </w:r>
      <w:r w:rsidR="004B6B34" w:rsidRPr="002322E3">
        <w:rPr>
          <w:color w:val="auto"/>
          <w:spacing w:val="-4"/>
        </w:rPr>
        <w:t xml:space="preserve"> </w:t>
      </w:r>
      <w:r w:rsidR="004B6B34" w:rsidRPr="002322E3">
        <w:rPr>
          <w:color w:val="auto"/>
        </w:rPr>
        <w:t>human</w:t>
      </w:r>
      <w:r w:rsidR="004B6B34" w:rsidRPr="002322E3">
        <w:rPr>
          <w:color w:val="auto"/>
          <w:spacing w:val="-4"/>
        </w:rPr>
        <w:t xml:space="preserve"> </w:t>
      </w:r>
      <w:r w:rsidR="004B6B34" w:rsidRPr="002322E3">
        <w:rPr>
          <w:color w:val="auto"/>
        </w:rPr>
        <w:t>xenograft</w:t>
      </w:r>
      <w:r w:rsidR="004B6B34" w:rsidRPr="002322E3">
        <w:rPr>
          <w:color w:val="auto"/>
          <w:spacing w:val="-2"/>
        </w:rPr>
        <w:t xml:space="preserve"> </w:t>
      </w:r>
      <w:r w:rsidR="004B6B34" w:rsidRPr="002322E3">
        <w:rPr>
          <w:color w:val="auto"/>
        </w:rPr>
        <w:t>mouse</w:t>
      </w:r>
      <w:r w:rsidR="004B6B34" w:rsidRPr="002322E3">
        <w:rPr>
          <w:color w:val="auto"/>
          <w:spacing w:val="-4"/>
        </w:rPr>
        <w:t xml:space="preserve"> </w:t>
      </w:r>
      <w:r w:rsidR="004B6B34" w:rsidRPr="002322E3">
        <w:rPr>
          <w:color w:val="auto"/>
        </w:rPr>
        <w:t xml:space="preserve">models.  The rationale for this project is that a determination of safety, pharmacokinetics in the central nervous system, and therapeutic efficacy of triapine can offer strong evidence where new strategies for the treatment of GBM can be developed.  As a pivotal first step towards our long-term goal, we propose an initial phase </w:t>
      </w:r>
      <w:r w:rsidR="00797784" w:rsidRPr="002322E3">
        <w:rPr>
          <w:color w:val="auto"/>
        </w:rPr>
        <w:t xml:space="preserve">1 </w:t>
      </w:r>
      <w:r w:rsidR="004B6B34" w:rsidRPr="002322E3">
        <w:rPr>
          <w:color w:val="auto"/>
        </w:rPr>
        <w:t>dose escalation study to evaluate</w:t>
      </w:r>
      <w:r w:rsidR="004B6B34" w:rsidRPr="002322E3">
        <w:rPr>
          <w:color w:val="auto"/>
          <w:spacing w:val="-1"/>
        </w:rPr>
        <w:t xml:space="preserve"> </w:t>
      </w:r>
      <w:r w:rsidR="004B6B34" w:rsidRPr="002322E3">
        <w:rPr>
          <w:color w:val="auto"/>
        </w:rPr>
        <w:t>the</w:t>
      </w:r>
      <w:r w:rsidR="004B6B34" w:rsidRPr="002322E3">
        <w:rPr>
          <w:color w:val="auto"/>
          <w:spacing w:val="-1"/>
        </w:rPr>
        <w:t xml:space="preserve"> </w:t>
      </w:r>
      <w:r w:rsidR="004B6B34" w:rsidRPr="002322E3">
        <w:rPr>
          <w:color w:val="auto"/>
        </w:rPr>
        <w:t>safety of triapine and radiation for patients with</w:t>
      </w:r>
      <w:r w:rsidR="004B6B34" w:rsidRPr="002322E3">
        <w:rPr>
          <w:color w:val="auto"/>
          <w:spacing w:val="-1"/>
        </w:rPr>
        <w:t xml:space="preserve"> </w:t>
      </w:r>
      <w:r w:rsidR="004B6B34" w:rsidRPr="002322E3">
        <w:rPr>
          <w:color w:val="auto"/>
        </w:rPr>
        <w:t xml:space="preserve">recurrent GBM.  The results from our primary and secondary objectives from this trial, alongside preclinical data from Perrault et al. (2023) are expected to have an important impact in providing evidence for the design of </w:t>
      </w:r>
      <w:r w:rsidR="004B6B34" w:rsidRPr="002322E3">
        <w:rPr>
          <w:color w:val="auto"/>
        </w:rPr>
        <w:lastRenderedPageBreak/>
        <w:t xml:space="preserve">future clinical trials of triplet combination therapy (triapine, radiation, and temozolomide), ultimately providing a new opportunity to improve survival for patients with newly diagnosed </w:t>
      </w:r>
      <w:r w:rsidR="004B6B34" w:rsidRPr="001C2F69">
        <w:rPr>
          <w:color w:val="auto"/>
        </w:rPr>
        <w:t>GBM.</w:t>
      </w:r>
    </w:p>
    <w:p w14:paraId="1EAF176E" w14:textId="77777777" w:rsidR="00FB4A07" w:rsidRPr="001C2F69" w:rsidRDefault="00FB4A07" w:rsidP="00855323">
      <w:pPr>
        <w:suppressAutoHyphens/>
        <w:rPr>
          <w:color w:val="auto"/>
        </w:rPr>
      </w:pPr>
    </w:p>
    <w:p w14:paraId="4DB7B66D" w14:textId="29D70B8E" w:rsidR="00CF2F2B" w:rsidRDefault="00855323" w:rsidP="00855323">
      <w:pPr>
        <w:suppressAutoHyphens/>
        <w:rPr>
          <w:color w:val="auto"/>
        </w:rPr>
      </w:pPr>
      <w:r w:rsidRPr="001C2F69">
        <w:rPr>
          <w:color w:val="auto"/>
        </w:rPr>
        <w:t>In our preclinical studies, described further in this proposal, we demonstrated that targeting RRM2 with triapine</w:t>
      </w:r>
      <w:r w:rsidR="00DF34F8" w:rsidRPr="001C2F69">
        <w:rPr>
          <w:color w:val="auto"/>
        </w:rPr>
        <w:t xml:space="preserve"> both </w:t>
      </w:r>
      <w:r w:rsidR="00DF34F8" w:rsidRPr="001C2F69">
        <w:rPr>
          <w:i/>
          <w:color w:val="auto"/>
        </w:rPr>
        <w:t xml:space="preserve">in vitro </w:t>
      </w:r>
      <w:r w:rsidR="00DF34F8" w:rsidRPr="001C2F69">
        <w:rPr>
          <w:color w:val="auto"/>
        </w:rPr>
        <w:t xml:space="preserve">and </w:t>
      </w:r>
      <w:r w:rsidR="00DF34F8" w:rsidRPr="001C2F69">
        <w:rPr>
          <w:i/>
          <w:color w:val="auto"/>
        </w:rPr>
        <w:t>in vivo</w:t>
      </w:r>
      <w:r w:rsidRPr="001C2F69">
        <w:rPr>
          <w:color w:val="auto"/>
        </w:rPr>
        <w:t xml:space="preserve"> sensitized GBM cells to ionizing radiation</w:t>
      </w:r>
      <w:r w:rsidRPr="001C2F69">
        <w:rPr>
          <w:i/>
          <w:color w:val="auto"/>
        </w:rPr>
        <w:t xml:space="preserve">, </w:t>
      </w:r>
      <w:r w:rsidRPr="001C2F69">
        <w:rPr>
          <w:color w:val="auto"/>
        </w:rPr>
        <w:t xml:space="preserve">leading to greater radiation damage, local tumor control, and survival in mice (Corrales-Guerrero </w:t>
      </w:r>
      <w:r w:rsidRPr="001C2F69">
        <w:rPr>
          <w:i/>
          <w:iCs/>
          <w:color w:val="auto"/>
        </w:rPr>
        <w:t xml:space="preserve">et al., </w:t>
      </w:r>
      <w:r w:rsidRPr="001C2F69">
        <w:rPr>
          <w:color w:val="auto"/>
        </w:rPr>
        <w:t xml:space="preserve">2023).  Furthermore, Perrault et al. (2023) showed that inhibiting RRM2 activity with triapine also significantly increased anti-tumor activity of temozolomide </w:t>
      </w:r>
      <w:r w:rsidRPr="001C2F69">
        <w:rPr>
          <w:i/>
          <w:color w:val="auto"/>
        </w:rPr>
        <w:t>in vivo</w:t>
      </w:r>
      <w:r w:rsidRPr="001C2F69">
        <w:rPr>
          <w:color w:val="auto"/>
        </w:rPr>
        <w:t>.  Altogether, triapine may overcome treatment resistance in GBM.</w:t>
      </w:r>
    </w:p>
    <w:p w14:paraId="3C86BE7E" w14:textId="77777777" w:rsidR="00855323" w:rsidRPr="001C2F69" w:rsidRDefault="00855323" w:rsidP="00855323">
      <w:pPr>
        <w:suppressAutoHyphens/>
        <w:rPr>
          <w:color w:val="auto"/>
        </w:rPr>
      </w:pPr>
    </w:p>
    <w:p w14:paraId="4A8AFE92" w14:textId="78C4725D" w:rsidR="00673475" w:rsidRPr="001C2F69" w:rsidRDefault="00673475" w:rsidP="00673475">
      <w:pPr>
        <w:suppressAutoHyphens/>
        <w:rPr>
          <w:color w:val="auto"/>
        </w:rPr>
      </w:pPr>
      <w:r w:rsidRPr="001C2F69">
        <w:rPr>
          <w:color w:val="auto"/>
        </w:rPr>
        <w:t xml:space="preserve">We recently published pre-clinical data that demonstrate </w:t>
      </w:r>
      <w:proofErr w:type="spellStart"/>
      <w:r w:rsidRPr="001C2F69">
        <w:rPr>
          <w:color w:val="auto"/>
        </w:rPr>
        <w:t>triapine</w:t>
      </w:r>
      <w:proofErr w:type="spellEnd"/>
      <w:r w:rsidRPr="001C2F69">
        <w:rPr>
          <w:color w:val="auto"/>
        </w:rPr>
        <w:t xml:space="preserve"> could effectively </w:t>
      </w:r>
      <w:proofErr w:type="spellStart"/>
      <w:r w:rsidRPr="001C2F69">
        <w:rPr>
          <w:color w:val="auto"/>
        </w:rPr>
        <w:t>radiosensitize</w:t>
      </w:r>
      <w:proofErr w:type="spellEnd"/>
      <w:r w:rsidRPr="001C2F69">
        <w:rPr>
          <w:color w:val="auto"/>
        </w:rPr>
        <w:t xml:space="preserve"> GBM cell lines (Corrales-Guerrero </w:t>
      </w:r>
      <w:r w:rsidRPr="001C2F69">
        <w:rPr>
          <w:i/>
          <w:iCs/>
          <w:color w:val="auto"/>
        </w:rPr>
        <w:t xml:space="preserve">et al., </w:t>
      </w:r>
      <w:r w:rsidRPr="001C2F69">
        <w:rPr>
          <w:color w:val="auto"/>
        </w:rPr>
        <w:t xml:space="preserve">2023). </w:t>
      </w:r>
      <w:r w:rsidRPr="001C2F69">
        <w:rPr>
          <w:color w:val="auto"/>
          <w:spacing w:val="40"/>
          <w:position w:val="6"/>
          <w:sz w:val="13"/>
        </w:rPr>
        <w:t xml:space="preserve"> </w:t>
      </w:r>
      <w:r w:rsidRPr="001C2F69">
        <w:rPr>
          <w:color w:val="auto"/>
        </w:rPr>
        <w:t xml:space="preserve">First, we found that </w:t>
      </w:r>
      <w:r w:rsidRPr="001C2F69">
        <w:rPr>
          <w:i/>
          <w:color w:val="auto"/>
        </w:rPr>
        <w:t xml:space="preserve">RRM2 </w:t>
      </w:r>
      <w:r w:rsidRPr="001C2F69">
        <w:rPr>
          <w:color w:val="auto"/>
        </w:rPr>
        <w:t xml:space="preserve">expression was dramatically increased in GBM.  When comparing </w:t>
      </w:r>
      <w:r w:rsidRPr="001C2F69">
        <w:rPr>
          <w:i/>
          <w:color w:val="auto"/>
        </w:rPr>
        <w:t xml:space="preserve">RRM2 </w:t>
      </w:r>
      <w:r w:rsidRPr="001C2F69">
        <w:rPr>
          <w:color w:val="auto"/>
        </w:rPr>
        <w:t>expression levels across 33 cancer types from The Cancer Genome Atlas (TCGA) relative to normal tissue, the highest fold increase was found in GBM (</w:t>
      </w:r>
      <w:r w:rsidR="006F6D7D" w:rsidRPr="001C2F69">
        <w:rPr>
          <w:b/>
          <w:color w:val="auto"/>
        </w:rPr>
        <w:fldChar w:fldCharType="begin"/>
      </w:r>
      <w:r w:rsidR="006F6D7D" w:rsidRPr="001C2F69">
        <w:rPr>
          <w:b/>
          <w:color w:val="auto"/>
        </w:rPr>
        <w:instrText xml:space="preserve"> REF _Ref170914045 \h </w:instrText>
      </w:r>
      <w:r w:rsidR="008A335B" w:rsidRPr="001C2F69">
        <w:rPr>
          <w:b/>
          <w:color w:val="auto"/>
        </w:rPr>
        <w:instrText xml:space="preserve"> \* MERGEFORMAT </w:instrText>
      </w:r>
      <w:r w:rsidR="006F6D7D" w:rsidRPr="001C2F69">
        <w:rPr>
          <w:b/>
          <w:color w:val="auto"/>
        </w:rPr>
      </w:r>
      <w:r w:rsidR="006F6D7D" w:rsidRPr="001C2F69">
        <w:rPr>
          <w:b/>
          <w:color w:val="auto"/>
        </w:rPr>
        <w:fldChar w:fldCharType="separate"/>
      </w:r>
      <w:r w:rsidR="009C0D42" w:rsidRPr="009C0D42">
        <w:rPr>
          <w:b/>
          <w:color w:val="auto"/>
        </w:rPr>
        <w:t xml:space="preserve">Figure </w:t>
      </w:r>
      <w:r w:rsidR="009C0D42" w:rsidRPr="009C0D42">
        <w:rPr>
          <w:b/>
          <w:noProof/>
          <w:color w:val="auto"/>
        </w:rPr>
        <w:t>1</w:t>
      </w:r>
      <w:r w:rsidR="006F6D7D" w:rsidRPr="001C2F69">
        <w:rPr>
          <w:b/>
          <w:color w:val="auto"/>
        </w:rPr>
        <w:fldChar w:fldCharType="end"/>
      </w:r>
      <w:r w:rsidR="006F6D7D" w:rsidRPr="001C2F69">
        <w:rPr>
          <w:b/>
          <w:color w:val="auto"/>
        </w:rPr>
        <w:t>A</w:t>
      </w:r>
      <w:r w:rsidRPr="001C2F69">
        <w:rPr>
          <w:color w:val="auto"/>
        </w:rPr>
        <w:t xml:space="preserve">).  Furthermore, </w:t>
      </w:r>
      <w:r w:rsidRPr="001C2F69">
        <w:rPr>
          <w:i/>
          <w:color w:val="auto"/>
        </w:rPr>
        <w:t xml:space="preserve">RRM2 </w:t>
      </w:r>
      <w:r w:rsidRPr="001C2F69">
        <w:rPr>
          <w:color w:val="auto"/>
        </w:rPr>
        <w:t xml:space="preserve">expression levels significantly increased with histologic tumor grade across multiple public datasets, indicating more aggressive histologic grade is correlated with RRM2 expression </w:t>
      </w:r>
      <w:r w:rsidRPr="001C2F69">
        <w:rPr>
          <w:b/>
          <w:color w:val="auto"/>
        </w:rPr>
        <w:t>(</w:t>
      </w:r>
      <w:r w:rsidRPr="001C2F69">
        <w:rPr>
          <w:color w:val="auto"/>
        </w:rPr>
        <w:t xml:space="preserve">TCGA data shown in </w:t>
      </w:r>
      <w:r w:rsidR="008A335B" w:rsidRPr="001C2F69">
        <w:rPr>
          <w:b/>
          <w:color w:val="auto"/>
        </w:rPr>
        <w:fldChar w:fldCharType="begin"/>
      </w:r>
      <w:r w:rsidR="008A335B" w:rsidRPr="001C2F69">
        <w:rPr>
          <w:b/>
          <w:color w:val="auto"/>
        </w:rPr>
        <w:instrText xml:space="preserve"> REF _Ref170914045 \h  \* MERGEFORMAT </w:instrText>
      </w:r>
      <w:r w:rsidR="008A335B" w:rsidRPr="001C2F69">
        <w:rPr>
          <w:b/>
          <w:color w:val="auto"/>
        </w:rPr>
      </w:r>
      <w:r w:rsidR="008A335B" w:rsidRPr="001C2F69">
        <w:rPr>
          <w:b/>
          <w:color w:val="auto"/>
        </w:rPr>
        <w:fldChar w:fldCharType="separate"/>
      </w:r>
      <w:r w:rsidR="009C0D42" w:rsidRPr="009C0D42">
        <w:rPr>
          <w:b/>
          <w:color w:val="auto"/>
        </w:rPr>
        <w:t xml:space="preserve">Figure </w:t>
      </w:r>
      <w:r w:rsidR="009C0D42" w:rsidRPr="009C0D42">
        <w:rPr>
          <w:b/>
          <w:noProof/>
          <w:color w:val="auto"/>
        </w:rPr>
        <w:t>1</w:t>
      </w:r>
      <w:r w:rsidR="008A335B" w:rsidRPr="001C2F69">
        <w:rPr>
          <w:b/>
          <w:color w:val="auto"/>
        </w:rPr>
        <w:fldChar w:fldCharType="end"/>
      </w:r>
      <w:r w:rsidRPr="001C2F69">
        <w:rPr>
          <w:b/>
          <w:color w:val="auto"/>
        </w:rPr>
        <w:t>B</w:t>
      </w:r>
      <w:r w:rsidRPr="001C2F69">
        <w:rPr>
          <w:color w:val="auto"/>
        </w:rPr>
        <w:t xml:space="preserve">).  In addition, higher RRM2 expression was noted in isocitrate dehydrogenase (IDH) wild-type gliomas </w:t>
      </w:r>
      <w:r w:rsidRPr="001C2F69">
        <w:rPr>
          <w:b/>
          <w:color w:val="auto"/>
        </w:rPr>
        <w:t>(</w:t>
      </w:r>
      <w:r w:rsidR="008A335B" w:rsidRPr="001C2F69">
        <w:rPr>
          <w:b/>
          <w:color w:val="auto"/>
        </w:rPr>
        <w:fldChar w:fldCharType="begin"/>
      </w:r>
      <w:r w:rsidR="008A335B" w:rsidRPr="001C2F69">
        <w:rPr>
          <w:b/>
          <w:color w:val="auto"/>
        </w:rPr>
        <w:instrText xml:space="preserve"> REF _Ref170914045 \h  \* MERGEFORMAT </w:instrText>
      </w:r>
      <w:r w:rsidR="008A335B" w:rsidRPr="001C2F69">
        <w:rPr>
          <w:b/>
          <w:color w:val="auto"/>
        </w:rPr>
      </w:r>
      <w:r w:rsidR="008A335B" w:rsidRPr="001C2F69">
        <w:rPr>
          <w:b/>
          <w:color w:val="auto"/>
        </w:rPr>
        <w:fldChar w:fldCharType="separate"/>
      </w:r>
      <w:r w:rsidR="009C0D42" w:rsidRPr="009C0D42">
        <w:rPr>
          <w:b/>
          <w:color w:val="auto"/>
        </w:rPr>
        <w:t xml:space="preserve">Figure </w:t>
      </w:r>
      <w:r w:rsidR="009C0D42" w:rsidRPr="009C0D42">
        <w:rPr>
          <w:b/>
          <w:noProof/>
          <w:color w:val="auto"/>
        </w:rPr>
        <w:t>1</w:t>
      </w:r>
      <w:r w:rsidR="008A335B" w:rsidRPr="001C2F69">
        <w:rPr>
          <w:b/>
          <w:color w:val="auto"/>
        </w:rPr>
        <w:fldChar w:fldCharType="end"/>
      </w:r>
      <w:r w:rsidRPr="001C2F69">
        <w:rPr>
          <w:b/>
          <w:color w:val="auto"/>
        </w:rPr>
        <w:t>C</w:t>
      </w:r>
      <w:r w:rsidRPr="001C2F69">
        <w:rPr>
          <w:color w:val="auto"/>
        </w:rPr>
        <w:t xml:space="preserve">).  Elevated </w:t>
      </w:r>
      <w:r w:rsidRPr="001C2F69">
        <w:rPr>
          <w:i/>
          <w:color w:val="auto"/>
        </w:rPr>
        <w:t xml:space="preserve">RRM2 </w:t>
      </w:r>
      <w:r w:rsidRPr="001C2F69">
        <w:rPr>
          <w:color w:val="auto"/>
        </w:rPr>
        <w:t>expression was significantly associated with worse OS in two glioma datasets (Chinese</w:t>
      </w:r>
      <w:r w:rsidRPr="001C2F69">
        <w:rPr>
          <w:color w:val="auto"/>
          <w:spacing w:val="-5"/>
        </w:rPr>
        <w:t xml:space="preserve"> </w:t>
      </w:r>
      <w:r w:rsidRPr="001C2F69">
        <w:rPr>
          <w:color w:val="auto"/>
        </w:rPr>
        <w:t>Glioma</w:t>
      </w:r>
      <w:r w:rsidRPr="001C2F69">
        <w:rPr>
          <w:color w:val="auto"/>
          <w:spacing w:val="-5"/>
        </w:rPr>
        <w:t xml:space="preserve"> </w:t>
      </w:r>
      <w:r w:rsidRPr="001C2F69">
        <w:rPr>
          <w:color w:val="auto"/>
        </w:rPr>
        <w:t>Genome</w:t>
      </w:r>
      <w:r w:rsidRPr="001C2F69">
        <w:rPr>
          <w:color w:val="auto"/>
          <w:spacing w:val="-1"/>
        </w:rPr>
        <w:t xml:space="preserve"> </w:t>
      </w:r>
      <w:r w:rsidRPr="001C2F69">
        <w:rPr>
          <w:color w:val="auto"/>
        </w:rPr>
        <w:t>Atlas</w:t>
      </w:r>
      <w:r w:rsidRPr="001C2F69">
        <w:rPr>
          <w:color w:val="auto"/>
          <w:spacing w:val="-4"/>
        </w:rPr>
        <w:t xml:space="preserve"> </w:t>
      </w:r>
      <w:r w:rsidRPr="001C2F69">
        <w:rPr>
          <w:color w:val="auto"/>
        </w:rPr>
        <w:t>[CGGA]</w:t>
      </w:r>
      <w:r w:rsidRPr="001C2F69">
        <w:rPr>
          <w:color w:val="auto"/>
          <w:spacing w:val="-3"/>
        </w:rPr>
        <w:t xml:space="preserve"> </w:t>
      </w:r>
      <w:r w:rsidRPr="001C2F69">
        <w:rPr>
          <w:color w:val="auto"/>
        </w:rPr>
        <w:t>and</w:t>
      </w:r>
      <w:r w:rsidRPr="001C2F69">
        <w:rPr>
          <w:color w:val="auto"/>
          <w:spacing w:val="-3"/>
        </w:rPr>
        <w:t xml:space="preserve"> </w:t>
      </w:r>
      <w:proofErr w:type="spellStart"/>
      <w:r w:rsidRPr="001C2F69">
        <w:rPr>
          <w:color w:val="auto"/>
        </w:rPr>
        <w:t>RecuR</w:t>
      </w:r>
      <w:proofErr w:type="spellEnd"/>
      <w:r w:rsidRPr="001C2F69">
        <w:rPr>
          <w:color w:val="auto"/>
        </w:rPr>
        <w:t>)</w:t>
      </w:r>
      <w:r w:rsidRPr="001C2F69">
        <w:rPr>
          <w:color w:val="auto"/>
          <w:spacing w:val="-2"/>
        </w:rPr>
        <w:t xml:space="preserve"> </w:t>
      </w:r>
      <w:r w:rsidRPr="001C2F69">
        <w:rPr>
          <w:color w:val="auto"/>
        </w:rPr>
        <w:t>shown</w:t>
      </w:r>
      <w:r w:rsidRPr="001C2F69">
        <w:rPr>
          <w:color w:val="auto"/>
          <w:spacing w:val="-3"/>
        </w:rPr>
        <w:t xml:space="preserve"> </w:t>
      </w:r>
      <w:r w:rsidRPr="001C2F69">
        <w:rPr>
          <w:color w:val="auto"/>
        </w:rPr>
        <w:t xml:space="preserve">in </w:t>
      </w:r>
      <w:r w:rsidR="008A335B" w:rsidRPr="001C2F69">
        <w:rPr>
          <w:b/>
          <w:color w:val="auto"/>
        </w:rPr>
        <w:fldChar w:fldCharType="begin"/>
      </w:r>
      <w:r w:rsidR="008A335B" w:rsidRPr="001C2F69">
        <w:rPr>
          <w:b/>
          <w:color w:val="auto"/>
        </w:rPr>
        <w:instrText xml:space="preserve"> REF _Ref170914045 \h  \* MERGEFORMAT </w:instrText>
      </w:r>
      <w:r w:rsidR="008A335B" w:rsidRPr="001C2F69">
        <w:rPr>
          <w:b/>
          <w:color w:val="auto"/>
        </w:rPr>
      </w:r>
      <w:r w:rsidR="008A335B" w:rsidRPr="001C2F69">
        <w:rPr>
          <w:b/>
          <w:color w:val="auto"/>
        </w:rPr>
        <w:fldChar w:fldCharType="separate"/>
      </w:r>
      <w:r w:rsidR="009C0D42" w:rsidRPr="009C0D42">
        <w:rPr>
          <w:b/>
          <w:color w:val="auto"/>
        </w:rPr>
        <w:t xml:space="preserve">Figure </w:t>
      </w:r>
      <w:r w:rsidR="009C0D42" w:rsidRPr="009C0D42">
        <w:rPr>
          <w:b/>
          <w:noProof/>
          <w:color w:val="auto"/>
        </w:rPr>
        <w:t>1</w:t>
      </w:r>
      <w:r w:rsidR="008A335B" w:rsidRPr="001C2F69">
        <w:rPr>
          <w:b/>
          <w:color w:val="auto"/>
        </w:rPr>
        <w:fldChar w:fldCharType="end"/>
      </w:r>
      <w:r w:rsidRPr="001C2F69">
        <w:rPr>
          <w:b/>
          <w:color w:val="auto"/>
        </w:rPr>
        <w:t>D-E</w:t>
      </w:r>
      <w:r w:rsidRPr="001C2F69">
        <w:rPr>
          <w:color w:val="auto"/>
        </w:rPr>
        <w:t>.</w:t>
      </w:r>
      <w:r w:rsidRPr="001C2F69">
        <w:rPr>
          <w:color w:val="auto"/>
          <w:spacing w:val="-5"/>
        </w:rPr>
        <w:t xml:space="preserve">  </w:t>
      </w:r>
      <w:r w:rsidRPr="001C2F69">
        <w:rPr>
          <w:color w:val="auto"/>
        </w:rPr>
        <w:t>Furthermore,</w:t>
      </w:r>
      <w:r w:rsidRPr="001C2F69">
        <w:rPr>
          <w:color w:val="auto"/>
          <w:spacing w:val="-3"/>
        </w:rPr>
        <w:t xml:space="preserve"> </w:t>
      </w:r>
      <w:proofErr w:type="spellStart"/>
      <w:r w:rsidRPr="001C2F69">
        <w:rPr>
          <w:color w:val="auto"/>
        </w:rPr>
        <w:t>uni</w:t>
      </w:r>
      <w:proofErr w:type="spellEnd"/>
      <w:r w:rsidRPr="001C2F69">
        <w:rPr>
          <w:color w:val="auto"/>
        </w:rPr>
        <w:t>-</w:t>
      </w:r>
      <w:r w:rsidRPr="001C2F69">
        <w:rPr>
          <w:color w:val="auto"/>
          <w:spacing w:val="-4"/>
        </w:rPr>
        <w:t xml:space="preserve"> </w:t>
      </w:r>
      <w:r w:rsidRPr="001C2F69">
        <w:rPr>
          <w:color w:val="auto"/>
        </w:rPr>
        <w:t>and</w:t>
      </w:r>
      <w:r w:rsidRPr="001C2F69">
        <w:rPr>
          <w:color w:val="auto"/>
          <w:spacing w:val="-5"/>
        </w:rPr>
        <w:t xml:space="preserve"> </w:t>
      </w:r>
      <w:r w:rsidRPr="001C2F69">
        <w:rPr>
          <w:color w:val="auto"/>
        </w:rPr>
        <w:t>multivariable</w:t>
      </w:r>
      <w:r w:rsidRPr="001C2F69">
        <w:rPr>
          <w:color w:val="auto"/>
          <w:spacing w:val="-5"/>
        </w:rPr>
        <w:t xml:space="preserve"> </w:t>
      </w:r>
      <w:r w:rsidRPr="001C2F69">
        <w:rPr>
          <w:color w:val="auto"/>
        </w:rPr>
        <w:t xml:space="preserve">analyses found </w:t>
      </w:r>
      <w:r w:rsidRPr="001C2F69">
        <w:rPr>
          <w:i/>
          <w:color w:val="auto"/>
        </w:rPr>
        <w:t xml:space="preserve">RRM2 </w:t>
      </w:r>
      <w:r w:rsidRPr="001C2F69">
        <w:rPr>
          <w:color w:val="auto"/>
        </w:rPr>
        <w:t xml:space="preserve">expression to be significantly associated with poor survival. </w:t>
      </w:r>
      <w:r w:rsidRPr="001C2F69">
        <w:rPr>
          <w:color w:val="auto"/>
          <w:spacing w:val="28"/>
          <w:position w:val="6"/>
          <w:sz w:val="13"/>
        </w:rPr>
        <w:t xml:space="preserve"> </w:t>
      </w:r>
      <w:r w:rsidRPr="001C2F69">
        <w:rPr>
          <w:color w:val="auto"/>
        </w:rPr>
        <w:t>Altogether, RRM2 plays a role in sustaining aggressive forms of glioma and could serve as a potential therapeutic target.</w:t>
      </w:r>
    </w:p>
    <w:p w14:paraId="128AA3C8" w14:textId="77777777" w:rsidR="00F1722E" w:rsidRPr="001C2F69" w:rsidRDefault="00F1722E" w:rsidP="00673475">
      <w:pPr>
        <w:suppressAutoHyphens/>
        <w:rPr>
          <w:color w:val="auto"/>
        </w:rPr>
      </w:pPr>
    </w:p>
    <w:p w14:paraId="786088FC" w14:textId="604CBF38" w:rsidR="00381B30" w:rsidRDefault="00381B30" w:rsidP="00381B30">
      <w:pPr>
        <w:keepNext/>
        <w:suppressAutoHyphens/>
      </w:pPr>
    </w:p>
    <w:p w14:paraId="0B491388" w14:textId="167A9FE3" w:rsidR="002160B0" w:rsidRDefault="002160B0" w:rsidP="00381B30">
      <w:pPr>
        <w:keepNext/>
        <w:suppressAutoHyphens/>
      </w:pPr>
      <w:r>
        <w:rPr>
          <w:noProof/>
          <w:snapToGrid/>
        </w:rPr>
        <w:drawing>
          <wp:inline distT="0" distB="0" distL="0" distR="0" wp14:anchorId="79548414" wp14:editId="0314D4B7">
            <wp:extent cx="5943600" cy="4265930"/>
            <wp:effectExtent l="0" t="0" r="0" b="1270"/>
            <wp:docPr id="1721005859" name="Picture 1" descr="A collage of graphs and cha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005859" name="Picture 1" descr="A collage of graphs and charts&#10;&#10;Description automatically generated"/>
                    <pic:cNvPicPr/>
                  </pic:nvPicPr>
                  <pic:blipFill>
                    <a:blip r:embed="rId18"/>
                    <a:stretch>
                      <a:fillRect/>
                    </a:stretch>
                  </pic:blipFill>
                  <pic:spPr>
                    <a:xfrm>
                      <a:off x="0" y="0"/>
                      <a:ext cx="5943600" cy="4265930"/>
                    </a:xfrm>
                    <a:prstGeom prst="rect">
                      <a:avLst/>
                    </a:prstGeom>
                  </pic:spPr>
                </pic:pic>
              </a:graphicData>
            </a:graphic>
          </wp:inline>
        </w:drawing>
      </w:r>
    </w:p>
    <w:p w14:paraId="55C9DB55" w14:textId="4E6B7E26" w:rsidR="00F1722E" w:rsidRPr="007F2922" w:rsidRDefault="00381B30" w:rsidP="00381B30">
      <w:pPr>
        <w:pStyle w:val="Caption"/>
        <w:rPr>
          <w:color w:val="auto"/>
        </w:rPr>
      </w:pPr>
      <w:bookmarkStart w:id="16" w:name="_Ref170914045"/>
      <w:r w:rsidRPr="001C2F69">
        <w:rPr>
          <w:b/>
          <w:bCs/>
        </w:rPr>
        <w:t xml:space="preserve">Figure </w:t>
      </w:r>
      <w:r w:rsidRPr="001C2F69">
        <w:rPr>
          <w:b/>
          <w:bCs/>
        </w:rPr>
        <w:fldChar w:fldCharType="begin"/>
      </w:r>
      <w:r w:rsidRPr="001C2F69">
        <w:rPr>
          <w:b/>
          <w:bCs/>
        </w:rPr>
        <w:instrText xml:space="preserve"> SEQ Figure \* ARABIC </w:instrText>
      </w:r>
      <w:r w:rsidRPr="001C2F69">
        <w:rPr>
          <w:b/>
          <w:bCs/>
        </w:rPr>
        <w:fldChar w:fldCharType="separate"/>
      </w:r>
      <w:r w:rsidR="009C0D42">
        <w:rPr>
          <w:b/>
          <w:bCs/>
          <w:noProof/>
        </w:rPr>
        <w:t>1</w:t>
      </w:r>
      <w:r w:rsidRPr="001C2F69">
        <w:rPr>
          <w:b/>
          <w:bCs/>
        </w:rPr>
        <w:fldChar w:fldCharType="end"/>
      </w:r>
      <w:bookmarkEnd w:id="16"/>
      <w:r w:rsidRPr="001C2F69">
        <w:rPr>
          <w:b/>
          <w:bCs/>
        </w:rPr>
        <w:t>.</w:t>
      </w:r>
      <w:r w:rsidR="009022B2" w:rsidRPr="001C2F69">
        <w:rPr>
          <w:b/>
          <w:bCs/>
        </w:rPr>
        <w:t xml:space="preserve"> RRM2 expression is elevated in GBM and associated with worse </w:t>
      </w:r>
      <w:r w:rsidR="000C6E71">
        <w:rPr>
          <w:b/>
          <w:bCs/>
        </w:rPr>
        <w:t>OS</w:t>
      </w:r>
      <w:r w:rsidR="009022B2" w:rsidRPr="001C2F69">
        <w:rPr>
          <w:b/>
          <w:bCs/>
        </w:rPr>
        <w:t>.</w:t>
      </w:r>
      <w:r w:rsidR="00793049" w:rsidRPr="00424C8C">
        <w:rPr>
          <w:b/>
          <w:bCs/>
        </w:rPr>
        <w:t xml:space="preserve"> </w:t>
      </w:r>
      <w:r w:rsidR="00793049" w:rsidRPr="00424C8C">
        <w:t>(</w:t>
      </w:r>
      <w:r w:rsidR="00793049">
        <w:t>A) RRM2 mRNA expression in The Cancer Genome Atlas</w:t>
      </w:r>
      <w:r w:rsidR="00CD0B66">
        <w:t xml:space="preserve"> (TGCA)</w:t>
      </w:r>
      <w:r w:rsidR="00793049">
        <w:t xml:space="preserve"> GBM samples compared to normal tissue. (B) </w:t>
      </w:r>
      <w:r w:rsidR="00793049">
        <w:rPr>
          <w:i/>
          <w:iCs/>
        </w:rPr>
        <w:t>RRM2</w:t>
      </w:r>
      <w:r w:rsidR="00793049">
        <w:t xml:space="preserve"> expression by histologic tumor grade across all cancer types in T</w:t>
      </w:r>
      <w:r w:rsidR="00CD0B66">
        <w:t xml:space="preserve">GCA. (C) </w:t>
      </w:r>
      <w:r w:rsidR="00CD0B66">
        <w:rPr>
          <w:i/>
          <w:iCs/>
        </w:rPr>
        <w:t xml:space="preserve">RRM2 </w:t>
      </w:r>
      <w:r w:rsidR="00CD0B66">
        <w:t xml:space="preserve">expression by isocitrate dehydrogenase (IDH) status. (D) </w:t>
      </w:r>
      <w:r w:rsidR="000C6E71">
        <w:t>OS</w:t>
      </w:r>
      <w:r w:rsidR="00CD0B66">
        <w:t xml:space="preserve"> from CGGA study cohort </w:t>
      </w:r>
      <w:r w:rsidR="00AF470B">
        <w:t xml:space="preserve">by </w:t>
      </w:r>
      <w:r w:rsidR="00AF470B">
        <w:rPr>
          <w:i/>
          <w:iCs/>
        </w:rPr>
        <w:t>RRM2</w:t>
      </w:r>
      <w:r w:rsidR="00AF470B">
        <w:t xml:space="preserve"> expression levels. (E) </w:t>
      </w:r>
      <w:r w:rsidR="000C6E71">
        <w:t>OS</w:t>
      </w:r>
      <w:r w:rsidR="00AF470B">
        <w:t xml:space="preserve"> from </w:t>
      </w:r>
      <w:proofErr w:type="spellStart"/>
      <w:r w:rsidR="00AF470B">
        <w:t>RecuR</w:t>
      </w:r>
      <w:proofErr w:type="spellEnd"/>
      <w:r w:rsidR="00AF470B">
        <w:t xml:space="preserve"> study cohort by </w:t>
      </w:r>
      <w:r w:rsidR="00AF470B">
        <w:rPr>
          <w:i/>
          <w:iCs/>
        </w:rPr>
        <w:t xml:space="preserve">RRM2 </w:t>
      </w:r>
      <w:r w:rsidR="00AF470B">
        <w:t>expression levels</w:t>
      </w:r>
      <w:r w:rsidR="00040462">
        <w:t xml:space="preserve">. p&lt;0.05: *, p&lt;0.01: **, </w:t>
      </w:r>
      <w:r w:rsidR="00542DBB">
        <w:t>p&lt;0.001: ***, p&lt;0.0001: ****</w:t>
      </w:r>
      <w:r w:rsidR="00F868D3">
        <w:t xml:space="preserve"> </w:t>
      </w:r>
      <w:r w:rsidR="00F868D3" w:rsidRPr="001C2F69">
        <w:rPr>
          <w:color w:val="auto"/>
        </w:rPr>
        <w:t xml:space="preserve">(Corrales-Guerrero </w:t>
      </w:r>
      <w:r w:rsidR="00F868D3" w:rsidRPr="001C2F69">
        <w:rPr>
          <w:i/>
          <w:iCs/>
          <w:color w:val="auto"/>
        </w:rPr>
        <w:t xml:space="preserve">et al., </w:t>
      </w:r>
      <w:r w:rsidR="00F868D3" w:rsidRPr="001C2F69">
        <w:rPr>
          <w:color w:val="auto"/>
        </w:rPr>
        <w:t>2023</w:t>
      </w:r>
      <w:r w:rsidR="00F868D3" w:rsidRPr="007F2922">
        <w:rPr>
          <w:color w:val="auto"/>
        </w:rPr>
        <w:t>)</w:t>
      </w:r>
      <w:r w:rsidR="00542DBB" w:rsidRPr="007F2922">
        <w:rPr>
          <w:color w:val="auto"/>
        </w:rPr>
        <w:t>.</w:t>
      </w:r>
    </w:p>
    <w:p w14:paraId="5154FF87" w14:textId="77777777" w:rsidR="00673475" w:rsidRPr="007F2922" w:rsidRDefault="00673475" w:rsidP="00673475">
      <w:pPr>
        <w:suppressAutoHyphens/>
        <w:rPr>
          <w:color w:val="auto"/>
        </w:rPr>
      </w:pPr>
    </w:p>
    <w:p w14:paraId="44DBCBBD" w14:textId="7F95AC19" w:rsidR="00673475" w:rsidRPr="007F2922" w:rsidRDefault="00673475" w:rsidP="00673475">
      <w:pPr>
        <w:suppressAutoHyphens/>
        <w:rPr>
          <w:color w:val="auto"/>
        </w:rPr>
      </w:pPr>
      <w:r w:rsidRPr="007F2922">
        <w:rPr>
          <w:color w:val="auto"/>
        </w:rPr>
        <w:t>Radiation clonogenic assays were performed using LN229 and U87MG/EGFRvIII GBM cells lines to test the radiosensitizing</w:t>
      </w:r>
      <w:r w:rsidRPr="007F2922">
        <w:rPr>
          <w:color w:val="auto"/>
          <w:spacing w:val="-2"/>
        </w:rPr>
        <w:t xml:space="preserve"> </w:t>
      </w:r>
      <w:r w:rsidRPr="007F2922">
        <w:rPr>
          <w:color w:val="auto"/>
        </w:rPr>
        <w:t>effect</w:t>
      </w:r>
      <w:r w:rsidRPr="007F2922">
        <w:rPr>
          <w:color w:val="auto"/>
          <w:spacing w:val="-4"/>
        </w:rPr>
        <w:t xml:space="preserve"> </w:t>
      </w:r>
      <w:r w:rsidRPr="007F2922">
        <w:rPr>
          <w:color w:val="auto"/>
        </w:rPr>
        <w:t>of</w:t>
      </w:r>
      <w:r w:rsidRPr="007F2922">
        <w:rPr>
          <w:color w:val="auto"/>
          <w:spacing w:val="-4"/>
        </w:rPr>
        <w:t xml:space="preserve"> </w:t>
      </w:r>
      <w:r w:rsidRPr="007F2922">
        <w:rPr>
          <w:color w:val="auto"/>
        </w:rPr>
        <w:t>triapine</w:t>
      </w:r>
      <w:r w:rsidR="007F2922" w:rsidRPr="007F2922">
        <w:rPr>
          <w:color w:val="auto"/>
        </w:rPr>
        <w:t xml:space="preserve"> (Corrales-Guerrero </w:t>
      </w:r>
      <w:r w:rsidR="007F2922" w:rsidRPr="007F2922">
        <w:rPr>
          <w:i/>
          <w:iCs/>
          <w:color w:val="auto"/>
        </w:rPr>
        <w:t xml:space="preserve">et al., </w:t>
      </w:r>
      <w:r w:rsidR="007F2922" w:rsidRPr="007F2922">
        <w:rPr>
          <w:color w:val="auto"/>
        </w:rPr>
        <w:t>2023)</w:t>
      </w:r>
      <w:r w:rsidRPr="007F2922">
        <w:rPr>
          <w:color w:val="auto"/>
        </w:rPr>
        <w:t>.</w:t>
      </w:r>
      <w:r w:rsidRPr="007F2922">
        <w:rPr>
          <w:color w:val="auto"/>
          <w:spacing w:val="-4"/>
        </w:rPr>
        <w:t xml:space="preserve">  </w:t>
      </w:r>
      <w:r w:rsidRPr="007F2922">
        <w:rPr>
          <w:color w:val="auto"/>
        </w:rPr>
        <w:t>Cell</w:t>
      </w:r>
      <w:r w:rsidRPr="007F2922">
        <w:rPr>
          <w:color w:val="auto"/>
          <w:spacing w:val="-5"/>
        </w:rPr>
        <w:t xml:space="preserve"> </w:t>
      </w:r>
      <w:r w:rsidRPr="007F2922">
        <w:rPr>
          <w:color w:val="auto"/>
        </w:rPr>
        <w:t>lines</w:t>
      </w:r>
      <w:r w:rsidRPr="007F2922">
        <w:rPr>
          <w:color w:val="auto"/>
          <w:spacing w:val="-3"/>
        </w:rPr>
        <w:t xml:space="preserve"> </w:t>
      </w:r>
      <w:r w:rsidRPr="007F2922">
        <w:rPr>
          <w:color w:val="auto"/>
        </w:rPr>
        <w:t>were</w:t>
      </w:r>
      <w:r w:rsidRPr="007F2922">
        <w:rPr>
          <w:color w:val="auto"/>
          <w:spacing w:val="-4"/>
        </w:rPr>
        <w:t xml:space="preserve"> </w:t>
      </w:r>
      <w:r w:rsidRPr="007F2922">
        <w:rPr>
          <w:color w:val="auto"/>
        </w:rPr>
        <w:t>treated</w:t>
      </w:r>
      <w:r w:rsidRPr="007F2922">
        <w:rPr>
          <w:color w:val="auto"/>
          <w:spacing w:val="-5"/>
        </w:rPr>
        <w:t xml:space="preserve"> </w:t>
      </w:r>
      <w:r w:rsidRPr="007F2922">
        <w:rPr>
          <w:color w:val="auto"/>
        </w:rPr>
        <w:t>with</w:t>
      </w:r>
      <w:r w:rsidRPr="007F2922">
        <w:rPr>
          <w:color w:val="auto"/>
          <w:spacing w:val="-5"/>
        </w:rPr>
        <w:t xml:space="preserve"> </w:t>
      </w:r>
      <w:r w:rsidRPr="007F2922">
        <w:rPr>
          <w:color w:val="auto"/>
        </w:rPr>
        <w:t>triapine</w:t>
      </w:r>
      <w:r w:rsidRPr="007F2922">
        <w:rPr>
          <w:color w:val="auto"/>
          <w:spacing w:val="-4"/>
        </w:rPr>
        <w:t xml:space="preserve"> </w:t>
      </w:r>
      <w:r w:rsidRPr="007F2922">
        <w:rPr>
          <w:color w:val="auto"/>
        </w:rPr>
        <w:t>(1</w:t>
      </w:r>
      <w:r w:rsidR="00327919" w:rsidRPr="007F2922">
        <w:rPr>
          <w:color w:val="auto"/>
        </w:rPr>
        <w:t>mc</w:t>
      </w:r>
      <w:r w:rsidRPr="007F2922">
        <w:rPr>
          <w:color w:val="auto"/>
        </w:rPr>
        <w:t>M)</w:t>
      </w:r>
      <w:r w:rsidRPr="007F2922">
        <w:rPr>
          <w:color w:val="auto"/>
          <w:spacing w:val="-1"/>
        </w:rPr>
        <w:t xml:space="preserve"> </w:t>
      </w:r>
      <w:r w:rsidRPr="007F2922">
        <w:rPr>
          <w:color w:val="auto"/>
        </w:rPr>
        <w:t>or</w:t>
      </w:r>
      <w:r w:rsidRPr="007F2922">
        <w:rPr>
          <w:color w:val="auto"/>
          <w:spacing w:val="-4"/>
        </w:rPr>
        <w:t xml:space="preserve"> </w:t>
      </w:r>
      <w:r w:rsidRPr="007F2922">
        <w:rPr>
          <w:color w:val="auto"/>
        </w:rPr>
        <w:t>control</w:t>
      </w:r>
      <w:r w:rsidRPr="007F2922">
        <w:rPr>
          <w:color w:val="auto"/>
          <w:spacing w:val="-5"/>
        </w:rPr>
        <w:t xml:space="preserve"> </w:t>
      </w:r>
      <w:r w:rsidRPr="007F2922">
        <w:rPr>
          <w:color w:val="auto"/>
        </w:rPr>
        <w:t>(DMSO)</w:t>
      </w:r>
      <w:r w:rsidRPr="007F2922">
        <w:rPr>
          <w:color w:val="auto"/>
          <w:spacing w:val="-3"/>
        </w:rPr>
        <w:t xml:space="preserve"> </w:t>
      </w:r>
      <w:r w:rsidRPr="007F2922">
        <w:rPr>
          <w:color w:val="auto"/>
        </w:rPr>
        <w:t>for</w:t>
      </w:r>
      <w:r w:rsidRPr="007F2922">
        <w:rPr>
          <w:color w:val="auto"/>
          <w:spacing w:val="-1"/>
        </w:rPr>
        <w:t xml:space="preserve"> </w:t>
      </w:r>
      <w:r w:rsidRPr="007F2922">
        <w:rPr>
          <w:color w:val="auto"/>
        </w:rPr>
        <w:t>24</w:t>
      </w:r>
      <w:r w:rsidRPr="007F2922">
        <w:rPr>
          <w:color w:val="auto"/>
          <w:spacing w:val="-2"/>
        </w:rPr>
        <w:t xml:space="preserve"> </w:t>
      </w:r>
      <w:r w:rsidRPr="007F2922">
        <w:rPr>
          <w:color w:val="auto"/>
        </w:rPr>
        <w:t>hours and</w:t>
      </w:r>
      <w:r w:rsidRPr="007F2922">
        <w:rPr>
          <w:color w:val="auto"/>
          <w:spacing w:val="-4"/>
        </w:rPr>
        <w:t xml:space="preserve"> </w:t>
      </w:r>
      <w:r w:rsidRPr="007F2922">
        <w:rPr>
          <w:color w:val="auto"/>
        </w:rPr>
        <w:t>subjected to increasing doses of radiation (0,2,4,6,8Gy).  The dose enhancement ratio (DER) was calculated based on the ratio between the effects on each cell line’s viability compared to the control.  A DER greater than 1.2 is generally considered clinically significant.</w:t>
      </w:r>
      <w:r w:rsidRPr="007F2922">
        <w:rPr>
          <w:color w:val="auto"/>
          <w:spacing w:val="-1"/>
        </w:rPr>
        <w:t xml:space="preserve">  </w:t>
      </w:r>
      <w:r w:rsidRPr="007F2922">
        <w:rPr>
          <w:color w:val="auto"/>
        </w:rPr>
        <w:t>Triapine</w:t>
      </w:r>
      <w:r w:rsidRPr="007F2922">
        <w:rPr>
          <w:color w:val="auto"/>
          <w:spacing w:val="-1"/>
        </w:rPr>
        <w:t xml:space="preserve"> </w:t>
      </w:r>
      <w:r w:rsidRPr="007F2922">
        <w:rPr>
          <w:color w:val="auto"/>
        </w:rPr>
        <w:t>sensitized LN229</w:t>
      </w:r>
      <w:r w:rsidRPr="007F2922">
        <w:rPr>
          <w:color w:val="auto"/>
          <w:spacing w:val="-1"/>
        </w:rPr>
        <w:t xml:space="preserve"> </w:t>
      </w:r>
      <w:r w:rsidRPr="007F2922">
        <w:rPr>
          <w:color w:val="auto"/>
        </w:rPr>
        <w:t>and</w:t>
      </w:r>
      <w:r w:rsidRPr="007F2922">
        <w:rPr>
          <w:color w:val="auto"/>
          <w:spacing w:val="-2"/>
        </w:rPr>
        <w:t xml:space="preserve"> </w:t>
      </w:r>
      <w:r w:rsidRPr="007F2922">
        <w:rPr>
          <w:color w:val="auto"/>
        </w:rPr>
        <w:t>U87MG/EGFRvIII cells lines with</w:t>
      </w:r>
      <w:r w:rsidRPr="007F2922">
        <w:rPr>
          <w:color w:val="auto"/>
          <w:spacing w:val="-2"/>
        </w:rPr>
        <w:t xml:space="preserve"> </w:t>
      </w:r>
      <w:r w:rsidRPr="007F2922">
        <w:rPr>
          <w:color w:val="auto"/>
        </w:rPr>
        <w:t>DERs of 1.89</w:t>
      </w:r>
      <w:r w:rsidRPr="007F2922">
        <w:rPr>
          <w:color w:val="auto"/>
          <w:spacing w:val="-1"/>
        </w:rPr>
        <w:t xml:space="preserve"> </w:t>
      </w:r>
      <w:r w:rsidRPr="007F2922">
        <w:rPr>
          <w:color w:val="auto"/>
        </w:rPr>
        <w:t>and 1.25, respectively (</w:t>
      </w:r>
      <w:r w:rsidR="0075284B" w:rsidRPr="007F2922">
        <w:rPr>
          <w:b/>
          <w:color w:val="auto"/>
        </w:rPr>
        <w:fldChar w:fldCharType="begin"/>
      </w:r>
      <w:r w:rsidR="0075284B" w:rsidRPr="007F2922">
        <w:rPr>
          <w:color w:val="auto"/>
        </w:rPr>
        <w:instrText xml:space="preserve"> REF _Ref171586643 \h </w:instrText>
      </w:r>
      <w:r w:rsidR="0075284B" w:rsidRPr="007F2922">
        <w:rPr>
          <w:b/>
          <w:color w:val="auto"/>
        </w:rPr>
      </w:r>
      <w:r w:rsidR="0075284B" w:rsidRPr="007F2922">
        <w:rPr>
          <w:b/>
          <w:color w:val="auto"/>
        </w:rPr>
        <w:fldChar w:fldCharType="separate"/>
      </w:r>
      <w:r w:rsidR="009C0D42" w:rsidRPr="00260820">
        <w:rPr>
          <w:b/>
          <w:bCs/>
        </w:rPr>
        <w:t xml:space="preserve">Figure </w:t>
      </w:r>
      <w:r w:rsidR="009C0D42">
        <w:rPr>
          <w:b/>
          <w:bCs/>
          <w:noProof/>
        </w:rPr>
        <w:t>2</w:t>
      </w:r>
      <w:r w:rsidR="0075284B" w:rsidRPr="007F2922">
        <w:rPr>
          <w:b/>
          <w:color w:val="auto"/>
        </w:rPr>
        <w:fldChar w:fldCharType="end"/>
      </w:r>
      <w:r w:rsidRPr="007F2922">
        <w:rPr>
          <w:b/>
          <w:color w:val="auto"/>
        </w:rPr>
        <w:t>A-B</w:t>
      </w:r>
      <w:r w:rsidRPr="007F2922">
        <w:rPr>
          <w:color w:val="auto"/>
        </w:rPr>
        <w:t>).  Similar</w:t>
      </w:r>
      <w:r w:rsidRPr="007F2922">
        <w:rPr>
          <w:color w:val="auto"/>
          <w:spacing w:val="-1"/>
        </w:rPr>
        <w:t xml:space="preserve"> </w:t>
      </w:r>
      <w:r w:rsidRPr="007F2922">
        <w:rPr>
          <w:color w:val="auto"/>
        </w:rPr>
        <w:t>effects were</w:t>
      </w:r>
      <w:r w:rsidRPr="007F2922">
        <w:rPr>
          <w:color w:val="auto"/>
          <w:spacing w:val="-1"/>
        </w:rPr>
        <w:t xml:space="preserve"> </w:t>
      </w:r>
      <w:r w:rsidRPr="007F2922">
        <w:rPr>
          <w:color w:val="auto"/>
        </w:rPr>
        <w:t>observed in an ionizing radiation-resistant</w:t>
      </w:r>
      <w:r w:rsidRPr="007F2922">
        <w:rPr>
          <w:color w:val="auto"/>
          <w:spacing w:val="-1"/>
        </w:rPr>
        <w:t xml:space="preserve"> </w:t>
      </w:r>
      <w:r w:rsidRPr="007F2922">
        <w:rPr>
          <w:color w:val="auto"/>
        </w:rPr>
        <w:t>(IRR)-08-387 patient-derived</w:t>
      </w:r>
      <w:r w:rsidRPr="007F2922">
        <w:rPr>
          <w:color w:val="auto"/>
          <w:spacing w:val="-1"/>
        </w:rPr>
        <w:t xml:space="preserve"> </w:t>
      </w:r>
      <w:r w:rsidRPr="007F2922">
        <w:rPr>
          <w:color w:val="auto"/>
        </w:rPr>
        <w:t>primary GBM cell line which resulted in a DER of 1.41 (</w:t>
      </w:r>
      <w:r w:rsidR="0075284B" w:rsidRPr="007F2922">
        <w:rPr>
          <w:b/>
          <w:color w:val="auto"/>
        </w:rPr>
        <w:fldChar w:fldCharType="begin"/>
      </w:r>
      <w:r w:rsidR="0075284B" w:rsidRPr="007F2922">
        <w:rPr>
          <w:color w:val="auto"/>
        </w:rPr>
        <w:instrText xml:space="preserve"> REF _Ref171586643 \h </w:instrText>
      </w:r>
      <w:r w:rsidR="0075284B" w:rsidRPr="007F2922">
        <w:rPr>
          <w:b/>
          <w:color w:val="auto"/>
        </w:rPr>
      </w:r>
      <w:r w:rsidR="0075284B" w:rsidRPr="007F2922">
        <w:rPr>
          <w:b/>
          <w:color w:val="auto"/>
        </w:rPr>
        <w:fldChar w:fldCharType="separate"/>
      </w:r>
      <w:r w:rsidR="009C0D42" w:rsidRPr="00260820">
        <w:rPr>
          <w:b/>
          <w:bCs/>
        </w:rPr>
        <w:t xml:space="preserve">Figure </w:t>
      </w:r>
      <w:r w:rsidR="009C0D42">
        <w:rPr>
          <w:b/>
          <w:bCs/>
          <w:noProof/>
        </w:rPr>
        <w:t>2</w:t>
      </w:r>
      <w:r w:rsidR="0075284B" w:rsidRPr="007F2922">
        <w:rPr>
          <w:b/>
          <w:color w:val="auto"/>
        </w:rPr>
        <w:fldChar w:fldCharType="end"/>
      </w:r>
      <w:r w:rsidRPr="007F2922">
        <w:rPr>
          <w:b/>
          <w:color w:val="auto"/>
        </w:rPr>
        <w:t>C</w:t>
      </w:r>
      <w:r w:rsidRPr="007F2922">
        <w:rPr>
          <w:color w:val="auto"/>
        </w:rPr>
        <w:t>).  Additionally, triapine enhanced radiation-induced DNA damage in LN229 and U87MG/EGFRvIII GBM cell lines shown by persistently elevated γH2AX levels and nuclear foci counts 24 hours after radiation (</w:t>
      </w:r>
      <w:r w:rsidR="0075284B" w:rsidRPr="007F2922">
        <w:rPr>
          <w:b/>
          <w:color w:val="auto"/>
        </w:rPr>
        <w:fldChar w:fldCharType="begin"/>
      </w:r>
      <w:r w:rsidR="0075284B" w:rsidRPr="007F2922">
        <w:rPr>
          <w:color w:val="auto"/>
        </w:rPr>
        <w:instrText xml:space="preserve"> REF _Ref171586643 \h </w:instrText>
      </w:r>
      <w:r w:rsidR="0075284B" w:rsidRPr="007F2922">
        <w:rPr>
          <w:b/>
          <w:color w:val="auto"/>
        </w:rPr>
      </w:r>
      <w:r w:rsidR="0075284B" w:rsidRPr="007F2922">
        <w:rPr>
          <w:b/>
          <w:color w:val="auto"/>
        </w:rPr>
        <w:fldChar w:fldCharType="separate"/>
      </w:r>
      <w:r w:rsidR="009C0D42" w:rsidRPr="00260820">
        <w:rPr>
          <w:b/>
          <w:bCs/>
        </w:rPr>
        <w:t xml:space="preserve">Figure </w:t>
      </w:r>
      <w:r w:rsidR="009C0D42">
        <w:rPr>
          <w:b/>
          <w:bCs/>
          <w:noProof/>
        </w:rPr>
        <w:t>2</w:t>
      </w:r>
      <w:r w:rsidR="0075284B" w:rsidRPr="007F2922">
        <w:rPr>
          <w:b/>
          <w:color w:val="auto"/>
        </w:rPr>
        <w:fldChar w:fldCharType="end"/>
      </w:r>
      <w:r w:rsidRPr="007F2922">
        <w:rPr>
          <w:b/>
          <w:color w:val="auto"/>
        </w:rPr>
        <w:t>D-G</w:t>
      </w:r>
      <w:r w:rsidRPr="007F2922">
        <w:rPr>
          <w:color w:val="auto"/>
        </w:rPr>
        <w:t>).</w:t>
      </w:r>
    </w:p>
    <w:p w14:paraId="41B55DBF" w14:textId="58AEA225" w:rsidR="00A86400" w:rsidRDefault="00A86400" w:rsidP="00A86400">
      <w:pPr>
        <w:keepNext/>
        <w:suppressAutoHyphens/>
      </w:pPr>
    </w:p>
    <w:p w14:paraId="65DBA43B" w14:textId="77777777" w:rsidR="00021F10" w:rsidRDefault="00021F10" w:rsidP="00A86400">
      <w:pPr>
        <w:keepNext/>
        <w:suppressAutoHyphens/>
      </w:pPr>
    </w:p>
    <w:p w14:paraId="58373AEC" w14:textId="1AA913A3" w:rsidR="00021F10" w:rsidRDefault="00021F10" w:rsidP="00A86400">
      <w:pPr>
        <w:keepNext/>
        <w:suppressAutoHyphens/>
      </w:pPr>
      <w:r>
        <w:rPr>
          <w:noProof/>
          <w:snapToGrid/>
        </w:rPr>
        <w:drawing>
          <wp:inline distT="0" distB="0" distL="0" distR="0" wp14:anchorId="63631C72" wp14:editId="6C471F26">
            <wp:extent cx="5410200" cy="4905375"/>
            <wp:effectExtent l="0" t="0" r="0" b="9525"/>
            <wp:docPr id="1212408584" name="Picture 1" descr="A diagram of a number of cel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408584" name="Picture 1" descr="A diagram of a number of cells&#10;&#10;Description automatically generated with medium confidence"/>
                    <pic:cNvPicPr/>
                  </pic:nvPicPr>
                  <pic:blipFill>
                    <a:blip r:embed="rId19"/>
                    <a:stretch>
                      <a:fillRect/>
                    </a:stretch>
                  </pic:blipFill>
                  <pic:spPr>
                    <a:xfrm>
                      <a:off x="0" y="0"/>
                      <a:ext cx="5410200" cy="4905375"/>
                    </a:xfrm>
                    <a:prstGeom prst="rect">
                      <a:avLst/>
                    </a:prstGeom>
                  </pic:spPr>
                </pic:pic>
              </a:graphicData>
            </a:graphic>
          </wp:inline>
        </w:drawing>
      </w:r>
    </w:p>
    <w:p w14:paraId="29B46A73" w14:textId="27C6C36A" w:rsidR="003827A9" w:rsidRPr="001A00E5" w:rsidRDefault="00A86400" w:rsidP="00A86400">
      <w:pPr>
        <w:pStyle w:val="Caption"/>
        <w:rPr>
          <w:color w:val="auto"/>
        </w:rPr>
      </w:pPr>
      <w:bookmarkStart w:id="17" w:name="_Ref171586643"/>
      <w:r w:rsidRPr="00260820">
        <w:rPr>
          <w:b/>
          <w:bCs/>
        </w:rPr>
        <w:t xml:space="preserve">Figure </w:t>
      </w:r>
      <w:r w:rsidRPr="00260820">
        <w:rPr>
          <w:b/>
          <w:bCs/>
        </w:rPr>
        <w:fldChar w:fldCharType="begin"/>
      </w:r>
      <w:r w:rsidRPr="00260820">
        <w:rPr>
          <w:b/>
          <w:bCs/>
        </w:rPr>
        <w:instrText xml:space="preserve"> SEQ Figure \* ARABIC </w:instrText>
      </w:r>
      <w:r w:rsidRPr="00260820">
        <w:rPr>
          <w:b/>
          <w:bCs/>
        </w:rPr>
        <w:fldChar w:fldCharType="separate"/>
      </w:r>
      <w:r w:rsidR="009C0D42">
        <w:rPr>
          <w:b/>
          <w:bCs/>
          <w:noProof/>
        </w:rPr>
        <w:t>2</w:t>
      </w:r>
      <w:r w:rsidRPr="00260820">
        <w:rPr>
          <w:b/>
          <w:bCs/>
        </w:rPr>
        <w:fldChar w:fldCharType="end"/>
      </w:r>
      <w:bookmarkEnd w:id="17"/>
      <w:r w:rsidRPr="00260820">
        <w:rPr>
          <w:b/>
          <w:bCs/>
        </w:rPr>
        <w:t>.</w:t>
      </w:r>
      <w:r w:rsidR="00104F29" w:rsidRPr="00260820">
        <w:rPr>
          <w:b/>
          <w:bCs/>
        </w:rPr>
        <w:t xml:space="preserve"> RRM2 inhibitor, triapine, sensitizes GBM cells to radiation. </w:t>
      </w:r>
      <w:r w:rsidR="00104F29">
        <w:t>Radiation clonogenic assays are shown for (A) LN229, (B) U87MG/EGFRvIII,</w:t>
      </w:r>
      <w:r w:rsidR="00E42503">
        <w:t xml:space="preserve"> and</w:t>
      </w:r>
      <w:r w:rsidR="00104F29">
        <w:t xml:space="preserve"> (C) IRR-08-387</w:t>
      </w:r>
      <w:r w:rsidR="00E42503">
        <w:t xml:space="preserve"> cell lines.  (D-E) Western blotting for γH2AX from LN229 and U87MG/EGFRvIII cells treated with control (DMSO) or triapine </w:t>
      </w:r>
      <w:r w:rsidR="00B40D35">
        <w:t>and harvested before or up to 24 hours after irradiation. (F-G) Quantification of γH2AX foci observed in LN229 U87MG/EGFRvIII</w:t>
      </w:r>
      <w:r w:rsidR="006D0A3C">
        <w:t xml:space="preserve"> cells treated with control or triapine after irradiation using immunofluorescence. p&lt;0.05: *, p&lt;0.01: **, p&lt;0.001: ***, p&lt;0.0001: ****</w:t>
      </w:r>
      <w:r w:rsidR="009B433A">
        <w:t xml:space="preserve"> </w:t>
      </w:r>
      <w:r w:rsidR="009B433A" w:rsidRPr="001A00E5">
        <w:rPr>
          <w:color w:val="auto"/>
        </w:rPr>
        <w:t xml:space="preserve">(Corrales-Guerrero </w:t>
      </w:r>
      <w:r w:rsidR="009B433A" w:rsidRPr="001A00E5">
        <w:rPr>
          <w:i/>
          <w:iCs/>
          <w:color w:val="auto"/>
        </w:rPr>
        <w:t xml:space="preserve">et al., </w:t>
      </w:r>
      <w:r w:rsidR="009B433A" w:rsidRPr="001A00E5">
        <w:rPr>
          <w:color w:val="auto"/>
        </w:rPr>
        <w:t>2023).</w:t>
      </w:r>
    </w:p>
    <w:p w14:paraId="3F23E881" w14:textId="77777777" w:rsidR="00673475" w:rsidRPr="001A00E5" w:rsidRDefault="00673475" w:rsidP="00673475">
      <w:pPr>
        <w:suppressAutoHyphens/>
        <w:rPr>
          <w:color w:val="auto"/>
        </w:rPr>
      </w:pPr>
    </w:p>
    <w:p w14:paraId="5F9B6458" w14:textId="0AA2382F" w:rsidR="00673475" w:rsidRPr="00584A9D" w:rsidRDefault="00673475" w:rsidP="00673475">
      <w:pPr>
        <w:suppressAutoHyphens/>
        <w:rPr>
          <w:color w:val="auto"/>
        </w:rPr>
      </w:pPr>
      <w:r w:rsidRPr="001A00E5">
        <w:rPr>
          <w:color w:val="auto"/>
        </w:rPr>
        <w:t>Two</w:t>
      </w:r>
      <w:r w:rsidRPr="001A00E5">
        <w:rPr>
          <w:color w:val="auto"/>
          <w:spacing w:val="-4"/>
        </w:rPr>
        <w:t xml:space="preserve"> </w:t>
      </w:r>
      <w:r w:rsidRPr="001A00E5">
        <w:rPr>
          <w:color w:val="auto"/>
        </w:rPr>
        <w:t>sets</w:t>
      </w:r>
      <w:r w:rsidRPr="001A00E5">
        <w:rPr>
          <w:color w:val="auto"/>
          <w:spacing w:val="-3"/>
        </w:rPr>
        <w:t xml:space="preserve"> </w:t>
      </w:r>
      <w:r w:rsidRPr="001A00E5">
        <w:rPr>
          <w:color w:val="auto"/>
        </w:rPr>
        <w:t>of</w:t>
      </w:r>
      <w:r w:rsidRPr="001A00E5">
        <w:rPr>
          <w:color w:val="auto"/>
          <w:spacing w:val="-1"/>
        </w:rPr>
        <w:t xml:space="preserve"> </w:t>
      </w:r>
      <w:r w:rsidRPr="001A00E5">
        <w:rPr>
          <w:i/>
          <w:color w:val="auto"/>
        </w:rPr>
        <w:t>in</w:t>
      </w:r>
      <w:r w:rsidRPr="001A00E5">
        <w:rPr>
          <w:i/>
          <w:color w:val="auto"/>
          <w:spacing w:val="-4"/>
        </w:rPr>
        <w:t xml:space="preserve"> </w:t>
      </w:r>
      <w:r w:rsidRPr="001A00E5">
        <w:rPr>
          <w:i/>
          <w:color w:val="auto"/>
        </w:rPr>
        <w:t>vivo</w:t>
      </w:r>
      <w:r w:rsidRPr="001A00E5">
        <w:rPr>
          <w:i/>
          <w:color w:val="auto"/>
          <w:spacing w:val="-1"/>
        </w:rPr>
        <w:t xml:space="preserve"> </w:t>
      </w:r>
      <w:r w:rsidRPr="001A00E5">
        <w:rPr>
          <w:color w:val="auto"/>
        </w:rPr>
        <w:t>experiments</w:t>
      </w:r>
      <w:r w:rsidRPr="001A00E5">
        <w:rPr>
          <w:color w:val="auto"/>
          <w:spacing w:val="-3"/>
        </w:rPr>
        <w:t xml:space="preserve"> </w:t>
      </w:r>
      <w:r w:rsidRPr="001A00E5">
        <w:rPr>
          <w:color w:val="auto"/>
        </w:rPr>
        <w:t>were</w:t>
      </w:r>
      <w:r w:rsidRPr="001A00E5">
        <w:rPr>
          <w:color w:val="auto"/>
          <w:spacing w:val="-4"/>
        </w:rPr>
        <w:t xml:space="preserve"> </w:t>
      </w:r>
      <w:r w:rsidRPr="001A00E5">
        <w:rPr>
          <w:color w:val="auto"/>
        </w:rPr>
        <w:t>conducted,</w:t>
      </w:r>
      <w:r w:rsidRPr="001A00E5">
        <w:rPr>
          <w:color w:val="auto"/>
          <w:spacing w:val="-2"/>
        </w:rPr>
        <w:t xml:space="preserve"> </w:t>
      </w:r>
      <w:r w:rsidRPr="001A00E5">
        <w:rPr>
          <w:color w:val="auto"/>
        </w:rPr>
        <w:t>both demonstrating</w:t>
      </w:r>
      <w:r w:rsidRPr="001A00E5">
        <w:rPr>
          <w:color w:val="auto"/>
          <w:spacing w:val="-5"/>
        </w:rPr>
        <w:t xml:space="preserve"> </w:t>
      </w:r>
      <w:r w:rsidRPr="001A00E5">
        <w:rPr>
          <w:color w:val="auto"/>
        </w:rPr>
        <w:t>that</w:t>
      </w:r>
      <w:r w:rsidRPr="001A00E5">
        <w:rPr>
          <w:color w:val="auto"/>
          <w:spacing w:val="-2"/>
        </w:rPr>
        <w:t xml:space="preserve"> </w:t>
      </w:r>
      <w:r w:rsidRPr="001A00E5">
        <w:rPr>
          <w:color w:val="auto"/>
        </w:rPr>
        <w:t>combination</w:t>
      </w:r>
      <w:r w:rsidRPr="001A00E5">
        <w:rPr>
          <w:color w:val="auto"/>
          <w:spacing w:val="-4"/>
        </w:rPr>
        <w:t xml:space="preserve"> </w:t>
      </w:r>
      <w:r w:rsidRPr="001A00E5">
        <w:rPr>
          <w:color w:val="auto"/>
        </w:rPr>
        <w:t>triapine</w:t>
      </w:r>
      <w:r w:rsidRPr="001A00E5">
        <w:rPr>
          <w:color w:val="auto"/>
          <w:spacing w:val="-3"/>
        </w:rPr>
        <w:t xml:space="preserve"> </w:t>
      </w:r>
      <w:r w:rsidRPr="001A00E5">
        <w:rPr>
          <w:color w:val="auto"/>
        </w:rPr>
        <w:t>and</w:t>
      </w:r>
      <w:r w:rsidRPr="001A00E5">
        <w:rPr>
          <w:color w:val="auto"/>
          <w:spacing w:val="-2"/>
        </w:rPr>
        <w:t xml:space="preserve"> </w:t>
      </w:r>
      <w:r w:rsidRPr="001A00E5">
        <w:rPr>
          <w:color w:val="auto"/>
        </w:rPr>
        <w:t>radiation</w:t>
      </w:r>
      <w:r w:rsidRPr="001A00E5">
        <w:rPr>
          <w:color w:val="auto"/>
          <w:spacing w:val="-3"/>
        </w:rPr>
        <w:t xml:space="preserve"> </w:t>
      </w:r>
      <w:r w:rsidRPr="001A00E5">
        <w:rPr>
          <w:color w:val="auto"/>
        </w:rPr>
        <w:t>led</w:t>
      </w:r>
      <w:r w:rsidRPr="001A00E5">
        <w:rPr>
          <w:color w:val="auto"/>
          <w:spacing w:val="-3"/>
        </w:rPr>
        <w:t xml:space="preserve"> </w:t>
      </w:r>
      <w:r w:rsidRPr="001A00E5">
        <w:rPr>
          <w:color w:val="auto"/>
        </w:rPr>
        <w:t>to the largest reduction in tumor growth</w:t>
      </w:r>
      <w:r w:rsidR="001A00E5" w:rsidRPr="001A00E5">
        <w:rPr>
          <w:color w:val="auto"/>
        </w:rPr>
        <w:t xml:space="preserve"> (Corrales-Guerrero </w:t>
      </w:r>
      <w:r w:rsidR="001A00E5" w:rsidRPr="001A00E5">
        <w:rPr>
          <w:i/>
          <w:iCs/>
          <w:color w:val="auto"/>
        </w:rPr>
        <w:t xml:space="preserve">et al., </w:t>
      </w:r>
      <w:r w:rsidR="001A00E5" w:rsidRPr="001A00E5">
        <w:rPr>
          <w:color w:val="auto"/>
        </w:rPr>
        <w:t>2023)</w:t>
      </w:r>
      <w:r w:rsidRPr="001A00E5">
        <w:rPr>
          <w:color w:val="auto"/>
        </w:rPr>
        <w:t>.  In the first set, U87MGEGFRvIII cells were subcutaneously injected into the flanks</w:t>
      </w:r>
      <w:r w:rsidRPr="001A00E5">
        <w:rPr>
          <w:color w:val="auto"/>
          <w:spacing w:val="40"/>
        </w:rPr>
        <w:t xml:space="preserve"> </w:t>
      </w:r>
      <w:r w:rsidRPr="001A00E5">
        <w:rPr>
          <w:color w:val="auto"/>
        </w:rPr>
        <w:t>of athymic nude mice.  Once tumors reached 100-200 mm</w:t>
      </w:r>
      <w:r w:rsidRPr="001A00E5">
        <w:rPr>
          <w:color w:val="auto"/>
          <w:position w:val="6"/>
          <w:sz w:val="13"/>
        </w:rPr>
        <w:t>3</w:t>
      </w:r>
      <w:r w:rsidRPr="001A00E5">
        <w:rPr>
          <w:color w:val="auto"/>
        </w:rPr>
        <w:t>, mice were randomized into one of four groups: control, triapine alone, radiation alone, or combination triapine and radiation.  In the groups receiving radiation, 4Gy per day was delivered for 5 consecutive days (total of 20Gy).  Triapine (10mg/kg) was injected intraperitoneally 2 hours prior to</w:t>
      </w:r>
      <w:r w:rsidRPr="001A00E5">
        <w:rPr>
          <w:color w:val="auto"/>
          <w:spacing w:val="40"/>
        </w:rPr>
        <w:t xml:space="preserve"> </w:t>
      </w:r>
      <w:r w:rsidRPr="001A00E5">
        <w:rPr>
          <w:color w:val="auto"/>
        </w:rPr>
        <w:t xml:space="preserve">radiation therapy.  Tumor size was measured at least twice per week using digital calipers.  </w:t>
      </w:r>
      <w:r w:rsidR="009B433A" w:rsidRPr="001A00E5">
        <w:rPr>
          <w:b/>
          <w:color w:val="auto"/>
        </w:rPr>
        <w:fldChar w:fldCharType="begin"/>
      </w:r>
      <w:r w:rsidR="009B433A" w:rsidRPr="001A00E5">
        <w:rPr>
          <w:color w:val="auto"/>
        </w:rPr>
        <w:instrText xml:space="preserve"> REF _Ref171587053 \h </w:instrText>
      </w:r>
      <w:r w:rsidR="009B433A" w:rsidRPr="001A00E5">
        <w:rPr>
          <w:b/>
          <w:color w:val="auto"/>
        </w:rPr>
      </w:r>
      <w:r w:rsidR="009B433A" w:rsidRPr="001A00E5">
        <w:rPr>
          <w:b/>
          <w:color w:val="auto"/>
        </w:rPr>
        <w:fldChar w:fldCharType="separate"/>
      </w:r>
      <w:r w:rsidR="009C0D42" w:rsidRPr="00BB5538">
        <w:rPr>
          <w:b/>
          <w:bCs/>
        </w:rPr>
        <w:t xml:space="preserve">Figure </w:t>
      </w:r>
      <w:r w:rsidR="009C0D42">
        <w:rPr>
          <w:b/>
          <w:bCs/>
          <w:noProof/>
        </w:rPr>
        <w:t>3</w:t>
      </w:r>
      <w:r w:rsidR="009B433A" w:rsidRPr="001A00E5">
        <w:rPr>
          <w:b/>
          <w:color w:val="auto"/>
        </w:rPr>
        <w:fldChar w:fldCharType="end"/>
      </w:r>
      <w:r w:rsidRPr="001A00E5">
        <w:rPr>
          <w:b/>
          <w:color w:val="auto"/>
        </w:rPr>
        <w:t xml:space="preserve">A-B </w:t>
      </w:r>
      <w:r w:rsidRPr="001A00E5">
        <w:rPr>
          <w:color w:val="auto"/>
        </w:rPr>
        <w:t xml:space="preserve">shows combination </w:t>
      </w:r>
      <w:proofErr w:type="spellStart"/>
      <w:r w:rsidRPr="001A00E5">
        <w:rPr>
          <w:color w:val="auto"/>
        </w:rPr>
        <w:lastRenderedPageBreak/>
        <w:t>triapine</w:t>
      </w:r>
      <w:proofErr w:type="spellEnd"/>
      <w:r w:rsidRPr="001A00E5">
        <w:rPr>
          <w:color w:val="auto"/>
        </w:rPr>
        <w:t xml:space="preserve"> and radiation resulted in the longest delay in tumor growth and survival.  Median survival was 10 (control), 9 (triapine </w:t>
      </w:r>
      <w:r w:rsidRPr="00584A9D">
        <w:rPr>
          <w:color w:val="auto"/>
        </w:rPr>
        <w:t>alone), 26 (radiation alone), and 37.5 days (combination triapine + radiation, p&lt;0.05).</w:t>
      </w:r>
    </w:p>
    <w:p w14:paraId="5086469B" w14:textId="61E24C41" w:rsidR="004637DA" w:rsidRPr="00584A9D" w:rsidRDefault="00BB5538" w:rsidP="00673475">
      <w:pPr>
        <w:suppressAutoHyphens/>
        <w:rPr>
          <w:color w:val="auto"/>
        </w:rPr>
      </w:pPr>
      <w:r w:rsidRPr="00584A9D">
        <w:rPr>
          <w:noProof/>
          <w:color w:val="auto"/>
        </w:rPr>
        <mc:AlternateContent>
          <mc:Choice Requires="wps">
            <w:drawing>
              <wp:anchor distT="0" distB="0" distL="114300" distR="114300" simplePos="0" relativeHeight="251658242" behindDoc="0" locked="0" layoutInCell="1" allowOverlap="1" wp14:anchorId="35A65267" wp14:editId="1EF40F86">
                <wp:simplePos x="0" y="0"/>
                <wp:positionH relativeFrom="column">
                  <wp:posOffset>0</wp:posOffset>
                </wp:positionH>
                <wp:positionV relativeFrom="paragraph">
                  <wp:posOffset>1872615</wp:posOffset>
                </wp:positionV>
                <wp:extent cx="6097905" cy="635"/>
                <wp:effectExtent l="0" t="0" r="0" b="0"/>
                <wp:wrapTopAndBottom/>
                <wp:docPr id="1563648571" name="Text Box 1"/>
                <wp:cNvGraphicFramePr/>
                <a:graphic xmlns:a="http://schemas.openxmlformats.org/drawingml/2006/main">
                  <a:graphicData uri="http://schemas.microsoft.com/office/word/2010/wordprocessingShape">
                    <wps:wsp>
                      <wps:cNvSpPr txBox="1"/>
                      <wps:spPr>
                        <a:xfrm>
                          <a:off x="0" y="0"/>
                          <a:ext cx="6097905" cy="635"/>
                        </a:xfrm>
                        <a:prstGeom prst="rect">
                          <a:avLst/>
                        </a:prstGeom>
                        <a:solidFill>
                          <a:prstClr val="white"/>
                        </a:solidFill>
                        <a:ln>
                          <a:noFill/>
                        </a:ln>
                      </wps:spPr>
                      <wps:txbx>
                        <w:txbxContent>
                          <w:p w14:paraId="189B867A" w14:textId="32674380" w:rsidR="00BB5538" w:rsidRPr="009C43FF" w:rsidRDefault="00BB5538" w:rsidP="00BB5538">
                            <w:pPr>
                              <w:pStyle w:val="Caption"/>
                              <w:rPr>
                                <w:noProof/>
                              </w:rPr>
                            </w:pPr>
                            <w:bookmarkStart w:id="18" w:name="_Ref171587053"/>
                            <w:r w:rsidRPr="00BB5538">
                              <w:rPr>
                                <w:b/>
                                <w:bCs/>
                              </w:rPr>
                              <w:t xml:space="preserve">Figure </w:t>
                            </w:r>
                            <w:r w:rsidRPr="00BB5538">
                              <w:rPr>
                                <w:b/>
                                <w:bCs/>
                              </w:rPr>
                              <w:fldChar w:fldCharType="begin"/>
                            </w:r>
                            <w:r w:rsidRPr="00BB5538">
                              <w:rPr>
                                <w:b/>
                                <w:bCs/>
                              </w:rPr>
                              <w:instrText xml:space="preserve"> SEQ Figure \* ARABIC </w:instrText>
                            </w:r>
                            <w:r w:rsidRPr="00BB5538">
                              <w:rPr>
                                <w:b/>
                                <w:bCs/>
                              </w:rPr>
                              <w:fldChar w:fldCharType="separate"/>
                            </w:r>
                            <w:r w:rsidR="007F2922">
                              <w:rPr>
                                <w:b/>
                                <w:bCs/>
                                <w:noProof/>
                              </w:rPr>
                              <w:t>3</w:t>
                            </w:r>
                            <w:r w:rsidRPr="00BB5538">
                              <w:rPr>
                                <w:b/>
                                <w:bCs/>
                              </w:rPr>
                              <w:fldChar w:fldCharType="end"/>
                            </w:r>
                            <w:bookmarkEnd w:id="18"/>
                            <w:r w:rsidRPr="00BB5538">
                              <w:rPr>
                                <w:b/>
                                <w:bCs/>
                              </w:rPr>
                              <w:t xml:space="preserve">. Triapine inhibition of RRM2 sensitizes GBM U87MG/EGFRvIII cells to radiation </w:t>
                            </w:r>
                            <w:r w:rsidRPr="00BB5538">
                              <w:rPr>
                                <w:b/>
                                <w:bCs/>
                                <w:i/>
                                <w:iCs/>
                              </w:rPr>
                              <w:t>in vivo</w:t>
                            </w:r>
                            <w:r w:rsidRPr="00BB5538">
                              <w:rPr>
                                <w:b/>
                                <w:bCs/>
                              </w:rPr>
                              <w:t>.</w:t>
                            </w:r>
                            <w:r>
                              <w:t xml:space="preserve"> (A) Individual tumor size was tracked for the duration of the experiment and normalized to the volume measured at the beginning of the treatment. (B) Kaplan-Meier survival curves showing </w:t>
                            </w:r>
                            <w:r w:rsidR="00352CE9">
                              <w:t>OS</w:t>
                            </w:r>
                            <w:r>
                              <w:t xml:space="preserve"> of mice by treatment groups. **Statistical comparison between the irradiation (IR) group and combination triapine + IR group using log-rank test was statistically significant (p=0.0086)</w:t>
                            </w:r>
                            <w:r w:rsidR="001A00E5">
                              <w:t xml:space="preserve"> </w:t>
                            </w:r>
                            <w:r w:rsidR="001A00E5" w:rsidRPr="001C2F69">
                              <w:rPr>
                                <w:color w:val="auto"/>
                              </w:rPr>
                              <w:t xml:space="preserve">(Corrales-Guerrero </w:t>
                            </w:r>
                            <w:r w:rsidR="001A00E5" w:rsidRPr="001C2F69">
                              <w:rPr>
                                <w:i/>
                                <w:iCs/>
                                <w:color w:val="auto"/>
                              </w:rPr>
                              <w:t xml:space="preserve">et al., </w:t>
                            </w:r>
                            <w:r w:rsidR="001A00E5" w:rsidRPr="001C2F69">
                              <w:rPr>
                                <w:color w:val="auto"/>
                              </w:rPr>
                              <w:t>2023)</w:t>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5A65267" id="_x0000_t202" coordsize="21600,21600" o:spt="202" path="m,l,21600r21600,l21600,xe">
                <v:stroke joinstyle="miter"/>
                <v:path gradientshapeok="t" o:connecttype="rect"/>
              </v:shapetype>
              <v:shape id="Text Box 1" o:spid="_x0000_s1026" type="#_x0000_t202" style="position:absolute;margin-left:0;margin-top:147.45pt;width:480.15pt;height:.0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" stroked="f">
                <v:textbox style="mso-fit-shape-to-text:t" inset="0,0,0,0">
                  <w:txbxContent>
                    <w:p w14:paraId="189B867A" w14:textId="32674380" w:rsidR="00BB5538" w:rsidRPr="009C43FF" w:rsidRDefault="00BB5538" w:rsidP="00BB5538">
                      <w:pPr>
                        <w:pStyle w:val="Caption"/>
                        <w:rPr>
                          <w:noProof/>
                        </w:rPr>
                      </w:pPr>
                      <w:bookmarkStart w:id="19" w:name="_Ref171587053"/>
                      <w:r w:rsidRPr="00BB5538">
                        <w:rPr>
                          <w:b/>
                          <w:bCs/>
                        </w:rPr>
                        <w:t xml:space="preserve">Figure </w:t>
                      </w:r>
                      <w:r w:rsidRPr="00BB5538">
                        <w:rPr>
                          <w:b/>
                          <w:bCs/>
                        </w:rPr>
                        <w:fldChar w:fldCharType="begin"/>
                      </w:r>
                      <w:r w:rsidRPr="00BB5538">
                        <w:rPr>
                          <w:b/>
                          <w:bCs/>
                        </w:rPr>
                        <w:instrText xml:space="preserve"> SEQ Figure \* ARABIC </w:instrText>
                      </w:r>
                      <w:r w:rsidRPr="00BB5538">
                        <w:rPr>
                          <w:b/>
                          <w:bCs/>
                        </w:rPr>
                        <w:fldChar w:fldCharType="separate"/>
                      </w:r>
                      <w:r w:rsidR="007F2922">
                        <w:rPr>
                          <w:b/>
                          <w:bCs/>
                          <w:noProof/>
                        </w:rPr>
                        <w:t>3</w:t>
                      </w:r>
                      <w:r w:rsidRPr="00BB5538">
                        <w:rPr>
                          <w:b/>
                          <w:bCs/>
                        </w:rPr>
                        <w:fldChar w:fldCharType="end"/>
                      </w:r>
                      <w:bookmarkEnd w:id="19"/>
                      <w:r w:rsidRPr="00BB5538">
                        <w:rPr>
                          <w:b/>
                          <w:bCs/>
                        </w:rPr>
                        <w:t xml:space="preserve">. Triapine inhibition of RRM2 sensitizes GBM U87MG/EGFRvIII cells to radiation </w:t>
                      </w:r>
                      <w:r w:rsidRPr="00BB5538">
                        <w:rPr>
                          <w:b/>
                          <w:bCs/>
                          <w:i/>
                          <w:iCs/>
                        </w:rPr>
                        <w:t>in vivo</w:t>
                      </w:r>
                      <w:r w:rsidRPr="00BB5538">
                        <w:rPr>
                          <w:b/>
                          <w:bCs/>
                        </w:rPr>
                        <w:t>.</w:t>
                      </w:r>
                      <w:r>
                        <w:t xml:space="preserve"> (A) Individual tumor size was tracked for the duration of the experiment and normalized to the volume measured at the beginning of the treatment. (B) Kaplan-Meier survival curves showing </w:t>
                      </w:r>
                      <w:r w:rsidR="00352CE9">
                        <w:t>OS</w:t>
                      </w:r>
                      <w:r>
                        <w:t xml:space="preserve"> of mice by treatment groups. **Statistical comparison between the irradiation (IR) group and combination triapine + IR group using log-rank test was statistically significant (p=0.0086)</w:t>
                      </w:r>
                      <w:r w:rsidR="001A00E5">
                        <w:t xml:space="preserve"> </w:t>
                      </w:r>
                      <w:r w:rsidR="001A00E5" w:rsidRPr="001C2F69">
                        <w:rPr>
                          <w:color w:val="auto"/>
                        </w:rPr>
                        <w:t xml:space="preserve">(Corrales-Guerrero </w:t>
                      </w:r>
                      <w:r w:rsidR="001A00E5" w:rsidRPr="001C2F69">
                        <w:rPr>
                          <w:i/>
                          <w:iCs/>
                          <w:color w:val="auto"/>
                        </w:rPr>
                        <w:t xml:space="preserve">et al., </w:t>
                      </w:r>
                      <w:r w:rsidR="001A00E5" w:rsidRPr="001C2F69">
                        <w:rPr>
                          <w:color w:val="auto"/>
                        </w:rPr>
                        <w:t>2023)</w:t>
                      </w:r>
                      <w:r>
                        <w:t>.</w:t>
                      </w:r>
                    </w:p>
                  </w:txbxContent>
                </v:textbox>
                <w10:wrap type="topAndBottom"/>
              </v:shape>
            </w:pict>
          </mc:Fallback>
        </mc:AlternateContent>
      </w:r>
      <w:r w:rsidR="007841DF" w:rsidRPr="00584A9D">
        <w:rPr>
          <w:noProof/>
          <w:color w:val="auto"/>
        </w:rPr>
        <w:drawing>
          <wp:anchor distT="0" distB="0" distL="0" distR="0" simplePos="0" relativeHeight="251658240" behindDoc="1" locked="0" layoutInCell="1" allowOverlap="1" wp14:anchorId="685D50AC" wp14:editId="0EA8598E">
            <wp:simplePos x="0" y="0"/>
            <wp:positionH relativeFrom="page">
              <wp:posOffset>914400</wp:posOffset>
            </wp:positionH>
            <wp:positionV relativeFrom="paragraph">
              <wp:posOffset>177165</wp:posOffset>
            </wp:positionV>
            <wp:extent cx="6097905" cy="1638300"/>
            <wp:effectExtent l="0" t="0" r="0" b="0"/>
            <wp:wrapTopAndBottom/>
            <wp:docPr id="33" name="Image 33" descr="Figure 3. Triapine inhibition of RRM2 sensitizes GBM U87MG/EGFRvIII cells to radiation in viv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descr="Figure 3. Triapine inhibition of RRM2 sensitizes GBM U87MG/EGFRvIII cells to radiation in vivo."/>
                    <pic:cNvPicPr/>
                  </pic:nvPicPr>
                  <pic:blipFill rotWithShape="1">
                    <a:blip r:embed="rId20" cstate="print"/>
                    <a:srcRect b="20832"/>
                    <a:stretch/>
                  </pic:blipFill>
                  <pic:spPr bwMode="auto">
                    <a:xfrm>
                      <a:off x="0" y="0"/>
                      <a:ext cx="6097905" cy="16383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76568BF" w14:textId="77777777" w:rsidR="00673475" w:rsidRPr="00584A9D" w:rsidRDefault="00673475" w:rsidP="00673475">
      <w:pPr>
        <w:suppressAutoHyphens/>
        <w:rPr>
          <w:color w:val="auto"/>
        </w:rPr>
      </w:pPr>
    </w:p>
    <w:p w14:paraId="38704CFE" w14:textId="259FAABD" w:rsidR="00673475" w:rsidRPr="00584A9D" w:rsidRDefault="00673475" w:rsidP="00673475">
      <w:pPr>
        <w:suppressAutoHyphens/>
        <w:rPr>
          <w:color w:val="auto"/>
        </w:rPr>
      </w:pPr>
      <w:r w:rsidRPr="00584A9D">
        <w:rPr>
          <w:color w:val="auto"/>
        </w:rPr>
        <w:t xml:space="preserve">In the second set of unpublished </w:t>
      </w:r>
      <w:r w:rsidRPr="00584A9D">
        <w:rPr>
          <w:i/>
          <w:iCs/>
          <w:color w:val="auto"/>
        </w:rPr>
        <w:t xml:space="preserve">in vivo </w:t>
      </w:r>
      <w:r w:rsidRPr="00584A9D">
        <w:rPr>
          <w:color w:val="auto"/>
        </w:rPr>
        <w:t>experiments with an orthotopic model, KR158B-luciferase bearing syngeneic GBM cells (</w:t>
      </w:r>
      <w:proofErr w:type="spellStart"/>
      <w:r w:rsidRPr="00584A9D">
        <w:rPr>
          <w:color w:val="auto"/>
        </w:rPr>
        <w:t>Kluc</w:t>
      </w:r>
      <w:proofErr w:type="spellEnd"/>
      <w:r w:rsidRPr="00584A9D">
        <w:rPr>
          <w:color w:val="auto"/>
        </w:rPr>
        <w:t xml:space="preserve"> 2 × 10</w:t>
      </w:r>
      <w:r w:rsidRPr="00584A9D">
        <w:rPr>
          <w:color w:val="auto"/>
          <w:position w:val="6"/>
          <w:sz w:val="13"/>
        </w:rPr>
        <w:t>5</w:t>
      </w:r>
      <w:r w:rsidRPr="00584A9D">
        <w:rPr>
          <w:color w:val="auto"/>
          <w:spacing w:val="26"/>
          <w:position w:val="6"/>
          <w:sz w:val="13"/>
        </w:rPr>
        <w:t xml:space="preserve"> </w:t>
      </w:r>
      <w:r w:rsidRPr="00584A9D">
        <w:rPr>
          <w:color w:val="auto"/>
        </w:rPr>
        <w:t xml:space="preserve">in 2 </w:t>
      </w:r>
      <w:proofErr w:type="spellStart"/>
      <w:r w:rsidRPr="00584A9D">
        <w:rPr>
          <w:color w:val="auto"/>
        </w:rPr>
        <w:t>μL</w:t>
      </w:r>
      <w:proofErr w:type="spellEnd"/>
      <w:r w:rsidRPr="00584A9D">
        <w:rPr>
          <w:color w:val="auto"/>
        </w:rPr>
        <w:t xml:space="preserve"> 1xPBS) were implanted into the brains of immunocompetent C57Bl/6 mice using stereotactic localization.  Seven days after implantation, the mice were randomized into one of the four treatment groups as described in the first set of </w:t>
      </w:r>
      <w:r w:rsidRPr="00584A9D">
        <w:rPr>
          <w:i/>
          <w:iCs/>
          <w:color w:val="auto"/>
        </w:rPr>
        <w:t xml:space="preserve">in vivo </w:t>
      </w:r>
      <w:r w:rsidRPr="00584A9D">
        <w:rPr>
          <w:color w:val="auto"/>
        </w:rPr>
        <w:t xml:space="preserve">experiments.  In the groups receiving radiation, 2Gy per day was delivered for 2 consecutive days (total of 4 </w:t>
      </w:r>
      <w:proofErr w:type="spellStart"/>
      <w:r w:rsidRPr="00584A9D">
        <w:rPr>
          <w:color w:val="auto"/>
        </w:rPr>
        <w:t>Gy</w:t>
      </w:r>
      <w:proofErr w:type="spellEnd"/>
      <w:r w:rsidRPr="00584A9D">
        <w:rPr>
          <w:color w:val="auto"/>
        </w:rPr>
        <w:t>).  Triapine (10 mg/kg) was injected intraperitoneally 2 hours prior to radiation therapy.  Luciferin solution (100 mg/kg) was used for imaging after tumor formation, and IVIS Lumina II imaging platform was used to detect and quantify the signal.  Combination triapine and radiation again led to the largest decrease in luciferase signal by day 21, reflecting the longest tumor growth delay (</w:t>
      </w:r>
      <w:r w:rsidR="00584A9D" w:rsidRPr="00584A9D">
        <w:rPr>
          <w:b/>
          <w:bCs/>
          <w:color w:val="auto"/>
        </w:rPr>
        <w:fldChar w:fldCharType="begin"/>
      </w:r>
      <w:r w:rsidR="00584A9D" w:rsidRPr="00584A9D">
        <w:rPr>
          <w:color w:val="auto"/>
        </w:rPr>
        <w:instrText xml:space="preserve"> REF _Ref171587300 \h </w:instrText>
      </w:r>
      <w:r w:rsidR="00584A9D" w:rsidRPr="00584A9D">
        <w:rPr>
          <w:b/>
          <w:bCs/>
          <w:color w:val="auto"/>
        </w:rPr>
      </w:r>
      <w:r w:rsidR="00584A9D" w:rsidRPr="00584A9D">
        <w:rPr>
          <w:b/>
          <w:bCs/>
          <w:color w:val="auto"/>
        </w:rPr>
        <w:fldChar w:fldCharType="separate"/>
      </w:r>
      <w:r w:rsidR="009C0D42" w:rsidRPr="00584A9D">
        <w:rPr>
          <w:b/>
          <w:bCs/>
        </w:rPr>
        <w:t xml:space="preserve">Figure </w:t>
      </w:r>
      <w:r w:rsidR="009C0D42" w:rsidRPr="00584A9D">
        <w:rPr>
          <w:b/>
          <w:bCs/>
          <w:noProof/>
        </w:rPr>
        <w:t>4</w:t>
      </w:r>
      <w:r w:rsidR="00584A9D" w:rsidRPr="00584A9D">
        <w:rPr>
          <w:b/>
          <w:bCs/>
          <w:color w:val="auto"/>
        </w:rPr>
        <w:fldChar w:fldCharType="end"/>
      </w:r>
      <w:r w:rsidRPr="00584A9D">
        <w:rPr>
          <w:b/>
          <w:bCs/>
          <w:color w:val="auto"/>
        </w:rPr>
        <w:t>A</w:t>
      </w:r>
      <w:r w:rsidRPr="00584A9D">
        <w:rPr>
          <w:color w:val="auto"/>
        </w:rPr>
        <w:t xml:space="preserve">).  The combination treatment group also significantly prolonged </w:t>
      </w:r>
      <w:r w:rsidR="000C6E71">
        <w:rPr>
          <w:color w:val="auto"/>
        </w:rPr>
        <w:t>OS</w:t>
      </w:r>
      <w:r w:rsidRPr="00584A9D">
        <w:rPr>
          <w:color w:val="auto"/>
        </w:rPr>
        <w:t xml:space="preserve"> </w:t>
      </w:r>
      <w:r w:rsidRPr="00584A9D">
        <w:rPr>
          <w:b/>
          <w:bCs/>
          <w:color w:val="auto"/>
        </w:rPr>
        <w:t>(</w:t>
      </w:r>
      <w:r w:rsidR="00584A9D" w:rsidRPr="00584A9D">
        <w:rPr>
          <w:b/>
          <w:bCs/>
          <w:color w:val="auto"/>
        </w:rPr>
        <w:fldChar w:fldCharType="begin"/>
      </w:r>
      <w:r w:rsidR="00584A9D" w:rsidRPr="00584A9D">
        <w:rPr>
          <w:b/>
          <w:bCs/>
          <w:color w:val="auto"/>
        </w:rPr>
        <w:instrText xml:space="preserve"> REF _Ref171587300 \h </w:instrText>
      </w:r>
      <w:r w:rsidR="00584A9D" w:rsidRPr="00584A9D">
        <w:rPr>
          <w:b/>
          <w:bCs/>
          <w:color w:val="auto"/>
        </w:rPr>
      </w:r>
      <w:r w:rsidR="00584A9D" w:rsidRPr="00584A9D">
        <w:rPr>
          <w:b/>
          <w:bCs/>
          <w:color w:val="auto"/>
        </w:rPr>
        <w:fldChar w:fldCharType="separate"/>
      </w:r>
      <w:r w:rsidR="009C0D42" w:rsidRPr="00584A9D">
        <w:rPr>
          <w:b/>
          <w:bCs/>
        </w:rPr>
        <w:t xml:space="preserve">Figure </w:t>
      </w:r>
      <w:r w:rsidR="009C0D42" w:rsidRPr="00584A9D">
        <w:rPr>
          <w:b/>
          <w:bCs/>
          <w:noProof/>
        </w:rPr>
        <w:t>4</w:t>
      </w:r>
      <w:r w:rsidR="00584A9D" w:rsidRPr="00584A9D">
        <w:rPr>
          <w:b/>
          <w:bCs/>
          <w:color w:val="auto"/>
        </w:rPr>
        <w:fldChar w:fldCharType="end"/>
      </w:r>
      <w:r w:rsidRPr="00584A9D">
        <w:rPr>
          <w:b/>
          <w:bCs/>
          <w:color w:val="auto"/>
        </w:rPr>
        <w:t>B</w:t>
      </w:r>
      <w:r w:rsidRPr="00584A9D">
        <w:rPr>
          <w:color w:val="auto"/>
        </w:rPr>
        <w:t>)</w:t>
      </w:r>
      <w:r w:rsidR="00391634" w:rsidRPr="00584A9D">
        <w:rPr>
          <w:color w:val="auto"/>
        </w:rPr>
        <w:t>.</w:t>
      </w:r>
    </w:p>
    <w:p w14:paraId="67E2EF82" w14:textId="77777777" w:rsidR="00391634" w:rsidRPr="00584A9D" w:rsidRDefault="00391634" w:rsidP="00673475">
      <w:pPr>
        <w:suppressAutoHyphens/>
        <w:rPr>
          <w:color w:val="auto"/>
        </w:rPr>
      </w:pPr>
    </w:p>
    <w:p w14:paraId="31F2847C" w14:textId="137E25CA" w:rsidR="00391634" w:rsidRPr="00584A9D" w:rsidRDefault="007F2922" w:rsidP="00673475">
      <w:pPr>
        <w:suppressAutoHyphens/>
        <w:rPr>
          <w:color w:val="auto"/>
        </w:rPr>
      </w:pPr>
      <w:r>
        <w:rPr>
          <w:noProof/>
        </w:rPr>
        <w:lastRenderedPageBreak/>
        <mc:AlternateContent>
          <mc:Choice Requires="wps">
            <w:drawing>
              <wp:anchor distT="0" distB="0" distL="114300" distR="114300" simplePos="0" relativeHeight="251658243" behindDoc="0" locked="0" layoutInCell="1" allowOverlap="1" wp14:anchorId="697C838F" wp14:editId="787ECEDF">
                <wp:simplePos x="0" y="0"/>
                <wp:positionH relativeFrom="column">
                  <wp:posOffset>0</wp:posOffset>
                </wp:positionH>
                <wp:positionV relativeFrom="paragraph">
                  <wp:posOffset>2074545</wp:posOffset>
                </wp:positionV>
                <wp:extent cx="6109335" cy="635"/>
                <wp:effectExtent l="0" t="0" r="0" b="0"/>
                <wp:wrapTopAndBottom/>
                <wp:docPr id="1404803327" name="Text Box 1"/>
                <wp:cNvGraphicFramePr/>
                <a:graphic xmlns:a="http://schemas.openxmlformats.org/drawingml/2006/main">
                  <a:graphicData uri="http://schemas.microsoft.com/office/word/2010/wordprocessingShape">
                    <wps:wsp>
                      <wps:cNvSpPr txBox="1"/>
                      <wps:spPr>
                        <a:xfrm>
                          <a:off x="0" y="0"/>
                          <a:ext cx="6109335" cy="635"/>
                        </a:xfrm>
                        <a:prstGeom prst="rect">
                          <a:avLst/>
                        </a:prstGeom>
                        <a:solidFill>
                          <a:prstClr val="white"/>
                        </a:solidFill>
                        <a:ln>
                          <a:noFill/>
                        </a:ln>
                      </wps:spPr>
                      <wps:txbx>
                        <w:txbxContent>
                          <w:p w14:paraId="5EBCFE8C" w14:textId="6200D77E" w:rsidR="007F2922" w:rsidRPr="00372B9C" w:rsidRDefault="007F2922" w:rsidP="007F2922">
                            <w:pPr>
                              <w:pStyle w:val="Caption"/>
                              <w:rPr>
                                <w:noProof/>
                              </w:rPr>
                            </w:pPr>
                            <w:bookmarkStart w:id="19" w:name="_Ref171587300"/>
                            <w:r w:rsidRPr="00584A9D">
                              <w:rPr>
                                <w:b/>
                                <w:bCs/>
                              </w:rPr>
                              <w:t xml:space="preserve">Figure </w:t>
                            </w:r>
                            <w:r w:rsidRPr="00584A9D">
                              <w:rPr>
                                <w:b/>
                                <w:bCs/>
                              </w:rPr>
                              <w:fldChar w:fldCharType="begin"/>
                            </w:r>
                            <w:r w:rsidRPr="00584A9D">
                              <w:rPr>
                                <w:b/>
                                <w:bCs/>
                              </w:rPr>
                              <w:instrText xml:space="preserve"> SEQ Figure \* ARABIC </w:instrText>
                            </w:r>
                            <w:r w:rsidRPr="00584A9D">
                              <w:rPr>
                                <w:b/>
                                <w:bCs/>
                              </w:rPr>
                              <w:fldChar w:fldCharType="separate"/>
                            </w:r>
                            <w:r w:rsidRPr="00584A9D">
                              <w:rPr>
                                <w:b/>
                                <w:bCs/>
                                <w:noProof/>
                              </w:rPr>
                              <w:t>4</w:t>
                            </w:r>
                            <w:r w:rsidRPr="00584A9D">
                              <w:rPr>
                                <w:b/>
                                <w:bCs/>
                              </w:rPr>
                              <w:fldChar w:fldCharType="end"/>
                            </w:r>
                            <w:bookmarkEnd w:id="19"/>
                            <w:r w:rsidR="00584A9D" w:rsidRPr="00584A9D">
                              <w:rPr>
                                <w:b/>
                                <w:bCs/>
                              </w:rPr>
                              <w:t>. Triapine inhibition of RRM2 sensitizes GBM cells to radiation in intracranial xenograft mouse model.</w:t>
                            </w:r>
                            <w:r w:rsidR="00584A9D">
                              <w:t xml:space="preserve"> (A) Luciferase signal after 21 days by treatment group. (B) Survival of mice by treatment groups.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97C838F" id="_x0000_s1027" type="#_x0000_t202" style="position:absolute;margin-left:0;margin-top:163.35pt;width:481.05pt;height:.0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" stroked="f">
                <v:textbox style="mso-fit-shape-to-text:t" inset="0,0,0,0">
                  <w:txbxContent>
                    <w:p w14:paraId="5EBCFE8C" w14:textId="6200D77E" w:rsidR="007F2922" w:rsidRPr="00372B9C" w:rsidRDefault="007F2922" w:rsidP="007F2922">
                      <w:pPr>
                        <w:pStyle w:val="Caption"/>
                        <w:rPr>
                          <w:noProof/>
                        </w:rPr>
                      </w:pPr>
                      <w:bookmarkStart w:id="21" w:name="_Ref171587300"/>
                      <w:r w:rsidRPr="00584A9D">
                        <w:rPr>
                          <w:b/>
                          <w:bCs/>
                        </w:rPr>
                        <w:t xml:space="preserve">Figure </w:t>
                      </w:r>
                      <w:r w:rsidRPr="00584A9D">
                        <w:rPr>
                          <w:b/>
                          <w:bCs/>
                        </w:rPr>
                        <w:fldChar w:fldCharType="begin"/>
                      </w:r>
                      <w:r w:rsidRPr="00584A9D">
                        <w:rPr>
                          <w:b/>
                          <w:bCs/>
                        </w:rPr>
                        <w:instrText xml:space="preserve"> SEQ Figure \* ARABIC </w:instrText>
                      </w:r>
                      <w:r w:rsidRPr="00584A9D">
                        <w:rPr>
                          <w:b/>
                          <w:bCs/>
                        </w:rPr>
                        <w:fldChar w:fldCharType="separate"/>
                      </w:r>
                      <w:r w:rsidRPr="00584A9D">
                        <w:rPr>
                          <w:b/>
                          <w:bCs/>
                          <w:noProof/>
                        </w:rPr>
                        <w:t>4</w:t>
                      </w:r>
                      <w:r w:rsidRPr="00584A9D">
                        <w:rPr>
                          <w:b/>
                          <w:bCs/>
                        </w:rPr>
                        <w:fldChar w:fldCharType="end"/>
                      </w:r>
                      <w:bookmarkEnd w:id="21"/>
                      <w:r w:rsidR="00584A9D" w:rsidRPr="00584A9D">
                        <w:rPr>
                          <w:b/>
                          <w:bCs/>
                        </w:rPr>
                        <w:t>. Triapine inhibition of RRM2 sensitizes GBM cells to radiation in intracranial xenograft mouse model.</w:t>
                      </w:r>
                      <w:r w:rsidR="00584A9D">
                        <w:t xml:space="preserve"> (A) Luciferase signal after 21 days by treatment group. (B) Survival of mice by treatment groups.</w:t>
                      </w:r>
                    </w:p>
                  </w:txbxContent>
                </v:textbox>
                <w10:wrap type="topAndBottom"/>
              </v:shape>
            </w:pict>
          </mc:Fallback>
        </mc:AlternateContent>
      </w:r>
      <w:r w:rsidR="00391634">
        <w:rPr>
          <w:noProof/>
        </w:rPr>
        <w:drawing>
          <wp:anchor distT="0" distB="0" distL="0" distR="0" simplePos="0" relativeHeight="251658241" behindDoc="1" locked="0" layoutInCell="1" allowOverlap="1" wp14:anchorId="5A9E203F" wp14:editId="39A8D2D6">
            <wp:simplePos x="0" y="0"/>
            <wp:positionH relativeFrom="page">
              <wp:posOffset>914400</wp:posOffset>
            </wp:positionH>
            <wp:positionV relativeFrom="paragraph">
              <wp:posOffset>169545</wp:posOffset>
            </wp:positionV>
            <wp:extent cx="6109335" cy="1847850"/>
            <wp:effectExtent l="0" t="0" r="5715" b="0"/>
            <wp:wrapTopAndBottom/>
            <wp:docPr id="34" name="Image 34" descr="Figure 4. Triapine inhibition of RRM2 sensitizes GBM cells to radiation in intracranial xenograft mouse mod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descr="Figure 4. Triapine inhibition of RRM2 sensitizes GBM cells to radiation in intracranial xenograft mouse model."/>
                    <pic:cNvPicPr/>
                  </pic:nvPicPr>
                  <pic:blipFill rotWithShape="1">
                    <a:blip r:embed="rId21" cstate="print"/>
                    <a:srcRect b="13778"/>
                    <a:stretch/>
                  </pic:blipFill>
                  <pic:spPr bwMode="auto">
                    <a:xfrm>
                      <a:off x="0" y="0"/>
                      <a:ext cx="6109335" cy="18478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2ACFD9C" w14:textId="7394863F" w:rsidR="00855323" w:rsidRPr="00584A9D" w:rsidRDefault="00673475" w:rsidP="00673475">
      <w:pPr>
        <w:suppressAutoHyphens/>
        <w:rPr>
          <w:color w:val="auto"/>
        </w:rPr>
      </w:pPr>
      <w:r w:rsidRPr="00584A9D">
        <w:rPr>
          <w:color w:val="auto"/>
        </w:rPr>
        <w:t>Taken</w:t>
      </w:r>
      <w:r w:rsidRPr="00584A9D">
        <w:rPr>
          <w:color w:val="auto"/>
          <w:spacing w:val="-5"/>
        </w:rPr>
        <w:t xml:space="preserve"> </w:t>
      </w:r>
      <w:r w:rsidRPr="00584A9D">
        <w:rPr>
          <w:color w:val="auto"/>
        </w:rPr>
        <w:t>together,</w:t>
      </w:r>
      <w:r w:rsidRPr="00584A9D">
        <w:rPr>
          <w:color w:val="auto"/>
          <w:spacing w:val="-4"/>
        </w:rPr>
        <w:t xml:space="preserve"> </w:t>
      </w:r>
      <w:r w:rsidRPr="00584A9D">
        <w:rPr>
          <w:color w:val="auto"/>
        </w:rPr>
        <w:t>we</w:t>
      </w:r>
      <w:r w:rsidRPr="00584A9D">
        <w:rPr>
          <w:color w:val="auto"/>
          <w:spacing w:val="-2"/>
        </w:rPr>
        <w:t xml:space="preserve"> </w:t>
      </w:r>
      <w:r w:rsidRPr="00584A9D">
        <w:rPr>
          <w:color w:val="auto"/>
        </w:rPr>
        <w:t>observe</w:t>
      </w:r>
      <w:r w:rsidRPr="00584A9D">
        <w:rPr>
          <w:color w:val="auto"/>
          <w:spacing w:val="-4"/>
        </w:rPr>
        <w:t xml:space="preserve"> </w:t>
      </w:r>
      <w:r w:rsidRPr="00584A9D">
        <w:rPr>
          <w:color w:val="auto"/>
        </w:rPr>
        <w:t>that</w:t>
      </w:r>
      <w:r w:rsidRPr="00584A9D">
        <w:rPr>
          <w:color w:val="auto"/>
          <w:spacing w:val="-1"/>
        </w:rPr>
        <w:t xml:space="preserve"> </w:t>
      </w:r>
      <w:r w:rsidRPr="00584A9D">
        <w:rPr>
          <w:color w:val="auto"/>
        </w:rPr>
        <w:t>triapine</w:t>
      </w:r>
      <w:r w:rsidRPr="00584A9D">
        <w:rPr>
          <w:color w:val="auto"/>
          <w:spacing w:val="-3"/>
        </w:rPr>
        <w:t xml:space="preserve"> </w:t>
      </w:r>
      <w:r w:rsidRPr="00584A9D">
        <w:rPr>
          <w:color w:val="auto"/>
        </w:rPr>
        <w:t>has</w:t>
      </w:r>
      <w:r w:rsidRPr="00584A9D">
        <w:rPr>
          <w:color w:val="auto"/>
          <w:spacing w:val="-1"/>
        </w:rPr>
        <w:t xml:space="preserve"> </w:t>
      </w:r>
      <w:r w:rsidRPr="00584A9D">
        <w:rPr>
          <w:color w:val="auto"/>
        </w:rPr>
        <w:t>potent</w:t>
      </w:r>
      <w:r w:rsidRPr="00584A9D">
        <w:rPr>
          <w:color w:val="auto"/>
          <w:spacing w:val="-1"/>
        </w:rPr>
        <w:t xml:space="preserve"> </w:t>
      </w:r>
      <w:r w:rsidRPr="00584A9D">
        <w:rPr>
          <w:color w:val="auto"/>
        </w:rPr>
        <w:t>radiosensitizing ability</w:t>
      </w:r>
      <w:r w:rsidRPr="00584A9D">
        <w:rPr>
          <w:color w:val="auto"/>
          <w:spacing w:val="-3"/>
        </w:rPr>
        <w:t xml:space="preserve"> </w:t>
      </w:r>
      <w:r w:rsidRPr="00584A9D">
        <w:rPr>
          <w:color w:val="auto"/>
        </w:rPr>
        <w:t>in</w:t>
      </w:r>
      <w:r w:rsidRPr="00584A9D">
        <w:rPr>
          <w:color w:val="auto"/>
          <w:spacing w:val="-4"/>
        </w:rPr>
        <w:t xml:space="preserve"> </w:t>
      </w:r>
      <w:r w:rsidRPr="00584A9D">
        <w:rPr>
          <w:color w:val="auto"/>
        </w:rPr>
        <w:t>GBM</w:t>
      </w:r>
      <w:r w:rsidRPr="00584A9D">
        <w:rPr>
          <w:color w:val="auto"/>
          <w:spacing w:val="-3"/>
        </w:rPr>
        <w:t xml:space="preserve"> </w:t>
      </w:r>
      <w:r w:rsidRPr="00584A9D">
        <w:rPr>
          <w:color w:val="auto"/>
        </w:rPr>
        <w:t>models,</w:t>
      </w:r>
      <w:r w:rsidRPr="00584A9D">
        <w:rPr>
          <w:color w:val="auto"/>
          <w:spacing w:val="-4"/>
        </w:rPr>
        <w:t xml:space="preserve"> </w:t>
      </w:r>
      <w:r w:rsidRPr="00584A9D">
        <w:rPr>
          <w:color w:val="auto"/>
        </w:rPr>
        <w:t>leading</w:t>
      </w:r>
      <w:r w:rsidRPr="00584A9D">
        <w:rPr>
          <w:color w:val="auto"/>
          <w:spacing w:val="-3"/>
        </w:rPr>
        <w:t xml:space="preserve"> </w:t>
      </w:r>
      <w:r w:rsidRPr="00584A9D">
        <w:rPr>
          <w:color w:val="auto"/>
        </w:rPr>
        <w:t>to</w:t>
      </w:r>
      <w:r w:rsidRPr="00584A9D">
        <w:rPr>
          <w:color w:val="auto"/>
          <w:spacing w:val="-5"/>
        </w:rPr>
        <w:t xml:space="preserve"> </w:t>
      </w:r>
      <w:r w:rsidRPr="00584A9D">
        <w:rPr>
          <w:color w:val="auto"/>
        </w:rPr>
        <w:t>enhanced tumor</w:t>
      </w:r>
      <w:r w:rsidRPr="00584A9D">
        <w:rPr>
          <w:color w:val="auto"/>
          <w:spacing w:val="-1"/>
        </w:rPr>
        <w:t xml:space="preserve"> </w:t>
      </w:r>
      <w:r w:rsidRPr="00584A9D">
        <w:rPr>
          <w:color w:val="auto"/>
        </w:rPr>
        <w:t>response and improved</w:t>
      </w:r>
      <w:r w:rsidRPr="00584A9D">
        <w:rPr>
          <w:color w:val="auto"/>
          <w:spacing w:val="-3"/>
        </w:rPr>
        <w:t xml:space="preserve"> </w:t>
      </w:r>
      <w:r w:rsidRPr="00584A9D">
        <w:rPr>
          <w:color w:val="auto"/>
        </w:rPr>
        <w:t>survival to</w:t>
      </w:r>
      <w:r w:rsidRPr="00584A9D">
        <w:rPr>
          <w:color w:val="auto"/>
          <w:spacing w:val="-3"/>
        </w:rPr>
        <w:t xml:space="preserve"> </w:t>
      </w:r>
      <w:r w:rsidRPr="00584A9D">
        <w:rPr>
          <w:color w:val="auto"/>
        </w:rPr>
        <w:t>radiation</w:t>
      </w:r>
      <w:r w:rsidRPr="00584A9D">
        <w:rPr>
          <w:color w:val="auto"/>
          <w:spacing w:val="-2"/>
        </w:rPr>
        <w:t xml:space="preserve"> </w:t>
      </w:r>
      <w:r w:rsidRPr="00584A9D">
        <w:rPr>
          <w:color w:val="auto"/>
        </w:rPr>
        <w:t>therapy</w:t>
      </w:r>
      <w:r w:rsidRPr="00584A9D">
        <w:rPr>
          <w:color w:val="auto"/>
          <w:spacing w:val="-1"/>
        </w:rPr>
        <w:t xml:space="preserve"> </w:t>
      </w:r>
      <w:r w:rsidRPr="00584A9D">
        <w:rPr>
          <w:color w:val="auto"/>
        </w:rPr>
        <w:t xml:space="preserve">both </w:t>
      </w:r>
      <w:r w:rsidRPr="00584A9D">
        <w:rPr>
          <w:i/>
          <w:color w:val="auto"/>
        </w:rPr>
        <w:t>in</w:t>
      </w:r>
      <w:r w:rsidRPr="00584A9D">
        <w:rPr>
          <w:i/>
          <w:color w:val="auto"/>
          <w:spacing w:val="-2"/>
        </w:rPr>
        <w:t xml:space="preserve"> </w:t>
      </w:r>
      <w:r w:rsidRPr="00584A9D">
        <w:rPr>
          <w:i/>
          <w:color w:val="auto"/>
        </w:rPr>
        <w:t xml:space="preserve">vitro </w:t>
      </w:r>
      <w:r w:rsidRPr="00584A9D">
        <w:rPr>
          <w:color w:val="auto"/>
        </w:rPr>
        <w:t>and</w:t>
      </w:r>
      <w:r w:rsidRPr="00584A9D">
        <w:rPr>
          <w:color w:val="auto"/>
          <w:spacing w:val="-2"/>
        </w:rPr>
        <w:t xml:space="preserve"> </w:t>
      </w:r>
      <w:r w:rsidRPr="00584A9D">
        <w:rPr>
          <w:i/>
          <w:color w:val="auto"/>
        </w:rPr>
        <w:t>in</w:t>
      </w:r>
      <w:r w:rsidRPr="00584A9D">
        <w:rPr>
          <w:i/>
          <w:color w:val="auto"/>
          <w:spacing w:val="-2"/>
        </w:rPr>
        <w:t xml:space="preserve"> </w:t>
      </w:r>
      <w:r w:rsidRPr="00584A9D">
        <w:rPr>
          <w:i/>
          <w:color w:val="auto"/>
        </w:rPr>
        <w:t xml:space="preserve">vivo </w:t>
      </w:r>
      <w:r w:rsidRPr="00584A9D">
        <w:rPr>
          <w:color w:val="auto"/>
        </w:rPr>
        <w:t>relative</w:t>
      </w:r>
      <w:r w:rsidRPr="00584A9D">
        <w:rPr>
          <w:color w:val="auto"/>
          <w:spacing w:val="-2"/>
        </w:rPr>
        <w:t xml:space="preserve"> </w:t>
      </w:r>
      <w:r w:rsidRPr="00584A9D">
        <w:rPr>
          <w:color w:val="auto"/>
        </w:rPr>
        <w:t>to radiation</w:t>
      </w:r>
      <w:r w:rsidRPr="00584A9D">
        <w:rPr>
          <w:color w:val="auto"/>
          <w:spacing w:val="-1"/>
        </w:rPr>
        <w:t xml:space="preserve"> </w:t>
      </w:r>
      <w:r w:rsidRPr="00584A9D">
        <w:rPr>
          <w:color w:val="auto"/>
        </w:rPr>
        <w:t>alone. Therefore, we believe triapine is worthy of further clinical exploration for the treatment of GBM.</w:t>
      </w:r>
    </w:p>
    <w:p w14:paraId="276D81EA" w14:textId="77777777" w:rsidR="009E246E" w:rsidRPr="00584A9D" w:rsidRDefault="009E246E" w:rsidP="009E246E">
      <w:pPr>
        <w:tabs>
          <w:tab w:val="left" w:pos="0"/>
          <w:tab w:val="left" w:pos="354"/>
          <w:tab w:val="left" w:pos="710"/>
          <w:tab w:val="left" w:pos="1086"/>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color w:val="auto"/>
        </w:rPr>
      </w:pPr>
    </w:p>
    <w:p w14:paraId="2F1DBC9C" w14:textId="7CAACEDB" w:rsidR="009E246E" w:rsidRPr="00584A9D" w:rsidRDefault="009E246E" w:rsidP="00C94562">
      <w:pPr>
        <w:pStyle w:val="Heading2"/>
        <w:rPr>
          <w:color w:val="auto"/>
        </w:rPr>
      </w:pPr>
      <w:bookmarkStart w:id="20" w:name="_Toc318813001"/>
      <w:bookmarkStart w:id="21" w:name="_Toc176419893"/>
      <w:r w:rsidRPr="00584A9D">
        <w:rPr>
          <w:color w:val="auto"/>
        </w:rPr>
        <w:t>Correlative Studies Background</w:t>
      </w:r>
      <w:bookmarkEnd w:id="20"/>
      <w:bookmarkEnd w:id="21"/>
    </w:p>
    <w:p w14:paraId="22D974E8" w14:textId="77777777" w:rsidR="009E246E" w:rsidRPr="007300F3" w:rsidRDefault="009E246E" w:rsidP="009E246E">
      <w:pPr>
        <w:widowControl/>
      </w:pPr>
      <w:bookmarkStart w:id="22" w:name="_Hlk502770270"/>
    </w:p>
    <w:p w14:paraId="706E9482" w14:textId="40D1294C" w:rsidR="008015AD" w:rsidRPr="00E35456" w:rsidRDefault="002524CC" w:rsidP="002524CC">
      <w:pPr>
        <w:pStyle w:val="Level3Heading"/>
        <w:rPr>
          <w:b/>
          <w:bCs/>
          <w:iCs/>
          <w:color w:val="auto"/>
        </w:rPr>
      </w:pPr>
      <w:r w:rsidRPr="00E35456">
        <w:rPr>
          <w:b/>
          <w:bCs/>
          <w:iCs/>
          <w:color w:val="auto"/>
        </w:rPr>
        <w:t>IDH1/2</w:t>
      </w:r>
    </w:p>
    <w:p w14:paraId="5537BB7D" w14:textId="77777777" w:rsidR="00CE0C12" w:rsidRPr="00E35456" w:rsidRDefault="00CE0C12" w:rsidP="00CE0C12">
      <w:pPr>
        <w:rPr>
          <w:color w:val="auto"/>
        </w:rPr>
      </w:pPr>
    </w:p>
    <w:p w14:paraId="394D539C" w14:textId="046CD592" w:rsidR="00CE0C12" w:rsidRPr="00E35456" w:rsidRDefault="00CE0C12" w:rsidP="00CE0C12">
      <w:pPr>
        <w:pStyle w:val="Level4Heading"/>
        <w:rPr>
          <w:color w:val="auto"/>
        </w:rPr>
      </w:pPr>
      <w:r w:rsidRPr="00E35456">
        <w:rPr>
          <w:color w:val="auto"/>
        </w:rPr>
        <w:t>Biologic rationale:</w:t>
      </w:r>
      <w:r w:rsidR="00B07168" w:rsidRPr="00E35456">
        <w:rPr>
          <w:color w:val="auto"/>
        </w:rPr>
        <w:t xml:space="preserve">  </w:t>
      </w:r>
      <w:r w:rsidR="001B220C" w:rsidRPr="00E35456">
        <w:rPr>
          <w:iCs/>
          <w:color w:val="auto"/>
        </w:rPr>
        <w:t xml:space="preserve">IDH-mutant astrocytic gliomas are considered biologically and prognostically distinct from IDH-wildtype glioblastoma. </w:t>
      </w:r>
      <w:r w:rsidR="009B1DF6" w:rsidRPr="00E35456">
        <w:rPr>
          <w:iCs/>
          <w:color w:val="auto"/>
        </w:rPr>
        <w:t xml:space="preserve"> </w:t>
      </w:r>
      <w:r w:rsidR="001B220C" w:rsidRPr="00E35456">
        <w:rPr>
          <w:iCs/>
          <w:color w:val="auto"/>
        </w:rPr>
        <w:t xml:space="preserve">IDH1/2 mutations in high-grade gliomas have been recognized as a favorable prognostic factor and are associated with favorable disease-free and </w:t>
      </w:r>
      <w:r w:rsidR="000C6E71">
        <w:rPr>
          <w:iCs/>
          <w:color w:val="auto"/>
        </w:rPr>
        <w:t>OS</w:t>
      </w:r>
      <w:r w:rsidR="001B220C" w:rsidRPr="00E35456">
        <w:rPr>
          <w:iCs/>
          <w:color w:val="auto"/>
        </w:rPr>
        <w:t>.</w:t>
      </w:r>
    </w:p>
    <w:p w14:paraId="476E0066" w14:textId="77777777" w:rsidR="00CE0C12" w:rsidRPr="00E35456" w:rsidRDefault="00CE0C12" w:rsidP="00CE0C12">
      <w:pPr>
        <w:rPr>
          <w:color w:val="auto"/>
        </w:rPr>
      </w:pPr>
    </w:p>
    <w:p w14:paraId="15FC1D8E" w14:textId="7688E466" w:rsidR="00CE0C12" w:rsidRPr="00E35456" w:rsidRDefault="00CE0C12" w:rsidP="00CE0C12">
      <w:pPr>
        <w:pStyle w:val="Level4Heading"/>
        <w:rPr>
          <w:color w:val="auto"/>
        </w:rPr>
      </w:pPr>
      <w:r w:rsidRPr="00E35456">
        <w:rPr>
          <w:color w:val="auto"/>
        </w:rPr>
        <w:t>Hypothesis:</w:t>
      </w:r>
      <w:r w:rsidR="00921BAC" w:rsidRPr="00E35456">
        <w:rPr>
          <w:iCs/>
          <w:color w:val="auto"/>
        </w:rPr>
        <w:t xml:space="preserve">  We hypothesize that IDH1/2-mutant gliomas will have favorable clinical outcomes following triapine and re-irradiation for recurrent high-grade astrocytic gliomas.</w:t>
      </w:r>
    </w:p>
    <w:p w14:paraId="6A9296BA" w14:textId="77777777" w:rsidR="00CE0C12" w:rsidRPr="00E35456" w:rsidRDefault="00CE0C12" w:rsidP="00CE0C12">
      <w:pPr>
        <w:rPr>
          <w:color w:val="auto"/>
        </w:rPr>
      </w:pPr>
    </w:p>
    <w:p w14:paraId="10F2A790" w14:textId="6612362D" w:rsidR="00CE0C12" w:rsidRPr="00E35456" w:rsidRDefault="00CE0C12" w:rsidP="00CE0C12">
      <w:pPr>
        <w:pStyle w:val="Level4Heading"/>
        <w:rPr>
          <w:color w:val="auto"/>
        </w:rPr>
      </w:pPr>
      <w:r w:rsidRPr="00E35456">
        <w:rPr>
          <w:color w:val="auto"/>
        </w:rPr>
        <w:t>Relevant preclinical data:</w:t>
      </w:r>
      <w:r w:rsidR="007753F8" w:rsidRPr="00E35456">
        <w:rPr>
          <w:color w:val="auto"/>
        </w:rPr>
        <w:t xml:space="preserve">  </w:t>
      </w:r>
      <w:r w:rsidR="007753F8" w:rsidRPr="00E35456">
        <w:rPr>
          <w:iCs/>
          <w:color w:val="auto"/>
        </w:rPr>
        <w:t xml:space="preserve">In a prospective translational study of 301 patients with glioblastoma in the German Glioma Network, IDH-mutations were associated with significantly prolonged progression-free survival and trend towards prolonged </w:t>
      </w:r>
      <w:r w:rsidR="000C6E71">
        <w:rPr>
          <w:iCs/>
          <w:color w:val="auto"/>
        </w:rPr>
        <w:t>OS</w:t>
      </w:r>
      <w:r w:rsidR="007753F8" w:rsidRPr="00E35456">
        <w:rPr>
          <w:iCs/>
          <w:color w:val="auto"/>
        </w:rPr>
        <w:t xml:space="preserve"> (Weller </w:t>
      </w:r>
      <w:r w:rsidR="007753F8" w:rsidRPr="00E35456">
        <w:rPr>
          <w:i/>
          <w:color w:val="auto"/>
        </w:rPr>
        <w:t>et al.</w:t>
      </w:r>
      <w:r w:rsidR="007753F8" w:rsidRPr="00E35456">
        <w:rPr>
          <w:iCs/>
          <w:color w:val="auto"/>
        </w:rPr>
        <w:t xml:space="preserve">, 2009). </w:t>
      </w:r>
      <w:r w:rsidR="009B1DF6" w:rsidRPr="00E35456">
        <w:rPr>
          <w:iCs/>
          <w:color w:val="auto"/>
        </w:rPr>
        <w:t xml:space="preserve"> </w:t>
      </w:r>
      <w:r w:rsidR="007753F8" w:rsidRPr="00E35456">
        <w:rPr>
          <w:iCs/>
          <w:color w:val="auto"/>
        </w:rPr>
        <w:t xml:space="preserve">Furthermore, the presence of IDH1 mutation was associated with significantly improved survival in all glioma grades and confirmed to be an independent favorable prognostic marker on multivariate analysis (Sanson </w:t>
      </w:r>
      <w:r w:rsidR="007753F8" w:rsidRPr="00E35456">
        <w:rPr>
          <w:i/>
          <w:color w:val="auto"/>
        </w:rPr>
        <w:t>et al.</w:t>
      </w:r>
      <w:r w:rsidR="007753F8" w:rsidRPr="00E35456">
        <w:rPr>
          <w:iCs/>
          <w:color w:val="auto"/>
        </w:rPr>
        <w:t>, 2009).</w:t>
      </w:r>
    </w:p>
    <w:p w14:paraId="215C7CE2" w14:textId="77777777" w:rsidR="002524CC" w:rsidRPr="00E35456" w:rsidRDefault="002524CC" w:rsidP="008015AD">
      <w:pPr>
        <w:rPr>
          <w:iCs/>
          <w:color w:val="auto"/>
          <w:highlight w:val="darkGray"/>
        </w:rPr>
      </w:pPr>
    </w:p>
    <w:p w14:paraId="5302CA22" w14:textId="578087D9" w:rsidR="002524CC" w:rsidRPr="00E35456" w:rsidRDefault="002524CC" w:rsidP="002524CC">
      <w:pPr>
        <w:pStyle w:val="Level3Heading"/>
        <w:rPr>
          <w:b/>
          <w:bCs/>
          <w:iCs/>
          <w:color w:val="auto"/>
        </w:rPr>
      </w:pPr>
      <w:r w:rsidRPr="00E35456">
        <w:rPr>
          <w:b/>
          <w:bCs/>
          <w:iCs/>
          <w:color w:val="auto"/>
        </w:rPr>
        <w:t>MGMT Methylation Status</w:t>
      </w:r>
    </w:p>
    <w:p w14:paraId="7A90977B" w14:textId="77777777" w:rsidR="00CE0C12" w:rsidRPr="00E35456" w:rsidRDefault="00CE0C12" w:rsidP="00CE0C12">
      <w:pPr>
        <w:rPr>
          <w:color w:val="auto"/>
        </w:rPr>
      </w:pPr>
    </w:p>
    <w:p w14:paraId="4A7BE355" w14:textId="0BE80EAF" w:rsidR="00CE0C12" w:rsidRPr="00E35456" w:rsidRDefault="00CE0C12" w:rsidP="00CE0C12">
      <w:pPr>
        <w:pStyle w:val="Level4Heading"/>
        <w:rPr>
          <w:color w:val="auto"/>
        </w:rPr>
      </w:pPr>
      <w:r w:rsidRPr="00E35456">
        <w:rPr>
          <w:color w:val="auto"/>
        </w:rPr>
        <w:t>Biologic rationale:</w:t>
      </w:r>
      <w:r w:rsidR="001C2CF1" w:rsidRPr="00E35456">
        <w:rPr>
          <w:color w:val="auto"/>
        </w:rPr>
        <w:t xml:space="preserve">  </w:t>
      </w:r>
      <w:r w:rsidR="00ED5B86">
        <w:rPr>
          <w:color w:val="auto"/>
        </w:rPr>
        <w:t>O6-</w:t>
      </w:r>
      <w:r w:rsidR="00ED5B86">
        <w:rPr>
          <w:iCs/>
          <w:color w:val="auto"/>
        </w:rPr>
        <w:t>m</w:t>
      </w:r>
      <w:r w:rsidR="00E51D76" w:rsidRPr="00E35456">
        <w:rPr>
          <w:iCs/>
          <w:color w:val="auto"/>
        </w:rPr>
        <w:t>ethyl</w:t>
      </w:r>
      <w:r w:rsidR="00824F44">
        <w:rPr>
          <w:iCs/>
          <w:color w:val="auto"/>
        </w:rPr>
        <w:t>guanine-</w:t>
      </w:r>
      <w:r w:rsidR="001C2CF1" w:rsidRPr="00E35456">
        <w:rPr>
          <w:iCs/>
          <w:color w:val="auto"/>
        </w:rPr>
        <w:t xml:space="preserve">methyltransferase (MGMT) promoter methylation has been considered a positive prognostic factor for glioblastoma and </w:t>
      </w:r>
      <w:r w:rsidR="001C2CF1" w:rsidRPr="00E35456">
        <w:rPr>
          <w:iCs/>
          <w:color w:val="auto"/>
        </w:rPr>
        <w:lastRenderedPageBreak/>
        <w:t>high-grade astrocytic tumors.</w:t>
      </w:r>
    </w:p>
    <w:p w14:paraId="0DCD1A76" w14:textId="77777777" w:rsidR="00CE0C12" w:rsidRPr="00E35456" w:rsidRDefault="00CE0C12" w:rsidP="00CE0C12">
      <w:pPr>
        <w:rPr>
          <w:color w:val="auto"/>
        </w:rPr>
      </w:pPr>
    </w:p>
    <w:p w14:paraId="107CC789" w14:textId="4324C52A" w:rsidR="00CE0C12" w:rsidRPr="00E35456" w:rsidRDefault="00CE0C12" w:rsidP="00CE0C12">
      <w:pPr>
        <w:pStyle w:val="Level4Heading"/>
        <w:rPr>
          <w:color w:val="auto"/>
        </w:rPr>
      </w:pPr>
      <w:r w:rsidRPr="00E35456">
        <w:rPr>
          <w:color w:val="auto"/>
        </w:rPr>
        <w:t>Hypothesis:</w:t>
      </w:r>
      <w:r w:rsidR="0027617D" w:rsidRPr="00E35456">
        <w:rPr>
          <w:color w:val="auto"/>
        </w:rPr>
        <w:t xml:space="preserve">  </w:t>
      </w:r>
      <w:r w:rsidR="0027617D" w:rsidRPr="00E35456">
        <w:rPr>
          <w:iCs/>
          <w:color w:val="auto"/>
        </w:rPr>
        <w:t>We hypothesize that MGMT-promotor methylated gliomas will have favorable clinical outcomes following triapine and re-irradiation for recurrent high-grade astrocytic gliomas.</w:t>
      </w:r>
    </w:p>
    <w:p w14:paraId="1DFF7BC2" w14:textId="77777777" w:rsidR="00CE0C12" w:rsidRPr="00E35456" w:rsidRDefault="00CE0C12" w:rsidP="00CE0C12">
      <w:pPr>
        <w:rPr>
          <w:color w:val="auto"/>
        </w:rPr>
      </w:pPr>
    </w:p>
    <w:p w14:paraId="6D3B82A9" w14:textId="13679682" w:rsidR="00CE0C12" w:rsidRPr="00E35456" w:rsidRDefault="00CE0C12" w:rsidP="00CE0C12">
      <w:pPr>
        <w:pStyle w:val="Level4Heading"/>
        <w:rPr>
          <w:color w:val="auto"/>
        </w:rPr>
      </w:pPr>
      <w:r w:rsidRPr="00E35456">
        <w:rPr>
          <w:color w:val="auto"/>
        </w:rPr>
        <w:t>Relevant preclinical data:</w:t>
      </w:r>
      <w:r w:rsidR="004C0D89" w:rsidRPr="00E35456">
        <w:rPr>
          <w:color w:val="auto"/>
        </w:rPr>
        <w:t xml:space="preserve">  </w:t>
      </w:r>
      <w:r w:rsidR="004C0D89" w:rsidRPr="00E35456">
        <w:rPr>
          <w:iCs/>
          <w:color w:val="auto"/>
        </w:rPr>
        <w:t>EORTC 26981-2298 / NCIC trial (</w:t>
      </w:r>
      <w:r w:rsidR="004C0D89" w:rsidRPr="00E35456">
        <w:rPr>
          <w:i/>
          <w:color w:val="auto"/>
        </w:rPr>
        <w:t>i.e</w:t>
      </w:r>
      <w:r w:rsidR="004C0D89" w:rsidRPr="00E35456">
        <w:rPr>
          <w:iCs/>
          <w:color w:val="auto"/>
        </w:rPr>
        <w:t xml:space="preserve">., </w:t>
      </w:r>
      <w:r w:rsidR="00240430" w:rsidRPr="00E35456">
        <w:rPr>
          <w:iCs/>
          <w:color w:val="auto"/>
        </w:rPr>
        <w:t xml:space="preserve">the </w:t>
      </w:r>
      <w:r w:rsidR="004C0D89" w:rsidRPr="00E35456">
        <w:rPr>
          <w:iCs/>
          <w:color w:val="auto"/>
        </w:rPr>
        <w:t>Stupp trial) demonstrated that MGMT-promoter methylation was the strongest predictor of survival</w:t>
      </w:r>
      <w:r w:rsidR="009439D1" w:rsidRPr="00E35456">
        <w:rPr>
          <w:iCs/>
          <w:color w:val="auto"/>
        </w:rPr>
        <w:t>,</w:t>
      </w:r>
      <w:r w:rsidR="004C0D89" w:rsidRPr="00E35456">
        <w:rPr>
          <w:iCs/>
          <w:color w:val="auto"/>
        </w:rPr>
        <w:t xml:space="preserve"> </w:t>
      </w:r>
      <w:r w:rsidR="00240430" w:rsidRPr="00E35456">
        <w:rPr>
          <w:iCs/>
          <w:color w:val="auto"/>
        </w:rPr>
        <w:t>regardless of</w:t>
      </w:r>
      <w:r w:rsidR="004C0D89" w:rsidRPr="00E35456">
        <w:rPr>
          <w:iCs/>
          <w:color w:val="auto"/>
        </w:rPr>
        <w:t xml:space="preserve"> whether glioblastoma patients were treated with temozolomide plus radiation therapy or radiation therapy alone (</w:t>
      </w:r>
      <w:r w:rsidR="004C0D89" w:rsidRPr="00E35456">
        <w:rPr>
          <w:rStyle w:val="identifier"/>
          <w:color w:val="auto"/>
        </w:rPr>
        <w:t xml:space="preserve">Stupp </w:t>
      </w:r>
      <w:r w:rsidR="004C0D89" w:rsidRPr="00E35456">
        <w:rPr>
          <w:rStyle w:val="identifier"/>
          <w:i/>
          <w:iCs/>
          <w:color w:val="auto"/>
        </w:rPr>
        <w:t>et al.</w:t>
      </w:r>
      <w:r w:rsidR="004C0D89" w:rsidRPr="00E35456">
        <w:rPr>
          <w:rStyle w:val="identifier"/>
          <w:color w:val="auto"/>
        </w:rPr>
        <w:t xml:space="preserve">, </w:t>
      </w:r>
      <w:r w:rsidR="004C0D89" w:rsidRPr="00E35456">
        <w:rPr>
          <w:iCs/>
          <w:color w:val="auto"/>
        </w:rPr>
        <w:t>2009).  RTOG 0525 also provided clear evidence of the positive prognostic</w:t>
      </w:r>
      <w:r w:rsidR="002A4601">
        <w:rPr>
          <w:iCs/>
          <w:color w:val="auto"/>
        </w:rPr>
        <w:t xml:space="preserve"> and predictive</w:t>
      </w:r>
      <w:r w:rsidR="004C0D89" w:rsidRPr="00E35456">
        <w:rPr>
          <w:iCs/>
          <w:color w:val="auto"/>
        </w:rPr>
        <w:t xml:space="preserve"> role of MGMT-promoter methylation as it was associated with significantly improved survival and treatment response (</w:t>
      </w:r>
      <w:hyperlink r:id="rId22" w:tgtFrame="_blank" w:history="1">
        <w:r w:rsidR="004C0D89" w:rsidRPr="00E35456">
          <w:rPr>
            <w:iCs/>
            <w:color w:val="auto"/>
          </w:rPr>
          <w:t>Gilbert</w:t>
        </w:r>
      </w:hyperlink>
      <w:r w:rsidR="004C0D89" w:rsidRPr="00E35456">
        <w:rPr>
          <w:iCs/>
          <w:color w:val="auto"/>
        </w:rPr>
        <w:t xml:space="preserve"> </w:t>
      </w:r>
      <w:r w:rsidR="004C0D89" w:rsidRPr="00E35456">
        <w:rPr>
          <w:i/>
          <w:color w:val="auto"/>
        </w:rPr>
        <w:t>et al.</w:t>
      </w:r>
      <w:r w:rsidR="004C0D89" w:rsidRPr="00E35456">
        <w:rPr>
          <w:iCs/>
          <w:color w:val="auto"/>
        </w:rPr>
        <w:t>, 2013).</w:t>
      </w:r>
    </w:p>
    <w:p w14:paraId="2023B764" w14:textId="77777777" w:rsidR="002524CC" w:rsidRPr="00E35456" w:rsidRDefault="002524CC" w:rsidP="002524CC">
      <w:pPr>
        <w:pStyle w:val="ListParagraph"/>
        <w:rPr>
          <w:iCs/>
          <w:color w:val="auto"/>
        </w:rPr>
      </w:pPr>
    </w:p>
    <w:p w14:paraId="4F3BE43D" w14:textId="5EFB242E" w:rsidR="002524CC" w:rsidRPr="00E35456" w:rsidRDefault="002524CC" w:rsidP="002524CC">
      <w:pPr>
        <w:pStyle w:val="Level3Heading"/>
        <w:rPr>
          <w:b/>
          <w:bCs/>
          <w:iCs/>
          <w:color w:val="auto"/>
        </w:rPr>
      </w:pPr>
      <w:r w:rsidRPr="00E35456">
        <w:rPr>
          <w:b/>
          <w:bCs/>
          <w:iCs/>
          <w:color w:val="auto"/>
        </w:rPr>
        <w:t>Whole Exome Sequencing</w:t>
      </w:r>
      <w:r w:rsidR="00A94C52" w:rsidRPr="00E35456">
        <w:rPr>
          <w:b/>
          <w:bCs/>
          <w:iCs/>
          <w:color w:val="auto"/>
        </w:rPr>
        <w:t xml:space="preserve"> (</w:t>
      </w:r>
      <w:r w:rsidR="006C179F" w:rsidRPr="00E35456">
        <w:rPr>
          <w:b/>
          <w:bCs/>
          <w:iCs/>
          <w:color w:val="auto"/>
        </w:rPr>
        <w:t>T</w:t>
      </w:r>
      <w:r w:rsidR="00A94C52" w:rsidRPr="00E35456">
        <w:rPr>
          <w:b/>
          <w:bCs/>
          <w:iCs/>
          <w:color w:val="auto"/>
        </w:rPr>
        <w:t>issue</w:t>
      </w:r>
      <w:r w:rsidR="006C179F" w:rsidRPr="00E35456">
        <w:rPr>
          <w:b/>
          <w:bCs/>
          <w:iCs/>
          <w:color w:val="auto"/>
        </w:rPr>
        <w:t>-</w:t>
      </w:r>
      <w:r w:rsidR="00A94C52" w:rsidRPr="00E35456">
        <w:rPr>
          <w:b/>
          <w:bCs/>
          <w:iCs/>
          <w:color w:val="auto"/>
        </w:rPr>
        <w:t xml:space="preserve"> and </w:t>
      </w:r>
      <w:r w:rsidR="006C179F" w:rsidRPr="00E35456">
        <w:rPr>
          <w:b/>
          <w:bCs/>
          <w:iCs/>
          <w:color w:val="auto"/>
        </w:rPr>
        <w:t>B</w:t>
      </w:r>
      <w:r w:rsidR="00A94C52" w:rsidRPr="00E35456">
        <w:rPr>
          <w:b/>
          <w:bCs/>
          <w:iCs/>
          <w:color w:val="auto"/>
        </w:rPr>
        <w:t>lood</w:t>
      </w:r>
      <w:r w:rsidR="006C179F" w:rsidRPr="00E35456">
        <w:rPr>
          <w:b/>
          <w:bCs/>
          <w:iCs/>
          <w:color w:val="auto"/>
        </w:rPr>
        <w:t>-</w:t>
      </w:r>
      <w:r w:rsidR="00A94C52" w:rsidRPr="00E35456">
        <w:rPr>
          <w:b/>
          <w:bCs/>
          <w:iCs/>
          <w:color w:val="auto"/>
        </w:rPr>
        <w:t>based)</w:t>
      </w:r>
    </w:p>
    <w:p w14:paraId="504227BD" w14:textId="77777777" w:rsidR="00CE0C12" w:rsidRPr="00E35456" w:rsidRDefault="00CE0C12" w:rsidP="00CE0C12">
      <w:pPr>
        <w:rPr>
          <w:color w:val="auto"/>
        </w:rPr>
      </w:pPr>
    </w:p>
    <w:p w14:paraId="543B60E9" w14:textId="101812CA" w:rsidR="00CE0C12" w:rsidRPr="00E35456" w:rsidRDefault="00CE0C12" w:rsidP="00CE0C12">
      <w:pPr>
        <w:pStyle w:val="Level4Heading"/>
        <w:rPr>
          <w:color w:val="auto"/>
        </w:rPr>
      </w:pPr>
      <w:r w:rsidRPr="00E35456">
        <w:rPr>
          <w:color w:val="auto"/>
        </w:rPr>
        <w:t>Biologic rationale:</w:t>
      </w:r>
      <w:r w:rsidR="00B85516" w:rsidRPr="00E35456">
        <w:rPr>
          <w:color w:val="auto"/>
        </w:rPr>
        <w:t xml:space="preserve">  </w:t>
      </w:r>
      <w:r w:rsidR="00B85516" w:rsidRPr="00E35456">
        <w:rPr>
          <w:iCs/>
          <w:color w:val="auto"/>
        </w:rPr>
        <w:t xml:space="preserve">RRM2 is a target of many signaling pathways frequently dysregulated in cancer such as </w:t>
      </w:r>
      <w:r w:rsidR="00B85516" w:rsidRPr="00E35456">
        <w:rPr>
          <w:i/>
          <w:color w:val="auto"/>
        </w:rPr>
        <w:t xml:space="preserve">TP53, KRAS, </w:t>
      </w:r>
      <w:r w:rsidR="00B85516" w:rsidRPr="00E35456">
        <w:rPr>
          <w:iCs/>
          <w:color w:val="auto"/>
        </w:rPr>
        <w:t>and</w:t>
      </w:r>
      <w:r w:rsidR="00B85516" w:rsidRPr="00E35456">
        <w:rPr>
          <w:i/>
          <w:color w:val="auto"/>
        </w:rPr>
        <w:t xml:space="preserve"> mTOR</w:t>
      </w:r>
      <w:r w:rsidR="00B85516" w:rsidRPr="00E35456">
        <w:rPr>
          <w:iCs/>
          <w:color w:val="auto"/>
        </w:rPr>
        <w:t xml:space="preserve">. </w:t>
      </w:r>
      <w:r w:rsidR="009439D1" w:rsidRPr="00E35456">
        <w:rPr>
          <w:iCs/>
          <w:color w:val="auto"/>
        </w:rPr>
        <w:t xml:space="preserve"> </w:t>
      </w:r>
      <w:r w:rsidR="00B85516" w:rsidRPr="00E35456">
        <w:rPr>
          <w:iCs/>
          <w:color w:val="auto"/>
        </w:rPr>
        <w:t>However, it is currently unknown if key genes along these pathways are potential predictive biomarkers of response to treatment with triapine combined with radiation therapy.</w:t>
      </w:r>
    </w:p>
    <w:p w14:paraId="0501B532" w14:textId="77777777" w:rsidR="00CE0C12" w:rsidRPr="00E35456" w:rsidRDefault="00CE0C12" w:rsidP="00CE0C12">
      <w:pPr>
        <w:rPr>
          <w:color w:val="auto"/>
        </w:rPr>
      </w:pPr>
    </w:p>
    <w:p w14:paraId="2D90FDE1" w14:textId="7D0ADCF1" w:rsidR="00CE0C12" w:rsidRPr="00E35456" w:rsidRDefault="00CE0C12" w:rsidP="00CE0C12">
      <w:pPr>
        <w:pStyle w:val="Level4Heading"/>
        <w:rPr>
          <w:color w:val="auto"/>
        </w:rPr>
      </w:pPr>
      <w:r w:rsidRPr="00E35456">
        <w:rPr>
          <w:color w:val="auto"/>
        </w:rPr>
        <w:t>Hypothesis:</w:t>
      </w:r>
      <w:r w:rsidR="00B82F38" w:rsidRPr="00E35456">
        <w:rPr>
          <w:color w:val="auto"/>
        </w:rPr>
        <w:t xml:space="preserve">  </w:t>
      </w:r>
      <w:r w:rsidR="00B82F38" w:rsidRPr="00E35456">
        <w:rPr>
          <w:iCs/>
          <w:color w:val="auto"/>
        </w:rPr>
        <w:t xml:space="preserve">We hypothesize there is an association with genetic mutations along </w:t>
      </w:r>
      <w:r w:rsidR="00B82F38" w:rsidRPr="00E35456">
        <w:rPr>
          <w:i/>
          <w:color w:val="auto"/>
        </w:rPr>
        <w:t xml:space="preserve">TP53, KRAS, </w:t>
      </w:r>
      <w:r w:rsidR="00B82F38" w:rsidRPr="00E35456">
        <w:rPr>
          <w:iCs/>
          <w:color w:val="auto"/>
        </w:rPr>
        <w:t>and</w:t>
      </w:r>
      <w:r w:rsidR="00B82F38" w:rsidRPr="00E35456">
        <w:rPr>
          <w:i/>
          <w:color w:val="auto"/>
        </w:rPr>
        <w:t xml:space="preserve"> mTOR pathways</w:t>
      </w:r>
      <w:r w:rsidR="00B82F38" w:rsidRPr="00E35456">
        <w:rPr>
          <w:iCs/>
          <w:color w:val="auto"/>
        </w:rPr>
        <w:t xml:space="preserve"> with tumor response and clinical outcomes.</w:t>
      </w:r>
    </w:p>
    <w:p w14:paraId="2E687BDA" w14:textId="77777777" w:rsidR="00CE0C12" w:rsidRPr="00E35456" w:rsidRDefault="00CE0C12" w:rsidP="00CE0C12">
      <w:pPr>
        <w:rPr>
          <w:color w:val="auto"/>
        </w:rPr>
      </w:pPr>
    </w:p>
    <w:p w14:paraId="79642F3C" w14:textId="03FF96CD" w:rsidR="00CE0C12" w:rsidRPr="00E35456" w:rsidRDefault="00CE0C12" w:rsidP="00CE0C12">
      <w:pPr>
        <w:pStyle w:val="Level4Heading"/>
        <w:rPr>
          <w:color w:val="auto"/>
        </w:rPr>
      </w:pPr>
      <w:r w:rsidRPr="00E35456">
        <w:rPr>
          <w:color w:val="auto"/>
        </w:rPr>
        <w:t>Relevant preclinical data:</w:t>
      </w:r>
      <w:r w:rsidR="008E6170" w:rsidRPr="00E35456">
        <w:rPr>
          <w:color w:val="auto"/>
        </w:rPr>
        <w:t xml:space="preserve">  </w:t>
      </w:r>
      <w:r w:rsidR="008E6170" w:rsidRPr="00E35456">
        <w:rPr>
          <w:iCs/>
          <w:color w:val="auto"/>
        </w:rPr>
        <w:t xml:space="preserve">Balanced deoxyribonucleotide pools are essential for genomic stability and cell survival. </w:t>
      </w:r>
      <w:r w:rsidR="009439D1" w:rsidRPr="00E35456">
        <w:rPr>
          <w:iCs/>
          <w:color w:val="auto"/>
        </w:rPr>
        <w:t xml:space="preserve"> </w:t>
      </w:r>
      <w:r w:rsidR="008E6170" w:rsidRPr="00E35456">
        <w:rPr>
          <w:i/>
          <w:color w:val="auto"/>
        </w:rPr>
        <w:t>P53</w:t>
      </w:r>
      <w:r w:rsidR="008E6170" w:rsidRPr="00E35456">
        <w:rPr>
          <w:iCs/>
          <w:color w:val="auto"/>
        </w:rPr>
        <w:t xml:space="preserve"> has demonstrated to suppress </w:t>
      </w:r>
      <w:r w:rsidR="004240A5" w:rsidRPr="00E35456">
        <w:rPr>
          <w:iCs/>
          <w:color w:val="auto"/>
        </w:rPr>
        <w:t xml:space="preserve">RNR </w:t>
      </w:r>
      <w:r w:rsidR="008E6170" w:rsidRPr="00E35456">
        <w:rPr>
          <w:iCs/>
          <w:color w:val="auto"/>
        </w:rPr>
        <w:t xml:space="preserve">and RRM2 via inhibiting mammalian target of rapamycin complex 1 (mTORC1) (He </w:t>
      </w:r>
      <w:r w:rsidR="008E6170" w:rsidRPr="00E35456">
        <w:rPr>
          <w:i/>
          <w:color w:val="auto"/>
        </w:rPr>
        <w:t>et al.</w:t>
      </w:r>
      <w:r w:rsidR="008E6170" w:rsidRPr="00E35456">
        <w:rPr>
          <w:iCs/>
          <w:color w:val="auto"/>
        </w:rPr>
        <w:t xml:space="preserve">, 2017; Shen </w:t>
      </w:r>
      <w:r w:rsidR="008E6170" w:rsidRPr="00E35456">
        <w:rPr>
          <w:i/>
          <w:color w:val="auto"/>
        </w:rPr>
        <w:t>et al.</w:t>
      </w:r>
      <w:r w:rsidR="008E6170" w:rsidRPr="00E35456">
        <w:rPr>
          <w:iCs/>
          <w:color w:val="auto"/>
        </w:rPr>
        <w:t>, 2017</w:t>
      </w:r>
      <w:r w:rsidR="008E6170" w:rsidRPr="00E35456">
        <w:rPr>
          <w:color w:val="auto"/>
        </w:rPr>
        <w:t xml:space="preserve">). </w:t>
      </w:r>
      <w:r w:rsidR="009439D1" w:rsidRPr="00E35456">
        <w:rPr>
          <w:color w:val="auto"/>
        </w:rPr>
        <w:t xml:space="preserve"> </w:t>
      </w:r>
      <w:r w:rsidR="008E6170" w:rsidRPr="00E35456">
        <w:rPr>
          <w:i/>
          <w:color w:val="auto"/>
        </w:rPr>
        <w:t>KRAS</w:t>
      </w:r>
      <w:r w:rsidR="008E6170" w:rsidRPr="00E35456">
        <w:rPr>
          <w:iCs/>
          <w:color w:val="auto"/>
        </w:rPr>
        <w:t xml:space="preserve"> has been associated with upregulation of RRM2 in colorectal cell lines (Yoshida </w:t>
      </w:r>
      <w:r w:rsidR="008E6170" w:rsidRPr="00E35456">
        <w:rPr>
          <w:i/>
          <w:color w:val="auto"/>
        </w:rPr>
        <w:t>et al.</w:t>
      </w:r>
      <w:r w:rsidR="008E6170" w:rsidRPr="00E35456">
        <w:rPr>
          <w:iCs/>
          <w:color w:val="auto"/>
        </w:rPr>
        <w:t>, 2011).</w:t>
      </w:r>
    </w:p>
    <w:p w14:paraId="68975D81" w14:textId="77777777" w:rsidR="002524CC" w:rsidRPr="00E35456" w:rsidRDefault="002524CC" w:rsidP="002524CC">
      <w:pPr>
        <w:pStyle w:val="ListParagraph"/>
        <w:rPr>
          <w:iCs/>
          <w:color w:val="auto"/>
        </w:rPr>
      </w:pPr>
    </w:p>
    <w:p w14:paraId="2A9D4DFD" w14:textId="65E84757" w:rsidR="002524CC" w:rsidRPr="00E35456" w:rsidRDefault="0083390D" w:rsidP="0083390D">
      <w:pPr>
        <w:pStyle w:val="Level3Heading"/>
        <w:rPr>
          <w:b/>
          <w:bCs/>
          <w:iCs/>
          <w:color w:val="auto"/>
        </w:rPr>
      </w:pPr>
      <w:r w:rsidRPr="00E35456">
        <w:rPr>
          <w:b/>
          <w:bCs/>
          <w:iCs/>
          <w:color w:val="auto"/>
        </w:rPr>
        <w:t>RNAseq</w:t>
      </w:r>
    </w:p>
    <w:p w14:paraId="27A80CD5" w14:textId="77777777" w:rsidR="00F82664" w:rsidRPr="00E35456" w:rsidRDefault="00F82664" w:rsidP="00F82664">
      <w:pPr>
        <w:rPr>
          <w:color w:val="auto"/>
        </w:rPr>
      </w:pPr>
    </w:p>
    <w:p w14:paraId="0E0DBE9D" w14:textId="01CB1D79" w:rsidR="00F82664" w:rsidRPr="00E35456" w:rsidRDefault="00F82664" w:rsidP="00F82664">
      <w:pPr>
        <w:pStyle w:val="Level4Heading"/>
        <w:rPr>
          <w:color w:val="auto"/>
        </w:rPr>
      </w:pPr>
      <w:r w:rsidRPr="00E35456">
        <w:rPr>
          <w:color w:val="auto"/>
        </w:rPr>
        <w:t>Biologic rationale:</w:t>
      </w:r>
      <w:r w:rsidR="00366D82" w:rsidRPr="00E35456">
        <w:rPr>
          <w:color w:val="auto"/>
        </w:rPr>
        <w:t xml:space="preserve">  </w:t>
      </w:r>
      <w:r w:rsidR="00366D82" w:rsidRPr="00E35456">
        <w:rPr>
          <w:iCs/>
          <w:color w:val="auto"/>
        </w:rPr>
        <w:t xml:space="preserve">RRM2 is dysregulated in many cancers and elevated in glioblastoma. </w:t>
      </w:r>
      <w:r w:rsidR="00442E1D" w:rsidRPr="00E35456">
        <w:rPr>
          <w:iCs/>
          <w:color w:val="auto"/>
        </w:rPr>
        <w:t xml:space="preserve"> </w:t>
      </w:r>
      <w:r w:rsidR="00366D82" w:rsidRPr="00E35456">
        <w:rPr>
          <w:iCs/>
          <w:color w:val="auto"/>
        </w:rPr>
        <w:t xml:space="preserve">Therefore, RRM2 makes an attractive therapeutic target in glioblastoma. </w:t>
      </w:r>
      <w:r w:rsidR="00442E1D" w:rsidRPr="00E35456">
        <w:rPr>
          <w:iCs/>
          <w:color w:val="auto"/>
        </w:rPr>
        <w:t xml:space="preserve"> </w:t>
      </w:r>
      <w:r w:rsidR="00366D82" w:rsidRPr="00E35456">
        <w:rPr>
          <w:iCs/>
          <w:color w:val="auto"/>
        </w:rPr>
        <w:t xml:space="preserve">Triapine targets and inhibits RRM2, which holds potential to overcome genetic heterogeneity and restore tumor response to radiation. </w:t>
      </w:r>
      <w:r w:rsidR="00442E1D" w:rsidRPr="00E35456">
        <w:rPr>
          <w:iCs/>
          <w:color w:val="auto"/>
        </w:rPr>
        <w:t xml:space="preserve"> </w:t>
      </w:r>
      <w:r w:rsidR="00366D82" w:rsidRPr="00E35456">
        <w:rPr>
          <w:iCs/>
          <w:color w:val="auto"/>
        </w:rPr>
        <w:t>However, it is currently unknown whether RRM2 expression levels in humans are predictive biomarkers of response to treatment with triapine combined with radiation therapy.</w:t>
      </w:r>
    </w:p>
    <w:p w14:paraId="405643BC" w14:textId="77777777" w:rsidR="00F82664" w:rsidRPr="00E35456" w:rsidRDefault="00F82664" w:rsidP="00F82664">
      <w:pPr>
        <w:rPr>
          <w:color w:val="auto"/>
        </w:rPr>
      </w:pPr>
    </w:p>
    <w:p w14:paraId="48714DB3" w14:textId="73A5F895" w:rsidR="00F82664" w:rsidRPr="00E35456" w:rsidRDefault="00F82664" w:rsidP="00F82664">
      <w:pPr>
        <w:pStyle w:val="Level4Heading"/>
        <w:rPr>
          <w:color w:val="auto"/>
        </w:rPr>
      </w:pPr>
      <w:r w:rsidRPr="00E35456">
        <w:rPr>
          <w:color w:val="auto"/>
        </w:rPr>
        <w:t>Hypothesis:</w:t>
      </w:r>
      <w:r w:rsidR="005A2E8B" w:rsidRPr="00E35456">
        <w:rPr>
          <w:color w:val="auto"/>
        </w:rPr>
        <w:t xml:space="preserve">  </w:t>
      </w:r>
      <w:r w:rsidR="005A2E8B" w:rsidRPr="00E35456">
        <w:rPr>
          <w:iCs/>
          <w:color w:val="auto"/>
        </w:rPr>
        <w:t>We hypothesize there is an association of RRM2 expression and other molecular signatures for radiosensitivity with tumor response and clinical outcomes after treatment with triapine and re-irradiation.</w:t>
      </w:r>
    </w:p>
    <w:p w14:paraId="3DBEB407" w14:textId="77777777" w:rsidR="00F82664" w:rsidRPr="00E35456" w:rsidRDefault="00F82664" w:rsidP="00F82664">
      <w:pPr>
        <w:rPr>
          <w:color w:val="auto"/>
        </w:rPr>
      </w:pPr>
    </w:p>
    <w:p w14:paraId="580D4EE0" w14:textId="0796EF04" w:rsidR="00F82664" w:rsidRPr="00E35456" w:rsidRDefault="00F82664" w:rsidP="00F82664">
      <w:pPr>
        <w:pStyle w:val="Level4Heading"/>
        <w:rPr>
          <w:color w:val="auto"/>
        </w:rPr>
      </w:pPr>
      <w:r w:rsidRPr="00E35456">
        <w:rPr>
          <w:color w:val="auto"/>
        </w:rPr>
        <w:t>Relevant preclinical data:</w:t>
      </w:r>
      <w:r w:rsidR="00A02F30" w:rsidRPr="00E35456">
        <w:rPr>
          <w:color w:val="auto"/>
        </w:rPr>
        <w:t xml:space="preserve">  </w:t>
      </w:r>
      <w:r w:rsidR="00A02F30" w:rsidRPr="00E35456">
        <w:rPr>
          <w:iCs/>
          <w:color w:val="auto"/>
        </w:rPr>
        <w:t xml:space="preserve">RRM2 expression is increased in GBM, and higher levels are associated with higher histologic tumor grade and among IDH-wildtype glioblastomas. </w:t>
      </w:r>
      <w:r w:rsidR="009F5B1F" w:rsidRPr="00E35456">
        <w:rPr>
          <w:iCs/>
          <w:color w:val="auto"/>
        </w:rPr>
        <w:t xml:space="preserve"> </w:t>
      </w:r>
      <w:r w:rsidR="00A02F30" w:rsidRPr="00E35456">
        <w:rPr>
          <w:iCs/>
          <w:color w:val="auto"/>
        </w:rPr>
        <w:t xml:space="preserve">Furthermore, RRM2 expression has been associated with poor </w:t>
      </w:r>
      <w:r w:rsidR="00A02F30" w:rsidRPr="00E35456">
        <w:rPr>
          <w:iCs/>
          <w:color w:val="auto"/>
        </w:rPr>
        <w:lastRenderedPageBreak/>
        <w:t xml:space="preserve">survival in two large glioma datasets (Corrales-Guerrero </w:t>
      </w:r>
      <w:r w:rsidR="00A02F30" w:rsidRPr="00E35456">
        <w:rPr>
          <w:i/>
          <w:color w:val="auto"/>
        </w:rPr>
        <w:t>et al.</w:t>
      </w:r>
      <w:r w:rsidR="00A02F30" w:rsidRPr="00E35456">
        <w:rPr>
          <w:iCs/>
          <w:color w:val="auto"/>
        </w:rPr>
        <w:t>, 2023</w:t>
      </w:r>
      <w:r w:rsidR="00A02F30" w:rsidRPr="00E35456">
        <w:rPr>
          <w:color w:val="auto"/>
        </w:rPr>
        <w:t>)</w:t>
      </w:r>
      <w:r w:rsidR="00A02F30" w:rsidRPr="00E35456">
        <w:rPr>
          <w:iCs/>
          <w:color w:val="auto"/>
        </w:rPr>
        <w:t xml:space="preserve">. </w:t>
      </w:r>
      <w:r w:rsidR="009F5B1F" w:rsidRPr="00E35456">
        <w:rPr>
          <w:iCs/>
          <w:color w:val="auto"/>
        </w:rPr>
        <w:t xml:space="preserve"> </w:t>
      </w:r>
      <w:r w:rsidR="00A02F30" w:rsidRPr="00E35456">
        <w:rPr>
          <w:iCs/>
          <w:color w:val="auto"/>
        </w:rPr>
        <w:t>Pre-clinical work from Williams Lab demonstrated that inhibiting RRM2 with triapine enhanced radiation-induced DNA damage in glioma cell lines and intracranial xenograft mouse models</w:t>
      </w:r>
      <w:r w:rsidR="0013656E" w:rsidRPr="00E35456">
        <w:rPr>
          <w:iCs/>
          <w:color w:val="auto"/>
        </w:rPr>
        <w:t xml:space="preserve"> </w:t>
      </w:r>
      <w:r w:rsidR="00A02F30" w:rsidRPr="00E35456">
        <w:rPr>
          <w:iCs/>
          <w:color w:val="auto"/>
        </w:rPr>
        <w:t xml:space="preserve">(Corrales-Guerrero </w:t>
      </w:r>
      <w:r w:rsidR="00A02F30" w:rsidRPr="00E35456">
        <w:rPr>
          <w:i/>
          <w:color w:val="auto"/>
        </w:rPr>
        <w:t>et al.</w:t>
      </w:r>
      <w:r w:rsidR="00A02F30" w:rsidRPr="00E35456">
        <w:rPr>
          <w:iCs/>
          <w:color w:val="auto"/>
        </w:rPr>
        <w:t>, 2023</w:t>
      </w:r>
      <w:r w:rsidR="00A02F30" w:rsidRPr="00E35456">
        <w:rPr>
          <w:color w:val="auto"/>
        </w:rPr>
        <w:t>)</w:t>
      </w:r>
      <w:r w:rsidR="00A02F30" w:rsidRPr="00E35456">
        <w:rPr>
          <w:iCs/>
          <w:color w:val="auto"/>
        </w:rPr>
        <w:t>.</w:t>
      </w:r>
    </w:p>
    <w:p w14:paraId="7B17D8EB" w14:textId="77777777" w:rsidR="0083390D" w:rsidRPr="00E35456" w:rsidRDefault="0083390D" w:rsidP="0083390D">
      <w:pPr>
        <w:pStyle w:val="ListParagraph"/>
        <w:rPr>
          <w:iCs/>
          <w:color w:val="auto"/>
        </w:rPr>
      </w:pPr>
    </w:p>
    <w:p w14:paraId="71D3D03A" w14:textId="7BD0C522" w:rsidR="0083390D" w:rsidRPr="00E35456" w:rsidRDefault="0083390D" w:rsidP="0083390D">
      <w:pPr>
        <w:pStyle w:val="Level3Heading"/>
        <w:rPr>
          <w:b/>
          <w:bCs/>
          <w:iCs/>
          <w:color w:val="auto"/>
        </w:rPr>
      </w:pPr>
      <w:r w:rsidRPr="00E35456">
        <w:rPr>
          <w:b/>
          <w:bCs/>
          <w:iCs/>
          <w:color w:val="auto"/>
        </w:rPr>
        <w:t>Triapine Pharmacokinetics (PK)</w:t>
      </w:r>
      <w:r w:rsidR="00C63D45" w:rsidRPr="00E35456">
        <w:rPr>
          <w:b/>
          <w:bCs/>
          <w:iCs/>
          <w:color w:val="auto"/>
        </w:rPr>
        <w:t xml:space="preserve"> (Blood-based)</w:t>
      </w:r>
    </w:p>
    <w:p w14:paraId="377CEEE7" w14:textId="77777777" w:rsidR="00F82664" w:rsidRPr="00E35456" w:rsidRDefault="00F82664" w:rsidP="00F82664">
      <w:pPr>
        <w:rPr>
          <w:color w:val="auto"/>
        </w:rPr>
      </w:pPr>
    </w:p>
    <w:p w14:paraId="750117ED" w14:textId="0B3BCC73" w:rsidR="00F82664" w:rsidRPr="00E35456" w:rsidRDefault="00F82664" w:rsidP="00F82664">
      <w:pPr>
        <w:pStyle w:val="Level4Heading"/>
        <w:rPr>
          <w:color w:val="auto"/>
        </w:rPr>
      </w:pPr>
      <w:r w:rsidRPr="00E35456">
        <w:rPr>
          <w:color w:val="auto"/>
        </w:rPr>
        <w:t>Biologic rationale:</w:t>
      </w:r>
      <w:r w:rsidR="006A2D42" w:rsidRPr="00E35456">
        <w:rPr>
          <w:color w:val="auto"/>
        </w:rPr>
        <w:t xml:space="preserve">  </w:t>
      </w:r>
      <w:r w:rsidR="006A2D42" w:rsidRPr="00E35456">
        <w:rPr>
          <w:iCs/>
          <w:color w:val="auto"/>
        </w:rPr>
        <w:t>To confirm oral triapine at the proposed dose levels achieve comparable serum concentrations as historic controls in advanced-stage solid cancers.</w:t>
      </w:r>
    </w:p>
    <w:p w14:paraId="45FFC30D" w14:textId="77777777" w:rsidR="00F82664" w:rsidRPr="00E35456" w:rsidRDefault="00F82664" w:rsidP="00F82664">
      <w:pPr>
        <w:rPr>
          <w:color w:val="auto"/>
        </w:rPr>
      </w:pPr>
    </w:p>
    <w:p w14:paraId="7FEAAF8C" w14:textId="6AA5237F" w:rsidR="00F82664" w:rsidRPr="00E35456" w:rsidRDefault="00F82664" w:rsidP="00F82664">
      <w:pPr>
        <w:pStyle w:val="Level4Heading"/>
        <w:rPr>
          <w:color w:val="auto"/>
        </w:rPr>
      </w:pPr>
      <w:r w:rsidRPr="00E35456">
        <w:rPr>
          <w:color w:val="auto"/>
        </w:rPr>
        <w:t>Hypothesis:</w:t>
      </w:r>
      <w:r w:rsidR="00983AC6" w:rsidRPr="00E35456">
        <w:rPr>
          <w:color w:val="auto"/>
        </w:rPr>
        <w:t xml:space="preserve">  </w:t>
      </w:r>
      <w:r w:rsidR="00983AC6" w:rsidRPr="00E35456">
        <w:rPr>
          <w:iCs/>
          <w:color w:val="auto"/>
        </w:rPr>
        <w:t xml:space="preserve">We hypothesize the pharmacokinetics of oral triapine is comparable to historical controls.  </w:t>
      </w:r>
    </w:p>
    <w:p w14:paraId="695D884A" w14:textId="77777777" w:rsidR="00F82664" w:rsidRPr="00E35456" w:rsidRDefault="00F82664" w:rsidP="00F82664">
      <w:pPr>
        <w:rPr>
          <w:color w:val="auto"/>
        </w:rPr>
      </w:pPr>
    </w:p>
    <w:p w14:paraId="44427798" w14:textId="716B1595" w:rsidR="00F82664" w:rsidRPr="00E35456" w:rsidRDefault="00F82664" w:rsidP="00F82664">
      <w:pPr>
        <w:pStyle w:val="Level4Heading"/>
        <w:rPr>
          <w:color w:val="auto"/>
        </w:rPr>
      </w:pPr>
      <w:r w:rsidRPr="00E35456">
        <w:rPr>
          <w:color w:val="auto"/>
        </w:rPr>
        <w:t>Relevant preclinical data:</w:t>
      </w:r>
      <w:r w:rsidR="00596B9A" w:rsidRPr="00E35456">
        <w:rPr>
          <w:color w:val="auto"/>
        </w:rPr>
        <w:t xml:space="preserve">  </w:t>
      </w:r>
      <w:r w:rsidR="00596B9A" w:rsidRPr="00E35456">
        <w:rPr>
          <w:iCs/>
          <w:color w:val="auto"/>
        </w:rPr>
        <w:t xml:space="preserve">Pharmacokinetic data show that exposure of orally administered triapine increased in a dose-dependent manner (Chao </w:t>
      </w:r>
      <w:r w:rsidR="00596B9A" w:rsidRPr="00E35456">
        <w:rPr>
          <w:i/>
          <w:color w:val="auto"/>
        </w:rPr>
        <w:t>et al.</w:t>
      </w:r>
      <w:r w:rsidR="00596B9A" w:rsidRPr="00E35456">
        <w:rPr>
          <w:iCs/>
          <w:color w:val="auto"/>
        </w:rPr>
        <w:t>, 2011).</w:t>
      </w:r>
      <w:r w:rsidR="009F5B1F" w:rsidRPr="00E35456">
        <w:rPr>
          <w:iCs/>
          <w:color w:val="auto"/>
        </w:rPr>
        <w:t xml:space="preserve"> </w:t>
      </w:r>
      <w:r w:rsidR="00596B9A" w:rsidRPr="00E35456">
        <w:rPr>
          <w:iCs/>
          <w:color w:val="auto"/>
        </w:rPr>
        <w:t xml:space="preserve"> Triapine in this study was given once every 12 hours for 5 consecutive doses on days 1-3, 8-10, and 15-17 of every 28-day cycle starting at 50mg dose. </w:t>
      </w:r>
      <w:r w:rsidR="009F5B1F" w:rsidRPr="00E35456">
        <w:rPr>
          <w:iCs/>
          <w:color w:val="auto"/>
        </w:rPr>
        <w:t xml:space="preserve"> </w:t>
      </w:r>
      <w:r w:rsidR="00596B9A" w:rsidRPr="00E35456">
        <w:rPr>
          <w:iCs/>
          <w:color w:val="auto"/>
        </w:rPr>
        <w:t xml:space="preserve">The maximum-tolerated dose was 150mg per dose on this dosing schedule. </w:t>
      </w:r>
      <w:r w:rsidR="009F5B1F" w:rsidRPr="00E35456">
        <w:rPr>
          <w:iCs/>
          <w:color w:val="auto"/>
        </w:rPr>
        <w:t xml:space="preserve"> </w:t>
      </w:r>
      <w:r w:rsidR="00596B9A" w:rsidRPr="00E35456">
        <w:rPr>
          <w:iCs/>
          <w:color w:val="auto"/>
        </w:rPr>
        <w:t xml:space="preserve">Peak concentrations occurred at approximately the same time when </w:t>
      </w:r>
      <w:r w:rsidR="009F1804" w:rsidRPr="00E35456">
        <w:rPr>
          <w:iCs/>
          <w:color w:val="auto"/>
        </w:rPr>
        <w:t xml:space="preserve">the </w:t>
      </w:r>
      <w:r w:rsidR="00596B9A" w:rsidRPr="00E35456">
        <w:rPr>
          <w:iCs/>
          <w:color w:val="auto"/>
        </w:rPr>
        <w:t xml:space="preserve">drug was administered orally. </w:t>
      </w:r>
      <w:r w:rsidR="009F1804" w:rsidRPr="00E35456">
        <w:rPr>
          <w:iCs/>
          <w:color w:val="auto"/>
        </w:rPr>
        <w:t xml:space="preserve"> </w:t>
      </w:r>
      <w:r w:rsidR="00596B9A" w:rsidRPr="00E35456">
        <w:rPr>
          <w:iCs/>
          <w:color w:val="auto"/>
        </w:rPr>
        <w:t>Mean oral bioavailability (F</w:t>
      </w:r>
      <w:r w:rsidR="00596B9A" w:rsidRPr="00E35456">
        <w:rPr>
          <w:iCs/>
          <w:color w:val="auto"/>
          <w:vertAlign w:val="subscript"/>
        </w:rPr>
        <w:t>oral/IV</w:t>
      </w:r>
      <w:r w:rsidR="00596B9A" w:rsidRPr="00E35456">
        <w:rPr>
          <w:iCs/>
          <w:color w:val="auto"/>
        </w:rPr>
        <w:t xml:space="preserve">) across all dose levels was 0.69 ± 0.29. </w:t>
      </w:r>
      <w:r w:rsidR="009F1804" w:rsidRPr="00E35456">
        <w:rPr>
          <w:iCs/>
          <w:color w:val="auto"/>
        </w:rPr>
        <w:t xml:space="preserve"> </w:t>
      </w:r>
      <w:r w:rsidR="00596B9A" w:rsidRPr="00E35456">
        <w:rPr>
          <w:iCs/>
          <w:color w:val="auto"/>
        </w:rPr>
        <w:t>At an oral dose of 150mg (the maximally tolerated dose), the mean AUC was 10.6 ± 7.6</w:t>
      </w:r>
      <w:r w:rsidR="00E23DC6" w:rsidRPr="00E35456">
        <w:rPr>
          <w:iCs/>
          <w:color w:val="auto"/>
        </w:rPr>
        <w:t xml:space="preserve"> </w:t>
      </w:r>
      <w:proofErr w:type="spellStart"/>
      <w:r w:rsidR="00E23DC6" w:rsidRPr="00E35456">
        <w:rPr>
          <w:iCs/>
          <w:color w:val="auto"/>
        </w:rPr>
        <w:t>mc</w:t>
      </w:r>
      <w:r w:rsidR="00596B9A" w:rsidRPr="00E35456">
        <w:rPr>
          <w:iCs/>
          <w:color w:val="auto"/>
        </w:rPr>
        <w:t>Mh</w:t>
      </w:r>
      <w:proofErr w:type="spellEnd"/>
      <w:r w:rsidR="00596B9A" w:rsidRPr="00E35456">
        <w:rPr>
          <w:iCs/>
          <w:color w:val="auto"/>
        </w:rPr>
        <w:t xml:space="preserve">, and mean peak serum concentration was 5 ± 3.8 </w:t>
      </w:r>
      <w:proofErr w:type="spellStart"/>
      <w:r w:rsidR="00E23DC6" w:rsidRPr="00E35456">
        <w:rPr>
          <w:iCs/>
          <w:color w:val="auto"/>
        </w:rPr>
        <w:t>mc</w:t>
      </w:r>
      <w:r w:rsidR="00596B9A" w:rsidRPr="00E35456">
        <w:rPr>
          <w:iCs/>
          <w:color w:val="auto"/>
        </w:rPr>
        <w:t>M</w:t>
      </w:r>
      <w:proofErr w:type="spellEnd"/>
      <w:r w:rsidR="00596B9A" w:rsidRPr="00E35456">
        <w:rPr>
          <w:iCs/>
          <w:color w:val="auto"/>
        </w:rPr>
        <w:t>.</w:t>
      </w:r>
    </w:p>
    <w:p w14:paraId="316CC462" w14:textId="77777777" w:rsidR="00C63D45" w:rsidRPr="00E35456" w:rsidRDefault="00C63D45" w:rsidP="00C63D45">
      <w:pPr>
        <w:rPr>
          <w:color w:val="auto"/>
        </w:rPr>
      </w:pPr>
    </w:p>
    <w:p w14:paraId="040EA3CE" w14:textId="1E5B2EB5" w:rsidR="00C63D45" w:rsidRPr="00E35456" w:rsidRDefault="00C63D45" w:rsidP="00C63D45">
      <w:pPr>
        <w:pStyle w:val="Level3Heading"/>
        <w:rPr>
          <w:b/>
          <w:bCs/>
          <w:iCs/>
          <w:color w:val="auto"/>
        </w:rPr>
      </w:pPr>
      <w:r w:rsidRPr="00E35456">
        <w:rPr>
          <w:b/>
          <w:bCs/>
          <w:iCs/>
          <w:color w:val="auto"/>
        </w:rPr>
        <w:t>Triapine PK (</w:t>
      </w:r>
      <w:r w:rsidR="00E505EC" w:rsidRPr="00E35456">
        <w:rPr>
          <w:b/>
          <w:bCs/>
          <w:iCs/>
          <w:color w:val="auto"/>
        </w:rPr>
        <w:t>Cerebrospinal</w:t>
      </w:r>
      <w:r w:rsidR="00F1367F" w:rsidRPr="00E35456">
        <w:rPr>
          <w:b/>
          <w:bCs/>
          <w:iCs/>
          <w:color w:val="auto"/>
        </w:rPr>
        <w:t xml:space="preserve"> </w:t>
      </w:r>
      <w:r w:rsidR="00E505EC" w:rsidRPr="00E35456">
        <w:rPr>
          <w:b/>
          <w:bCs/>
          <w:iCs/>
          <w:color w:val="auto"/>
        </w:rPr>
        <w:t>fluid [</w:t>
      </w:r>
      <w:r w:rsidRPr="00E35456">
        <w:rPr>
          <w:b/>
          <w:bCs/>
          <w:iCs/>
          <w:color w:val="auto"/>
        </w:rPr>
        <w:t>CSF</w:t>
      </w:r>
      <w:r w:rsidR="00E505EC" w:rsidRPr="00E35456">
        <w:rPr>
          <w:b/>
          <w:bCs/>
          <w:iCs/>
          <w:color w:val="auto"/>
        </w:rPr>
        <w:t>]</w:t>
      </w:r>
      <w:r w:rsidRPr="00E35456">
        <w:rPr>
          <w:b/>
          <w:bCs/>
          <w:iCs/>
          <w:color w:val="auto"/>
        </w:rPr>
        <w:t>-based)</w:t>
      </w:r>
    </w:p>
    <w:p w14:paraId="40AED18E" w14:textId="77777777" w:rsidR="00C63D45" w:rsidRPr="00E35456" w:rsidRDefault="00C63D45" w:rsidP="00C63D45">
      <w:pPr>
        <w:rPr>
          <w:color w:val="auto"/>
        </w:rPr>
      </w:pPr>
    </w:p>
    <w:p w14:paraId="0DAA0583" w14:textId="26D1ABF8" w:rsidR="00C63D45" w:rsidRPr="00E35456" w:rsidRDefault="00C63D45" w:rsidP="00C63D45">
      <w:pPr>
        <w:pStyle w:val="Level4Heading"/>
        <w:rPr>
          <w:color w:val="auto"/>
        </w:rPr>
      </w:pPr>
      <w:r w:rsidRPr="00E35456">
        <w:rPr>
          <w:color w:val="auto"/>
        </w:rPr>
        <w:t>Biologic rationale:</w:t>
      </w:r>
      <w:r w:rsidR="00DE7182" w:rsidRPr="00E35456">
        <w:rPr>
          <w:color w:val="auto"/>
        </w:rPr>
        <w:t xml:space="preserve">  </w:t>
      </w:r>
      <w:r w:rsidR="00CB6205" w:rsidRPr="00E35456">
        <w:rPr>
          <w:iCs/>
          <w:color w:val="auto"/>
        </w:rPr>
        <w:t>To determine whether triapine crosses the human blood-brain barrier.</w:t>
      </w:r>
    </w:p>
    <w:p w14:paraId="4EA22CA9" w14:textId="77777777" w:rsidR="00C63D45" w:rsidRPr="00E35456" w:rsidRDefault="00C63D45" w:rsidP="00C63D45">
      <w:pPr>
        <w:rPr>
          <w:color w:val="auto"/>
        </w:rPr>
      </w:pPr>
    </w:p>
    <w:p w14:paraId="3E982078" w14:textId="0508332B" w:rsidR="00C63D45" w:rsidRPr="00E35456" w:rsidRDefault="00C63D45" w:rsidP="00C63D45">
      <w:pPr>
        <w:pStyle w:val="Level4Heading"/>
        <w:rPr>
          <w:color w:val="auto"/>
        </w:rPr>
      </w:pPr>
      <w:r w:rsidRPr="00E35456">
        <w:rPr>
          <w:color w:val="auto"/>
        </w:rPr>
        <w:t>Hypothesis:</w:t>
      </w:r>
      <w:r w:rsidR="003E2BF7" w:rsidRPr="00E35456">
        <w:rPr>
          <w:color w:val="auto"/>
        </w:rPr>
        <w:t xml:space="preserve">  </w:t>
      </w:r>
      <w:r w:rsidR="003E2BF7" w:rsidRPr="00E35456">
        <w:rPr>
          <w:iCs/>
          <w:color w:val="auto"/>
        </w:rPr>
        <w:t>We hypothesize that triapine crosses the human blood-brain barrier.</w:t>
      </w:r>
    </w:p>
    <w:p w14:paraId="6D226399" w14:textId="77777777" w:rsidR="00C63D45" w:rsidRPr="00E35456" w:rsidRDefault="00C63D45" w:rsidP="00C63D45">
      <w:pPr>
        <w:rPr>
          <w:color w:val="auto"/>
        </w:rPr>
      </w:pPr>
    </w:p>
    <w:p w14:paraId="5B53D3C6" w14:textId="40E451CF" w:rsidR="00C63D45" w:rsidRPr="00685809" w:rsidRDefault="00C63D45" w:rsidP="00C63D45">
      <w:pPr>
        <w:pStyle w:val="Level4Heading"/>
        <w:rPr>
          <w:color w:val="auto"/>
        </w:rPr>
      </w:pPr>
      <w:r w:rsidRPr="00E35456">
        <w:rPr>
          <w:color w:val="auto"/>
        </w:rPr>
        <w:t>Relevant preclinical data:</w:t>
      </w:r>
      <w:r w:rsidR="006A6E00" w:rsidRPr="00E35456">
        <w:rPr>
          <w:color w:val="auto"/>
        </w:rPr>
        <w:t xml:space="preserve">  </w:t>
      </w:r>
      <w:r w:rsidR="006A6E00" w:rsidRPr="00E35456">
        <w:rPr>
          <w:iCs/>
          <w:color w:val="auto"/>
        </w:rPr>
        <w:t xml:space="preserve">Preclinical investigations performed in mice demonstrate triapine </w:t>
      </w:r>
      <w:r w:rsidR="009F1804" w:rsidRPr="00E35456">
        <w:rPr>
          <w:iCs/>
          <w:color w:val="auto"/>
        </w:rPr>
        <w:t>can cross</w:t>
      </w:r>
      <w:r w:rsidR="006A6E00" w:rsidRPr="00E35456">
        <w:rPr>
          <w:iCs/>
          <w:color w:val="auto"/>
        </w:rPr>
        <w:t xml:space="preserve"> the blood-brain barrier and </w:t>
      </w:r>
      <w:r w:rsidR="009F1804" w:rsidRPr="00E35456">
        <w:rPr>
          <w:iCs/>
          <w:color w:val="auto"/>
        </w:rPr>
        <w:t xml:space="preserve">is </w:t>
      </w:r>
      <w:r w:rsidR="006A6E00" w:rsidRPr="00E35456">
        <w:rPr>
          <w:iCs/>
          <w:color w:val="auto"/>
        </w:rPr>
        <w:t xml:space="preserve">effective in killing leukemic cells in the brain (Avery </w:t>
      </w:r>
      <w:r w:rsidR="006A6E00" w:rsidRPr="00E35456">
        <w:rPr>
          <w:i/>
          <w:color w:val="auto"/>
        </w:rPr>
        <w:t>et al.</w:t>
      </w:r>
      <w:r w:rsidR="006A6E00" w:rsidRPr="00E35456">
        <w:rPr>
          <w:iCs/>
          <w:color w:val="auto"/>
        </w:rPr>
        <w:t xml:space="preserve">, 1990). </w:t>
      </w:r>
      <w:r w:rsidR="009F1804" w:rsidRPr="00E35456">
        <w:rPr>
          <w:iCs/>
          <w:color w:val="auto"/>
        </w:rPr>
        <w:t xml:space="preserve"> </w:t>
      </w:r>
      <w:r w:rsidR="006A6E00" w:rsidRPr="00E35456">
        <w:rPr>
          <w:iCs/>
          <w:color w:val="auto"/>
        </w:rPr>
        <w:t>Triapine has also been shown to be a highly</w:t>
      </w:r>
      <w:r w:rsidR="009F1804" w:rsidRPr="00E35456">
        <w:rPr>
          <w:iCs/>
          <w:color w:val="auto"/>
        </w:rPr>
        <w:t xml:space="preserve"> </w:t>
      </w:r>
      <w:r w:rsidR="006A6E00" w:rsidRPr="00E35456">
        <w:rPr>
          <w:iCs/>
          <w:color w:val="auto"/>
        </w:rPr>
        <w:t xml:space="preserve">hydrophobic small molecule with ability to achieve sufficient concentrations in the </w:t>
      </w:r>
      <w:r w:rsidR="006A6E00" w:rsidRPr="00685809">
        <w:rPr>
          <w:iCs/>
          <w:color w:val="auto"/>
        </w:rPr>
        <w:t xml:space="preserve">brain to elicit promising neuroprotectant effects (Jiang </w:t>
      </w:r>
      <w:r w:rsidR="006A6E00" w:rsidRPr="00685809">
        <w:rPr>
          <w:i/>
          <w:color w:val="auto"/>
        </w:rPr>
        <w:t>et al.</w:t>
      </w:r>
      <w:r w:rsidR="006A6E00" w:rsidRPr="00685809">
        <w:rPr>
          <w:iCs/>
          <w:color w:val="auto"/>
        </w:rPr>
        <w:t>, 2006).</w:t>
      </w:r>
    </w:p>
    <w:p w14:paraId="1291CA0B" w14:textId="77777777" w:rsidR="0083390D" w:rsidRPr="00685809" w:rsidRDefault="0083390D" w:rsidP="0083390D">
      <w:pPr>
        <w:pStyle w:val="ListParagraph"/>
        <w:rPr>
          <w:iCs/>
          <w:color w:val="auto"/>
        </w:rPr>
      </w:pPr>
    </w:p>
    <w:p w14:paraId="2F8819E5" w14:textId="77777777" w:rsidR="009E246E" w:rsidRPr="007300F3" w:rsidRDefault="009E246E" w:rsidP="00C94562">
      <w:pPr>
        <w:pStyle w:val="Heading1"/>
      </w:pPr>
      <w:bookmarkStart w:id="23" w:name="_Toc318813002"/>
      <w:bookmarkStart w:id="24" w:name="_Ref484789904"/>
      <w:bookmarkStart w:id="25" w:name="_Ref484789911"/>
      <w:bookmarkStart w:id="26" w:name="_Toc176419894"/>
      <w:bookmarkEnd w:id="22"/>
      <w:r w:rsidRPr="007300F3">
        <w:t>PATIENT SELECTION</w:t>
      </w:r>
      <w:bookmarkEnd w:id="23"/>
      <w:bookmarkEnd w:id="24"/>
      <w:bookmarkEnd w:id="25"/>
      <w:bookmarkEnd w:id="26"/>
    </w:p>
    <w:p w14:paraId="13563133" w14:textId="77777777" w:rsidR="00DA62ED" w:rsidRPr="007300F3" w:rsidRDefault="00DA62ED" w:rsidP="009E246E">
      <w:pPr>
        <w:tabs>
          <w:tab w:val="left" w:pos="0"/>
          <w:tab w:val="left" w:pos="354"/>
          <w:tab w:val="left" w:pos="710"/>
          <w:tab w:val="left" w:pos="1086"/>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pPr>
    </w:p>
    <w:p w14:paraId="6CAA1E2F" w14:textId="738E68F7" w:rsidR="00DA62ED" w:rsidRPr="007300F3" w:rsidRDefault="00DA62ED" w:rsidP="00C94562">
      <w:pPr>
        <w:pStyle w:val="Heading2"/>
      </w:pPr>
      <w:bookmarkStart w:id="27" w:name="_Eligibility_Criteria"/>
      <w:bookmarkStart w:id="28" w:name="_Toc176419895"/>
      <w:bookmarkEnd w:id="27"/>
      <w:r w:rsidRPr="00990D50">
        <w:t>Eligibility Criteria</w:t>
      </w:r>
      <w:bookmarkEnd w:id="28"/>
      <w:r w:rsidRPr="007300F3">
        <w:t xml:space="preserve"> </w:t>
      </w:r>
    </w:p>
    <w:p w14:paraId="421E1A0A" w14:textId="77777777" w:rsidR="008F74CB" w:rsidRPr="007300F3" w:rsidRDefault="008F74CB" w:rsidP="009E246E">
      <w:pPr>
        <w:tabs>
          <w:tab w:val="left" w:pos="0"/>
          <w:tab w:val="left" w:pos="354"/>
          <w:tab w:val="left" w:pos="710"/>
          <w:tab w:val="left" w:pos="1086"/>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pPr>
    </w:p>
    <w:p w14:paraId="17D9C6D4" w14:textId="7FE014ED" w:rsidR="00DA62ED" w:rsidRPr="00235C4F" w:rsidRDefault="00DA62ED" w:rsidP="00C312CF">
      <w:pPr>
        <w:pStyle w:val="Level3Heading"/>
      </w:pPr>
      <w:r w:rsidRPr="00235C4F">
        <w:t>Patients must have histologically</w:t>
      </w:r>
      <w:r w:rsidR="007657EC" w:rsidRPr="00235C4F">
        <w:t>,</w:t>
      </w:r>
      <w:r w:rsidR="00DA0119" w:rsidRPr="00235C4F">
        <w:t xml:space="preserve"> molecularly</w:t>
      </w:r>
      <w:r w:rsidR="00E11072" w:rsidRPr="00235C4F">
        <w:t>, or cytologically</w:t>
      </w:r>
      <w:r w:rsidRPr="00235C4F">
        <w:t xml:space="preserve"> confirmed</w:t>
      </w:r>
      <w:r w:rsidR="007F4FD1" w:rsidRPr="00235C4F">
        <w:t xml:space="preserve"> GBM</w:t>
      </w:r>
      <w:r w:rsidR="007657EC" w:rsidRPr="00235C4F">
        <w:t xml:space="preserve"> or its variants</w:t>
      </w:r>
      <w:r w:rsidR="00DA0119" w:rsidRPr="00235C4F">
        <w:t xml:space="preserve">, astrocytic tumor, or other adult-type diffuse glioma that </w:t>
      </w:r>
      <w:r w:rsidRPr="00235C4F">
        <w:t xml:space="preserve">is </w:t>
      </w:r>
      <w:r w:rsidR="00DA0119" w:rsidRPr="00235C4F">
        <w:t>recurrent</w:t>
      </w:r>
      <w:r w:rsidRPr="00235C4F">
        <w:t xml:space="preserve"> for which standard curative measures do not exist or are no longer effective.</w:t>
      </w:r>
    </w:p>
    <w:p w14:paraId="3817528E" w14:textId="77777777" w:rsidR="00235C4F" w:rsidRDefault="00235C4F" w:rsidP="00235C4F">
      <w:pPr>
        <w:pStyle w:val="ListParagraph"/>
        <w:rPr>
          <w:iCs/>
        </w:rPr>
      </w:pPr>
    </w:p>
    <w:p w14:paraId="7E61BAFD" w14:textId="270CFB74" w:rsidR="0032084A" w:rsidRPr="0032084A" w:rsidRDefault="0032084A" w:rsidP="00235C4F">
      <w:pPr>
        <w:pStyle w:val="ListParagraph"/>
        <w:rPr>
          <w:iCs/>
        </w:rPr>
      </w:pPr>
      <w:r>
        <w:rPr>
          <w:iCs/>
        </w:rPr>
        <w:t>Patients originally diagnosed with a lower-grade glioma and subsequent diagnosis of GBM (or variants) are eligible.</w:t>
      </w:r>
    </w:p>
    <w:p w14:paraId="18AD7AA6" w14:textId="77777777" w:rsidR="00DA62ED" w:rsidRPr="007300F3" w:rsidRDefault="00DA62ED" w:rsidP="009E246E">
      <w:pPr>
        <w:suppressAutoHyphens/>
        <w:ind w:left="720"/>
      </w:pPr>
    </w:p>
    <w:p w14:paraId="0471AE4D" w14:textId="0B3B1611" w:rsidR="00476C35" w:rsidRPr="001C329F" w:rsidRDefault="00476C35" w:rsidP="00476C35">
      <w:pPr>
        <w:pStyle w:val="Level3Heading"/>
        <w:rPr>
          <w:i/>
          <w:iCs/>
          <w:color w:val="auto"/>
        </w:rPr>
      </w:pPr>
      <w:r w:rsidRPr="001C329F">
        <w:rPr>
          <w:color w:val="auto"/>
        </w:rPr>
        <w:t xml:space="preserve">Tumors </w:t>
      </w:r>
      <w:r w:rsidR="00593DD3">
        <w:rPr>
          <w:color w:val="auto"/>
        </w:rPr>
        <w:t>≤</w:t>
      </w:r>
      <w:r w:rsidRPr="001C329F">
        <w:rPr>
          <w:color w:val="auto"/>
        </w:rPr>
        <w:t>6 cm in maximal diameter.</w:t>
      </w:r>
    </w:p>
    <w:p w14:paraId="0A6986B6" w14:textId="77777777" w:rsidR="00FF6E5A" w:rsidRPr="001C329F" w:rsidRDefault="00FF6E5A" w:rsidP="00FF6E5A">
      <w:pPr>
        <w:rPr>
          <w:color w:val="auto"/>
        </w:rPr>
      </w:pPr>
    </w:p>
    <w:p w14:paraId="029688BD" w14:textId="66CDE907" w:rsidR="002F6440" w:rsidRPr="001C329F" w:rsidRDefault="002F6440" w:rsidP="00721AEB">
      <w:pPr>
        <w:pStyle w:val="Level3Heading"/>
        <w:rPr>
          <w:i/>
          <w:iCs/>
          <w:color w:val="auto"/>
        </w:rPr>
      </w:pPr>
      <w:r w:rsidRPr="001C329F">
        <w:rPr>
          <w:color w:val="auto"/>
        </w:rPr>
        <w:t>Patients with no known G6PD deficiency may be in this study.  Further testing for G6PD deficiency will not be required.</w:t>
      </w:r>
    </w:p>
    <w:p w14:paraId="26FA0DED" w14:textId="77777777" w:rsidR="00721AEB" w:rsidRPr="001C329F" w:rsidRDefault="00721AEB" w:rsidP="00721AEB">
      <w:pPr>
        <w:rPr>
          <w:color w:val="auto"/>
        </w:rPr>
      </w:pPr>
    </w:p>
    <w:p w14:paraId="55876E71" w14:textId="407756AB" w:rsidR="003103FE" w:rsidRDefault="003103FE" w:rsidP="00BC7C83">
      <w:pPr>
        <w:pStyle w:val="Level3Heading"/>
        <w:rPr>
          <w:color w:val="auto"/>
        </w:rPr>
      </w:pPr>
      <w:r w:rsidRPr="001C329F">
        <w:rPr>
          <w:color w:val="auto"/>
        </w:rPr>
        <w:t xml:space="preserve">Patients must have at least a </w:t>
      </w:r>
      <w:r w:rsidR="00476C35" w:rsidRPr="001C329F">
        <w:rPr>
          <w:color w:val="auto"/>
        </w:rPr>
        <w:t>6</w:t>
      </w:r>
      <w:r w:rsidRPr="001C329F">
        <w:rPr>
          <w:color w:val="auto"/>
        </w:rPr>
        <w:t>-month break from last dose of radiation therapy.</w:t>
      </w:r>
    </w:p>
    <w:p w14:paraId="38D739D7" w14:textId="77777777" w:rsidR="007839A7" w:rsidRDefault="007839A7" w:rsidP="007839A7"/>
    <w:p w14:paraId="7D21B8D9" w14:textId="77926E09" w:rsidR="007839A7" w:rsidRPr="007839A7" w:rsidRDefault="00190EDB" w:rsidP="007839A7">
      <w:pPr>
        <w:ind w:left="720"/>
      </w:pPr>
      <w:r>
        <w:t>Re-irradiation within 6 months may increase risk for radiation necrosis</w:t>
      </w:r>
      <w:r w:rsidR="00FD113D">
        <w:t xml:space="preserve">/edema, which will affect toxicity assessment and patient safety.  </w:t>
      </w:r>
      <w:r w:rsidR="00AA7B1F">
        <w:t>Additionally, GBM and other high-grade astrocytic tumors can exhibit pseudo-progression within 6 months from completing definitive, 1</w:t>
      </w:r>
      <w:r w:rsidR="00AA7B1F" w:rsidRPr="00A469FF">
        <w:rPr>
          <w:vertAlign w:val="superscript"/>
        </w:rPr>
        <w:t>st</w:t>
      </w:r>
      <w:r w:rsidR="00AA7B1F">
        <w:t xml:space="preserve"> line radiation therapy</w:t>
      </w:r>
      <w:r w:rsidR="00593102">
        <w:t>, and re-irradiation during this period will increase risk for misattribution of effect.</w:t>
      </w:r>
    </w:p>
    <w:p w14:paraId="374B51B1" w14:textId="77777777" w:rsidR="00CD16F5" w:rsidRPr="00372BB9" w:rsidRDefault="00CD16F5" w:rsidP="001617F4"/>
    <w:p w14:paraId="0890706F" w14:textId="77777777" w:rsidR="00920448" w:rsidRDefault="00E77BF3" w:rsidP="00BC6FC3">
      <w:pPr>
        <w:pStyle w:val="Level3Heading"/>
      </w:pPr>
      <w:r>
        <w:t xml:space="preserve">Prior history of standard dose radiation for gliomas of 59.4-60 </w:t>
      </w:r>
      <w:proofErr w:type="spellStart"/>
      <w:r>
        <w:t>Gy</w:t>
      </w:r>
      <w:proofErr w:type="spellEnd"/>
      <w:r>
        <w:t xml:space="preserve"> in 1.8-2 </w:t>
      </w:r>
      <w:proofErr w:type="spellStart"/>
      <w:r>
        <w:t>Gy</w:t>
      </w:r>
      <w:proofErr w:type="spellEnd"/>
      <w:r>
        <w:t xml:space="preserve"> per fraction (o</w:t>
      </w:r>
      <w:r w:rsidR="00705C62">
        <w:t>r equivalent or lower) is allowed.</w:t>
      </w:r>
    </w:p>
    <w:p w14:paraId="08AC528A" w14:textId="77777777" w:rsidR="00920448" w:rsidRPr="00920448" w:rsidRDefault="00920448" w:rsidP="00920448"/>
    <w:p w14:paraId="37F1566E" w14:textId="6FF79808" w:rsidR="00764FEE" w:rsidRPr="00BC6FC3" w:rsidRDefault="00705C62" w:rsidP="00BC6FC3">
      <w:pPr>
        <w:pStyle w:val="Level3Heading"/>
        <w:rPr>
          <w:i/>
          <w:iCs/>
        </w:rPr>
      </w:pPr>
      <w:r>
        <w:t>Patients who received non-standard radiation such as stereotactic radiosurgery are eligible as long as there is</w:t>
      </w:r>
      <w:r w:rsidR="00764FEE">
        <w:t>:</w:t>
      </w:r>
    </w:p>
    <w:p w14:paraId="3EDB5ACE" w14:textId="28C0353D" w:rsidR="00074934" w:rsidRPr="00A469FF" w:rsidRDefault="00074934" w:rsidP="00764FEE">
      <w:pPr>
        <w:pStyle w:val="Level3Heading"/>
        <w:numPr>
          <w:ilvl w:val="0"/>
          <w:numId w:val="305"/>
        </w:numPr>
        <w:rPr>
          <w:i/>
          <w:iCs/>
        </w:rPr>
      </w:pPr>
      <w:r>
        <w:t xml:space="preserve">A new tumor outside </w:t>
      </w:r>
      <w:r w:rsidR="00567439">
        <w:t xml:space="preserve">the </w:t>
      </w:r>
      <w:r>
        <w:t>original radiotherapy field as determined by the investigator.</w:t>
      </w:r>
    </w:p>
    <w:p w14:paraId="5620DFBF" w14:textId="77777777" w:rsidR="00074934" w:rsidRPr="00A469FF" w:rsidRDefault="00074934" w:rsidP="00764FEE">
      <w:pPr>
        <w:pStyle w:val="Level3Heading"/>
        <w:numPr>
          <w:ilvl w:val="0"/>
          <w:numId w:val="305"/>
        </w:numPr>
        <w:rPr>
          <w:i/>
          <w:iCs/>
        </w:rPr>
      </w:pPr>
      <w:r>
        <w:t>There is histologic confirmation of tumor on biopsy or resection.</w:t>
      </w:r>
    </w:p>
    <w:p w14:paraId="41375456" w14:textId="77777777" w:rsidR="00324DA7" w:rsidRPr="00A469FF" w:rsidRDefault="00074934" w:rsidP="00764FEE">
      <w:pPr>
        <w:pStyle w:val="Level3Heading"/>
        <w:numPr>
          <w:ilvl w:val="0"/>
          <w:numId w:val="305"/>
        </w:numPr>
        <w:rPr>
          <w:i/>
          <w:iCs/>
        </w:rPr>
      </w:pPr>
      <w:r>
        <w:t xml:space="preserve">Imaging findings on MRI spectroscopy/perfusion imaging/nuclear medicine imaging </w:t>
      </w:r>
      <w:r w:rsidR="00324DA7">
        <w:t>are consistent with true progressive disease.</w:t>
      </w:r>
    </w:p>
    <w:p w14:paraId="2D2C4E78" w14:textId="0A9A68DC" w:rsidR="001804DA" w:rsidRPr="00764FEE" w:rsidRDefault="00324DA7" w:rsidP="00A469FF">
      <w:pPr>
        <w:pStyle w:val="Level3Heading"/>
        <w:numPr>
          <w:ilvl w:val="0"/>
          <w:numId w:val="305"/>
        </w:numPr>
        <w:rPr>
          <w:i/>
          <w:iCs/>
        </w:rPr>
      </w:pPr>
      <w:r>
        <w:t>Approved by the principal investigator.</w:t>
      </w:r>
      <w:r w:rsidR="00764FEE">
        <w:t xml:space="preserve"> </w:t>
      </w:r>
      <w:r w:rsidR="00CD16F5" w:rsidRPr="00764FEE">
        <w:rPr>
          <w:i/>
          <w:iCs/>
        </w:rPr>
        <w:t xml:space="preserve"> </w:t>
      </w:r>
    </w:p>
    <w:p w14:paraId="79FFD1BD" w14:textId="77777777" w:rsidR="00DA62ED" w:rsidRPr="007300F3" w:rsidRDefault="00DA62ED" w:rsidP="009E246E">
      <w:pPr>
        <w:suppressAutoHyphens/>
        <w:ind w:left="720"/>
      </w:pPr>
    </w:p>
    <w:p w14:paraId="661E336C" w14:textId="63DF5B42" w:rsidR="00DA62ED" w:rsidRPr="00624C40" w:rsidRDefault="00DA62ED" w:rsidP="00C312CF">
      <w:pPr>
        <w:pStyle w:val="Level3Heading"/>
      </w:pPr>
      <w:r w:rsidRPr="007300F3">
        <w:t xml:space="preserve">Age </w:t>
      </w:r>
      <w:r>
        <w:t>≥</w:t>
      </w:r>
      <w:r w:rsidRPr="007300F3">
        <w:t>18 years.</w:t>
      </w:r>
    </w:p>
    <w:p w14:paraId="2FA7A880" w14:textId="77777777" w:rsidR="00DA62ED" w:rsidRPr="001C329F" w:rsidRDefault="00DA62ED" w:rsidP="009E246E">
      <w:pPr>
        <w:suppressAutoHyphens/>
        <w:ind w:left="720"/>
        <w:rPr>
          <w:color w:val="auto"/>
        </w:rPr>
      </w:pPr>
    </w:p>
    <w:p w14:paraId="4DF8106A" w14:textId="5502B59D" w:rsidR="00DA62ED" w:rsidRPr="001C329F" w:rsidRDefault="00DA62ED" w:rsidP="009E246E">
      <w:pPr>
        <w:suppressAutoHyphens/>
        <w:ind w:left="720"/>
        <w:rPr>
          <w:color w:val="auto"/>
        </w:rPr>
      </w:pPr>
      <w:r w:rsidRPr="001C329F">
        <w:rPr>
          <w:color w:val="auto"/>
        </w:rPr>
        <w:t xml:space="preserve">Because no dosing or adverse event data are currently available on the use of </w:t>
      </w:r>
      <w:r w:rsidR="00AE404E" w:rsidRPr="001C329F">
        <w:rPr>
          <w:iCs/>
          <w:color w:val="auto"/>
        </w:rPr>
        <w:t xml:space="preserve">triapine </w:t>
      </w:r>
      <w:r w:rsidRPr="001C329F">
        <w:rPr>
          <w:color w:val="auto"/>
        </w:rPr>
        <w:t>in patients &lt;18 years of age, children are excluded from this study.</w:t>
      </w:r>
      <w:r w:rsidR="00C87B92" w:rsidRPr="001C329F">
        <w:rPr>
          <w:color w:val="auto"/>
        </w:rPr>
        <w:t xml:space="preserve">  </w:t>
      </w:r>
    </w:p>
    <w:p w14:paraId="37CAD581" w14:textId="77777777" w:rsidR="000474D6" w:rsidRPr="001C329F" w:rsidRDefault="000474D6" w:rsidP="009E246E">
      <w:pPr>
        <w:suppressAutoHyphens/>
        <w:ind w:left="720"/>
        <w:rPr>
          <w:color w:val="auto"/>
        </w:rPr>
      </w:pPr>
    </w:p>
    <w:p w14:paraId="7B6D7E17" w14:textId="5DB90CE6" w:rsidR="00DA62ED" w:rsidRPr="001C329F" w:rsidRDefault="00DA62ED" w:rsidP="00C312CF">
      <w:pPr>
        <w:pStyle w:val="Level3Heading"/>
        <w:rPr>
          <w:color w:val="auto"/>
        </w:rPr>
      </w:pPr>
      <w:r w:rsidRPr="001C329F">
        <w:rPr>
          <w:color w:val="auto"/>
        </w:rPr>
        <w:t>ECOG performance status ≤2 (</w:t>
      </w:r>
      <w:proofErr w:type="spellStart"/>
      <w:r w:rsidRPr="001C329F">
        <w:rPr>
          <w:color w:val="auto"/>
        </w:rPr>
        <w:t>Karnofsky</w:t>
      </w:r>
      <w:proofErr w:type="spellEnd"/>
      <w:r w:rsidRPr="001C329F">
        <w:rPr>
          <w:color w:val="auto"/>
        </w:rPr>
        <w:t xml:space="preserve"> ≥60%, see </w:t>
      </w:r>
      <w:hyperlink w:anchor="_APPENDIX_A_PERFORMANCE" w:history="1">
        <w:r w:rsidRPr="006B26B6">
          <w:rPr>
            <w:rStyle w:val="Hyperlink"/>
          </w:rPr>
          <w:t>Appendix A</w:t>
        </w:r>
      </w:hyperlink>
      <w:r w:rsidRPr="001C329F">
        <w:rPr>
          <w:color w:val="auto"/>
        </w:rPr>
        <w:t>).</w:t>
      </w:r>
    </w:p>
    <w:p w14:paraId="328B3C75" w14:textId="77777777" w:rsidR="00DA62ED" w:rsidRPr="001C329F" w:rsidRDefault="00DA62ED" w:rsidP="009E246E">
      <w:pPr>
        <w:suppressAutoHyphens/>
        <w:ind w:left="720"/>
        <w:rPr>
          <w:color w:val="auto"/>
        </w:rPr>
      </w:pPr>
    </w:p>
    <w:p w14:paraId="229B10F9" w14:textId="14D0A5D0" w:rsidR="00DA62ED" w:rsidRPr="001C329F" w:rsidRDefault="00DA62ED" w:rsidP="00C312CF">
      <w:pPr>
        <w:pStyle w:val="Level3Heading"/>
        <w:rPr>
          <w:color w:val="auto"/>
        </w:rPr>
      </w:pPr>
      <w:r w:rsidRPr="001C329F">
        <w:rPr>
          <w:color w:val="auto"/>
        </w:rPr>
        <w:t xml:space="preserve">Patients must have </w:t>
      </w:r>
      <w:r w:rsidR="00557609" w:rsidRPr="001C329F">
        <w:rPr>
          <w:color w:val="auto"/>
        </w:rPr>
        <w:t xml:space="preserve">adequate </w:t>
      </w:r>
      <w:r w:rsidRPr="001C329F">
        <w:rPr>
          <w:color w:val="auto"/>
        </w:rPr>
        <w:t>organ and marrow function as defined below:</w:t>
      </w:r>
    </w:p>
    <w:p w14:paraId="051713D7" w14:textId="77777777" w:rsidR="00DA62ED" w:rsidRPr="001C329F" w:rsidRDefault="00DA62ED" w:rsidP="009E246E">
      <w:pPr>
        <w:suppressAutoHyphens/>
        <w:ind w:left="720"/>
        <w:rPr>
          <w:color w:val="auto"/>
        </w:rPr>
      </w:pPr>
    </w:p>
    <w:p w14:paraId="58482024" w14:textId="069609FD" w:rsidR="00DA62ED" w:rsidRPr="001C329F" w:rsidRDefault="00DA62ED" w:rsidP="00DA62ED">
      <w:pPr>
        <w:numPr>
          <w:ilvl w:val="0"/>
          <w:numId w:val="1"/>
        </w:numPr>
        <w:tabs>
          <w:tab w:val="left" w:pos="0"/>
          <w:tab w:val="left" w:pos="354"/>
          <w:tab w:val="left" w:pos="710"/>
          <w:tab w:val="left" w:pos="1086"/>
          <w:tab w:val="left" w:pos="1446"/>
          <w:tab w:val="left" w:pos="1802"/>
          <w:tab w:val="left" w:pos="2250"/>
          <w:tab w:val="left" w:pos="2520"/>
          <w:tab w:val="left" w:pos="288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080"/>
        <w:rPr>
          <w:color w:val="auto"/>
        </w:rPr>
      </w:pPr>
      <w:r w:rsidRPr="001C329F">
        <w:rPr>
          <w:color w:val="auto"/>
        </w:rPr>
        <w:t>absolute neutrophil count</w:t>
      </w:r>
      <w:r w:rsidRPr="001C329F">
        <w:rPr>
          <w:rFonts w:ascii="Courier New" w:hAnsi="Courier New"/>
          <w:color w:val="auto"/>
        </w:rPr>
        <w:tab/>
      </w:r>
      <w:r w:rsidR="007D0E72" w:rsidRPr="001C329F">
        <w:rPr>
          <w:rFonts w:ascii="Courier New" w:hAnsi="Courier New"/>
          <w:color w:val="auto"/>
        </w:rPr>
        <w:tab/>
      </w:r>
      <w:r w:rsidRPr="001C329F">
        <w:rPr>
          <w:color w:val="auto"/>
        </w:rPr>
        <w:t>≥1,</w:t>
      </w:r>
      <w:r w:rsidR="005B04F9" w:rsidRPr="001C329F">
        <w:rPr>
          <w:color w:val="auto"/>
        </w:rPr>
        <w:t>5</w:t>
      </w:r>
      <w:r w:rsidRPr="001C329F">
        <w:rPr>
          <w:color w:val="auto"/>
        </w:rPr>
        <w:t>00/</w:t>
      </w:r>
      <w:proofErr w:type="spellStart"/>
      <w:r w:rsidRPr="001C329F">
        <w:rPr>
          <w:color w:val="auto"/>
        </w:rPr>
        <w:t>mcL</w:t>
      </w:r>
      <w:proofErr w:type="spellEnd"/>
    </w:p>
    <w:p w14:paraId="28BA3091" w14:textId="1E1967AD" w:rsidR="005B04F9" w:rsidRPr="001C329F" w:rsidRDefault="005B04F9" w:rsidP="00DA62ED">
      <w:pPr>
        <w:numPr>
          <w:ilvl w:val="0"/>
          <w:numId w:val="1"/>
        </w:numPr>
        <w:tabs>
          <w:tab w:val="left" w:pos="0"/>
          <w:tab w:val="left" w:pos="354"/>
          <w:tab w:val="left" w:pos="710"/>
          <w:tab w:val="left" w:pos="1086"/>
          <w:tab w:val="left" w:pos="1446"/>
          <w:tab w:val="left" w:pos="1802"/>
          <w:tab w:val="left" w:pos="2250"/>
          <w:tab w:val="left" w:pos="2520"/>
          <w:tab w:val="left" w:pos="288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080"/>
        <w:rPr>
          <w:color w:val="auto"/>
        </w:rPr>
      </w:pPr>
      <w:r w:rsidRPr="001C329F">
        <w:rPr>
          <w:color w:val="auto"/>
        </w:rPr>
        <w:t>hemoglobin</w:t>
      </w:r>
      <w:r w:rsidRPr="001C329F">
        <w:rPr>
          <w:color w:val="auto"/>
        </w:rPr>
        <w:tab/>
      </w:r>
      <w:r w:rsidRPr="001C329F">
        <w:rPr>
          <w:color w:val="auto"/>
        </w:rPr>
        <w:tab/>
      </w:r>
      <w:r w:rsidRPr="001C329F">
        <w:rPr>
          <w:color w:val="auto"/>
        </w:rPr>
        <w:tab/>
      </w:r>
      <w:r w:rsidRPr="001C329F">
        <w:rPr>
          <w:color w:val="auto"/>
        </w:rPr>
        <w:tab/>
      </w:r>
      <w:r w:rsidRPr="001C329F">
        <w:rPr>
          <w:color w:val="auto"/>
        </w:rPr>
        <w:tab/>
      </w:r>
      <w:r w:rsidR="00ED7893" w:rsidRPr="001C329F">
        <w:rPr>
          <w:color w:val="auto"/>
        </w:rPr>
        <w:t>≥</w:t>
      </w:r>
      <w:r w:rsidR="00C05194">
        <w:rPr>
          <w:color w:val="auto"/>
        </w:rPr>
        <w:t>8</w:t>
      </w:r>
      <w:r w:rsidR="00C05194" w:rsidRPr="001C329F">
        <w:rPr>
          <w:color w:val="auto"/>
        </w:rPr>
        <w:t xml:space="preserve"> </w:t>
      </w:r>
      <w:r w:rsidR="00ED7893" w:rsidRPr="001C329F">
        <w:rPr>
          <w:color w:val="auto"/>
        </w:rPr>
        <w:t>g/dL</w:t>
      </w:r>
    </w:p>
    <w:p w14:paraId="6205EE93" w14:textId="77777777" w:rsidR="00DA62ED" w:rsidRPr="001C329F" w:rsidRDefault="00DA62ED" w:rsidP="00DA62ED">
      <w:pPr>
        <w:numPr>
          <w:ilvl w:val="0"/>
          <w:numId w:val="1"/>
        </w:numPr>
        <w:tabs>
          <w:tab w:val="left" w:pos="0"/>
          <w:tab w:val="left" w:pos="354"/>
          <w:tab w:val="left" w:pos="710"/>
          <w:tab w:val="left" w:pos="1086"/>
          <w:tab w:val="left" w:pos="1446"/>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080"/>
        <w:rPr>
          <w:color w:val="auto"/>
        </w:rPr>
      </w:pPr>
      <w:r w:rsidRPr="001C329F">
        <w:rPr>
          <w:color w:val="auto"/>
        </w:rPr>
        <w:t>platelets</w:t>
      </w:r>
      <w:r w:rsidRPr="001C329F">
        <w:rPr>
          <w:rFonts w:ascii="Courier New" w:hAnsi="Courier New"/>
          <w:color w:val="auto"/>
        </w:rPr>
        <w:tab/>
      </w:r>
      <w:r w:rsidR="007D0E72" w:rsidRPr="001C329F">
        <w:rPr>
          <w:rFonts w:ascii="Courier New" w:hAnsi="Courier New"/>
          <w:color w:val="auto"/>
        </w:rPr>
        <w:tab/>
      </w:r>
      <w:r w:rsidR="007D0E72" w:rsidRPr="001C329F">
        <w:rPr>
          <w:rFonts w:ascii="Courier New" w:hAnsi="Courier New"/>
          <w:color w:val="auto"/>
        </w:rPr>
        <w:tab/>
      </w:r>
      <w:r w:rsidRPr="001C329F">
        <w:rPr>
          <w:color w:val="auto"/>
        </w:rPr>
        <w:t>≥100,000/</w:t>
      </w:r>
      <w:proofErr w:type="spellStart"/>
      <w:r w:rsidRPr="001C329F">
        <w:rPr>
          <w:color w:val="auto"/>
        </w:rPr>
        <w:t>mcL</w:t>
      </w:r>
      <w:proofErr w:type="spellEnd"/>
    </w:p>
    <w:p w14:paraId="189E7404" w14:textId="50F8FD2E" w:rsidR="00DA62ED" w:rsidRPr="001C329F" w:rsidRDefault="00DA62ED" w:rsidP="00DA62ED">
      <w:pPr>
        <w:numPr>
          <w:ilvl w:val="0"/>
          <w:numId w:val="1"/>
        </w:numPr>
        <w:tabs>
          <w:tab w:val="left" w:pos="0"/>
          <w:tab w:val="left" w:pos="354"/>
          <w:tab w:val="left" w:pos="710"/>
          <w:tab w:val="left" w:pos="1086"/>
          <w:tab w:val="left" w:pos="1446"/>
          <w:tab w:val="left" w:pos="1802"/>
          <w:tab w:val="left" w:pos="225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080"/>
        <w:rPr>
          <w:color w:val="auto"/>
        </w:rPr>
      </w:pPr>
      <w:r w:rsidRPr="001C329F">
        <w:rPr>
          <w:color w:val="auto"/>
        </w:rPr>
        <w:t>total bilirubin</w:t>
      </w:r>
      <w:r w:rsidRPr="001C329F">
        <w:rPr>
          <w:color w:val="auto"/>
        </w:rPr>
        <w:tab/>
      </w:r>
      <w:r w:rsidR="007D0E72" w:rsidRPr="001C329F">
        <w:rPr>
          <w:color w:val="auto"/>
        </w:rPr>
        <w:tab/>
      </w:r>
      <w:r w:rsidRPr="001C329F">
        <w:rPr>
          <w:color w:val="auto"/>
        </w:rPr>
        <w:t>≤</w:t>
      </w:r>
      <w:r w:rsidR="00EF348D" w:rsidRPr="001C329F">
        <w:rPr>
          <w:color w:val="auto"/>
        </w:rPr>
        <w:t>1.5</w:t>
      </w:r>
      <w:r w:rsidR="003628DB" w:rsidRPr="001C329F">
        <w:rPr>
          <w:color w:val="auto"/>
        </w:rPr>
        <w:t xml:space="preserve"> ×</w:t>
      </w:r>
      <w:r w:rsidRPr="001C329F">
        <w:rPr>
          <w:color w:val="auto"/>
        </w:rPr>
        <w:t xml:space="preserve"> institutional upper limit of normal (ULN)</w:t>
      </w:r>
    </w:p>
    <w:p w14:paraId="11D5858A" w14:textId="74E8BCD9" w:rsidR="00DA62ED" w:rsidRPr="007300F3" w:rsidRDefault="00DA62ED" w:rsidP="00DA62ED">
      <w:pPr>
        <w:numPr>
          <w:ilvl w:val="0"/>
          <w:numId w:val="1"/>
        </w:numPr>
        <w:tabs>
          <w:tab w:val="left" w:pos="0"/>
          <w:tab w:val="left" w:pos="354"/>
          <w:tab w:val="left" w:pos="710"/>
          <w:tab w:val="left" w:pos="1086"/>
          <w:tab w:val="left" w:pos="1446"/>
          <w:tab w:val="left" w:pos="1802"/>
          <w:tab w:val="left" w:pos="225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080"/>
      </w:pPr>
      <w:r w:rsidRPr="001C329F">
        <w:rPr>
          <w:color w:val="auto"/>
        </w:rPr>
        <w:t>AST(SGOT)/ALT(SGPT)</w:t>
      </w:r>
      <w:r w:rsidRPr="001C329F">
        <w:rPr>
          <w:rFonts w:ascii="Courier New" w:hAnsi="Courier New"/>
          <w:color w:val="auto"/>
        </w:rPr>
        <w:tab/>
      </w:r>
      <w:r w:rsidR="007D0E72" w:rsidRPr="001C329F">
        <w:rPr>
          <w:rFonts w:ascii="Courier New" w:hAnsi="Courier New"/>
          <w:color w:val="auto"/>
        </w:rPr>
        <w:tab/>
      </w:r>
      <w:r w:rsidRPr="001C329F">
        <w:rPr>
          <w:color w:val="auto"/>
        </w:rPr>
        <w:t>≤</w:t>
      </w:r>
      <w:r w:rsidR="003628DB" w:rsidRPr="001C329F">
        <w:rPr>
          <w:color w:val="auto"/>
        </w:rPr>
        <w:t>2.5</w:t>
      </w:r>
      <w:r w:rsidRPr="001C329F">
        <w:rPr>
          <w:color w:val="auto"/>
        </w:rPr>
        <w:t xml:space="preserve"> × institutional </w:t>
      </w:r>
      <w:r>
        <w:t>ULN</w:t>
      </w:r>
    </w:p>
    <w:p w14:paraId="4770A891" w14:textId="264E93DA" w:rsidR="00DA62ED" w:rsidRPr="007300F3" w:rsidRDefault="00DA62ED" w:rsidP="00DA62ED">
      <w:pPr>
        <w:numPr>
          <w:ilvl w:val="0"/>
          <w:numId w:val="1"/>
        </w:numPr>
        <w:tabs>
          <w:tab w:val="left" w:pos="0"/>
          <w:tab w:val="left" w:pos="354"/>
          <w:tab w:val="left" w:pos="710"/>
          <w:tab w:val="left" w:pos="1086"/>
          <w:tab w:val="left" w:pos="1446"/>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080"/>
      </w:pPr>
      <w:r w:rsidRPr="007300F3">
        <w:t>creatinine</w:t>
      </w:r>
      <w:r w:rsidRPr="007300F3">
        <w:tab/>
      </w:r>
      <w:r w:rsidR="00841CEF">
        <w:tab/>
      </w:r>
      <w:r w:rsidR="00841CEF">
        <w:tab/>
      </w:r>
      <w:r w:rsidR="00693E1C">
        <w:t>≤</w:t>
      </w:r>
      <w:r w:rsidR="004E31CE">
        <w:t>1.5 x ULN</w:t>
      </w:r>
    </w:p>
    <w:p w14:paraId="47FFADAC" w14:textId="77777777" w:rsidR="00DA62ED" w:rsidRPr="007300F3" w:rsidRDefault="00DA62ED" w:rsidP="009E246E">
      <w:pPr>
        <w:tabs>
          <w:tab w:val="center" w:pos="-15570"/>
        </w:tabs>
        <w:suppressAutoHyphens/>
        <w:jc w:val="center"/>
      </w:pPr>
      <w:r w:rsidRPr="007300F3">
        <w:t>OR</w:t>
      </w:r>
    </w:p>
    <w:p w14:paraId="4C3940B2" w14:textId="6DC00FBB" w:rsidR="00AD0233" w:rsidRDefault="00C97E2E" w:rsidP="008166A1">
      <w:pPr>
        <w:numPr>
          <w:ilvl w:val="0"/>
          <w:numId w:val="2"/>
        </w:numPr>
        <w:tabs>
          <w:tab w:val="clear" w:pos="2160"/>
          <w:tab w:val="left" w:pos="0"/>
          <w:tab w:val="left" w:pos="354"/>
          <w:tab w:val="left" w:pos="710"/>
          <w:tab w:val="left" w:pos="1080"/>
          <w:tab w:val="left" w:pos="1800"/>
          <w:tab w:val="left" w:pos="2250"/>
          <w:tab w:val="num" w:pos="2520"/>
          <w:tab w:val="left" w:pos="2880"/>
          <w:tab w:val="left" w:pos="3960"/>
          <w:tab w:val="left" w:pos="4320"/>
          <w:tab w:val="left" w:pos="486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4320" w:hanging="3600"/>
      </w:pPr>
      <w:r>
        <w:t>glomerular filtration rate (GFR)</w:t>
      </w:r>
      <w:r w:rsidR="00DA62ED" w:rsidRPr="007300F3">
        <w:rPr>
          <w:rFonts w:ascii="Courier New" w:hAnsi="Courier New"/>
        </w:rPr>
        <w:tab/>
      </w:r>
      <w:r w:rsidRPr="00DC0B6F">
        <w:t>≥</w:t>
      </w:r>
      <w:r w:rsidR="004E31CE">
        <w:t>5</w:t>
      </w:r>
      <w:r w:rsidR="004E31CE" w:rsidRPr="007300F3">
        <w:t xml:space="preserve">0 </w:t>
      </w:r>
      <w:r w:rsidRPr="007300F3">
        <w:t>mL/min/1.73 m</w:t>
      </w:r>
      <w:r w:rsidR="005A73EB" w:rsidRPr="007300F3">
        <w:rPr>
          <w:sz w:val="28"/>
          <w:vertAlign w:val="superscript"/>
        </w:rPr>
        <w:t>2</w:t>
      </w:r>
      <w:r w:rsidR="005A73EB">
        <w:t xml:space="preserve"> </w:t>
      </w:r>
      <w:r w:rsidR="005A73EB" w:rsidRPr="00105C8F">
        <w:t>(</w:t>
      </w:r>
      <w:r w:rsidR="00AD0233" w:rsidRPr="005A73EB">
        <w:t xml:space="preserve">see </w:t>
      </w:r>
      <w:hyperlink w:anchor="_APPENDIX_B_FORMULA" w:history="1">
        <w:r w:rsidR="00AD0233" w:rsidRPr="006B26B6">
          <w:rPr>
            <w:rStyle w:val="Hyperlink"/>
          </w:rPr>
          <w:t>Appendix B</w:t>
        </w:r>
      </w:hyperlink>
      <w:r w:rsidR="00AD0233">
        <w:t>)</w:t>
      </w:r>
    </w:p>
    <w:p w14:paraId="1E75BF42" w14:textId="77777777" w:rsidR="00CD16F5" w:rsidRDefault="00CD16F5" w:rsidP="00CD16F5">
      <w:pPr>
        <w:tabs>
          <w:tab w:val="left" w:pos="0"/>
          <w:tab w:val="left" w:pos="354"/>
          <w:tab w:val="left" w:pos="710"/>
          <w:tab w:val="left" w:pos="1086"/>
          <w:tab w:val="left" w:pos="1446"/>
          <w:tab w:val="left" w:pos="1802"/>
          <w:tab w:val="left" w:pos="2250"/>
          <w:tab w:val="left" w:pos="4500"/>
          <w:tab w:val="left" w:pos="4590"/>
          <w:tab w:val="left" w:pos="4860"/>
          <w:tab w:val="left" w:pos="5400"/>
          <w:tab w:val="left" w:pos="5760"/>
          <w:tab w:val="left" w:pos="6480"/>
          <w:tab w:val="left" w:pos="6840"/>
          <w:tab w:val="left" w:pos="7200"/>
          <w:tab w:val="left" w:pos="7560"/>
          <w:tab w:val="left" w:pos="7920"/>
          <w:tab w:val="left" w:pos="8280"/>
          <w:tab w:val="left" w:pos="8640"/>
          <w:tab w:val="left" w:pos="9000"/>
          <w:tab w:val="left" w:pos="9360"/>
        </w:tabs>
        <w:suppressAutoHyphens/>
      </w:pPr>
    </w:p>
    <w:p w14:paraId="3F6B6FB5" w14:textId="77777777" w:rsidR="000C7119" w:rsidRPr="000C7119" w:rsidRDefault="000C7119" w:rsidP="00BC7C83">
      <w:pPr>
        <w:pStyle w:val="Level3Heading"/>
        <w:rPr>
          <w:snapToGrid/>
        </w:rPr>
      </w:pPr>
      <w:r w:rsidRPr="000C7119">
        <w:rPr>
          <w:snapToGrid/>
        </w:rPr>
        <w:t xml:space="preserve">Human immunodeficiency virus (HIV)-infected patients on effective anti-retroviral </w:t>
      </w:r>
      <w:r w:rsidRPr="000C7119">
        <w:rPr>
          <w:snapToGrid/>
        </w:rPr>
        <w:lastRenderedPageBreak/>
        <w:t>therapy with undetectable viral load within 6 months are eligible for this trial.</w:t>
      </w:r>
    </w:p>
    <w:p w14:paraId="17A94AF3" w14:textId="77777777" w:rsidR="000C7119" w:rsidRPr="000C7119" w:rsidRDefault="000C7119" w:rsidP="000C7119">
      <w:pPr>
        <w:rPr>
          <w:snapToGrid/>
        </w:rPr>
      </w:pPr>
    </w:p>
    <w:p w14:paraId="54ACF7BC" w14:textId="77777777" w:rsidR="000C7119" w:rsidRPr="000C7119" w:rsidRDefault="000C7119" w:rsidP="00BC7C83">
      <w:pPr>
        <w:pStyle w:val="Level3Heading"/>
        <w:rPr>
          <w:snapToGrid/>
        </w:rPr>
      </w:pPr>
      <w:r w:rsidRPr="000C7119">
        <w:rPr>
          <w:snapToGrid/>
        </w:rPr>
        <w:t>For patients with evidence of chronic hepatitis B virus (HBV) infection, the HBV viral load must be undetectable on suppressive therapy, if indicated.</w:t>
      </w:r>
    </w:p>
    <w:p w14:paraId="0AA8CEA0" w14:textId="77777777" w:rsidR="000C7119" w:rsidRPr="000C7119" w:rsidRDefault="000C7119" w:rsidP="000C7119">
      <w:pPr>
        <w:rPr>
          <w:snapToGrid/>
        </w:rPr>
      </w:pPr>
    </w:p>
    <w:p w14:paraId="090B961D" w14:textId="77777777" w:rsidR="000C7119" w:rsidRPr="000C7119" w:rsidRDefault="000C7119" w:rsidP="00BC7C83">
      <w:pPr>
        <w:pStyle w:val="Level3Heading"/>
        <w:rPr>
          <w:snapToGrid/>
        </w:rPr>
      </w:pPr>
      <w:r w:rsidRPr="000C7119">
        <w:rPr>
          <w:snapToGrid/>
        </w:rPr>
        <w:t>Patients with a history of hepatitis C virus (HCV) infection must have been treated and cured.  For patients with HCV infection who are currently on treatment, they are eligible if they have an undetectable HCV viral load.</w:t>
      </w:r>
    </w:p>
    <w:p w14:paraId="1C8A7CAD" w14:textId="77777777" w:rsidR="000C7119" w:rsidRPr="000C7119" w:rsidRDefault="000C7119" w:rsidP="000C7119">
      <w:pPr>
        <w:rPr>
          <w:snapToGrid/>
        </w:rPr>
      </w:pPr>
    </w:p>
    <w:p w14:paraId="40E76870" w14:textId="77777777" w:rsidR="000C7119" w:rsidRDefault="000C7119" w:rsidP="00BC7C83">
      <w:pPr>
        <w:pStyle w:val="Level3Heading"/>
        <w:rPr>
          <w:snapToGrid/>
        </w:rPr>
      </w:pPr>
      <w:r w:rsidRPr="000C7119">
        <w:rPr>
          <w:snapToGrid/>
        </w:rPr>
        <w:t>Patients with a prior or concurrent malignancy whose natural history or treatment does not have the potential to interfere with the safety or efficacy assessment of the investigational regimen are eligible for this trial.</w:t>
      </w:r>
    </w:p>
    <w:p w14:paraId="3036C567" w14:textId="77777777" w:rsidR="00A61869" w:rsidRDefault="00A61869" w:rsidP="00A61869"/>
    <w:p w14:paraId="2F071144" w14:textId="38F41151" w:rsidR="0086644C" w:rsidRDefault="000C7119" w:rsidP="00BC7C83">
      <w:pPr>
        <w:pStyle w:val="Level3Heading"/>
        <w:rPr>
          <w:snapToGrid/>
        </w:rPr>
      </w:pPr>
      <w:r w:rsidRPr="000C7119">
        <w:rPr>
          <w:snapToGrid/>
        </w:rPr>
        <w:t xml:space="preserve">Patients with known history or current symptoms of cardiac disease, or history of treatment with cardiotoxic agents, should have a clinical risk assessment of cardiac function using the New York Heart Association Functional Classification.  To be eligible for this trial, patients should be class </w:t>
      </w:r>
      <w:r w:rsidR="00073F6D">
        <w:rPr>
          <w:snapToGrid/>
        </w:rPr>
        <w:t>II</w:t>
      </w:r>
      <w:r w:rsidRPr="000C7119">
        <w:rPr>
          <w:snapToGrid/>
        </w:rPr>
        <w:t xml:space="preserve"> or better.</w:t>
      </w:r>
    </w:p>
    <w:p w14:paraId="67E83F15" w14:textId="77777777" w:rsidR="00A06F08" w:rsidRDefault="00A06F08" w:rsidP="00A06F08"/>
    <w:p w14:paraId="5EEC6D03" w14:textId="38DD3F3F" w:rsidR="00A06F08" w:rsidRDefault="00F563D8" w:rsidP="00F563D8">
      <w:pPr>
        <w:pStyle w:val="Level3Heading"/>
      </w:pPr>
      <w:r>
        <w:t>Patients must be able to swallow whole capsules.</w:t>
      </w:r>
    </w:p>
    <w:p w14:paraId="353DD341" w14:textId="77777777" w:rsidR="00C87B92" w:rsidRPr="00BD5DE7" w:rsidRDefault="00C87B92" w:rsidP="00BD5DE7"/>
    <w:p w14:paraId="1FDE2C9F" w14:textId="1A8084B4" w:rsidR="00DA62ED" w:rsidRPr="0048382A" w:rsidRDefault="00CB4217" w:rsidP="00C312CF">
      <w:pPr>
        <w:pStyle w:val="Level3Heading"/>
        <w:rPr>
          <w:i/>
          <w:iCs/>
        </w:rPr>
      </w:pPr>
      <w:r>
        <w:t xml:space="preserve">Patients must be able to undergo MRIs. </w:t>
      </w:r>
      <w:r w:rsidR="00CE0FBF">
        <w:t xml:space="preserve"> </w:t>
      </w:r>
      <w:r w:rsidR="00784CE6">
        <w:t xml:space="preserve">Patients with non-compatible devices </w:t>
      </w:r>
      <w:r w:rsidR="00AC1547">
        <w:t>with MRI can be eligible if CT scans of sufficient quality are obtained.</w:t>
      </w:r>
      <w:r w:rsidR="009412EA">
        <w:t xml:space="preserve"> </w:t>
      </w:r>
      <w:r w:rsidR="00AC1547">
        <w:t xml:space="preserve"> However, patients without non-compatible devices may not use CT scans </w:t>
      </w:r>
      <w:r w:rsidR="00DD359A">
        <w:t>to meet this requirement</w:t>
      </w:r>
      <w:r w:rsidR="00DA62ED" w:rsidRPr="0048382A">
        <w:rPr>
          <w:i/>
          <w:iCs/>
        </w:rPr>
        <w:t>.</w:t>
      </w:r>
    </w:p>
    <w:p w14:paraId="29629898" w14:textId="77777777" w:rsidR="00DA62ED" w:rsidRPr="007300F3" w:rsidRDefault="00DA62ED" w:rsidP="009E246E">
      <w:pPr>
        <w:suppressAutoHyphens/>
        <w:ind w:left="720"/>
      </w:pPr>
    </w:p>
    <w:p w14:paraId="4EDDBD94" w14:textId="3305ED91" w:rsidR="00DA62ED" w:rsidRPr="00D4014F" w:rsidRDefault="00DA62ED" w:rsidP="00D4014F">
      <w:pPr>
        <w:pStyle w:val="Level3Heading"/>
        <w:rPr>
          <w:i/>
          <w:iCs/>
        </w:rPr>
      </w:pPr>
      <w:r w:rsidRPr="007300F3">
        <w:t xml:space="preserve">The </w:t>
      </w:r>
      <w:r w:rsidRPr="001C329F">
        <w:rPr>
          <w:color w:val="auto"/>
        </w:rPr>
        <w:t xml:space="preserve">effects of </w:t>
      </w:r>
      <w:r w:rsidR="005243F8" w:rsidRPr="001C329F">
        <w:rPr>
          <w:iCs/>
          <w:color w:val="auto"/>
        </w:rPr>
        <w:t>triapine</w:t>
      </w:r>
      <w:r w:rsidRPr="001C329F">
        <w:rPr>
          <w:i/>
          <w:color w:val="auto"/>
        </w:rPr>
        <w:t xml:space="preserve"> </w:t>
      </w:r>
      <w:r w:rsidRPr="001C329F">
        <w:rPr>
          <w:color w:val="auto"/>
        </w:rPr>
        <w:t>on the developing human fetus are unknown.  For this reason and because</w:t>
      </w:r>
      <w:r w:rsidRPr="001C329F">
        <w:rPr>
          <w:i/>
          <w:color w:val="auto"/>
        </w:rPr>
        <w:t xml:space="preserve"> </w:t>
      </w:r>
      <w:r w:rsidR="00684963" w:rsidRPr="001C329F">
        <w:rPr>
          <w:iCs/>
          <w:color w:val="auto"/>
        </w:rPr>
        <w:t>RNR</w:t>
      </w:r>
      <w:r w:rsidR="008C5576" w:rsidRPr="001C329F">
        <w:rPr>
          <w:iCs/>
          <w:color w:val="auto"/>
        </w:rPr>
        <w:t xml:space="preserve"> </w:t>
      </w:r>
      <w:r w:rsidR="00684963" w:rsidRPr="001C329F">
        <w:rPr>
          <w:iCs/>
          <w:color w:val="auto"/>
        </w:rPr>
        <w:t>inhibitor</w:t>
      </w:r>
      <w:r w:rsidR="00AD5E49" w:rsidRPr="001C329F">
        <w:rPr>
          <w:iCs/>
          <w:color w:val="auto"/>
        </w:rPr>
        <w:t xml:space="preserve"> agent</w:t>
      </w:r>
      <w:r w:rsidR="00F50C83" w:rsidRPr="001C329F">
        <w:rPr>
          <w:iCs/>
          <w:color w:val="auto"/>
        </w:rPr>
        <w:t xml:space="preserve"> and radiation</w:t>
      </w:r>
      <w:r w:rsidRPr="001C329F">
        <w:rPr>
          <w:color w:val="auto"/>
        </w:rPr>
        <w:t xml:space="preserve"> are known to be teratogenic, women of child-bearing potential and men must agree to use adequate contraception (hormonal or barrier method of birth control; abstinence) prior to study entry</w:t>
      </w:r>
      <w:r w:rsidR="00701665" w:rsidRPr="001C329F">
        <w:rPr>
          <w:color w:val="auto"/>
        </w:rPr>
        <w:t xml:space="preserve">, </w:t>
      </w:r>
      <w:r w:rsidRPr="001C329F">
        <w:rPr>
          <w:color w:val="auto"/>
        </w:rPr>
        <w:t>for the duration of study participation</w:t>
      </w:r>
      <w:r w:rsidR="00701665" w:rsidRPr="001C329F">
        <w:rPr>
          <w:color w:val="auto"/>
        </w:rPr>
        <w:t xml:space="preserve">, </w:t>
      </w:r>
      <w:r w:rsidR="004C3841" w:rsidRPr="001C329F">
        <w:rPr>
          <w:color w:val="auto"/>
        </w:rPr>
        <w:t>and for 12 months after finishing study treatment</w:t>
      </w:r>
      <w:r w:rsidRPr="001C329F">
        <w:rPr>
          <w:color w:val="auto"/>
        </w:rPr>
        <w:t xml:space="preserve">.  </w:t>
      </w:r>
      <w:r w:rsidR="00F63539" w:rsidRPr="001C329F">
        <w:rPr>
          <w:color w:val="auto"/>
        </w:rPr>
        <w:t xml:space="preserve">People of child-bearing potential must have a negative serum or urine pregnancy test (minimum sensitivity 25 IU/L or equivalent units of HCG) within 2 weeks of registration.  </w:t>
      </w:r>
      <w:r w:rsidRPr="001C329F">
        <w:rPr>
          <w:color w:val="auto"/>
        </w:rPr>
        <w:t xml:space="preserve">Should a woman become pregnant or suspect she is pregnant while she or her partner is participating in this study, she should inform her treating physician immediately.  Men treated or enrolled on this protocol must also agree to use adequate contraception prior to the study, for the duration of study participation, and </w:t>
      </w:r>
      <w:r w:rsidR="004C3841" w:rsidRPr="001C329F">
        <w:rPr>
          <w:color w:val="auto"/>
        </w:rPr>
        <w:t>12</w:t>
      </w:r>
      <w:r w:rsidRPr="001C329F">
        <w:rPr>
          <w:color w:val="auto"/>
        </w:rPr>
        <w:t xml:space="preserve"> months after completion of </w:t>
      </w:r>
      <w:r w:rsidR="00684963" w:rsidRPr="001C329F">
        <w:rPr>
          <w:iCs/>
          <w:color w:val="auto"/>
        </w:rPr>
        <w:t>triapine</w:t>
      </w:r>
      <w:r w:rsidRPr="001C329F">
        <w:rPr>
          <w:i/>
          <w:color w:val="auto"/>
        </w:rPr>
        <w:t xml:space="preserve"> </w:t>
      </w:r>
      <w:r>
        <w:t>administration.</w:t>
      </w:r>
    </w:p>
    <w:p w14:paraId="2BBEC2BD" w14:textId="77777777" w:rsidR="00DA62ED" w:rsidRPr="007300F3" w:rsidRDefault="00DA62ED" w:rsidP="009E246E">
      <w:pPr>
        <w:tabs>
          <w:tab w:val="left" w:pos="0"/>
          <w:tab w:val="left" w:pos="354"/>
          <w:tab w:val="left" w:pos="710"/>
          <w:tab w:val="left" w:pos="1086"/>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pPr>
    </w:p>
    <w:p w14:paraId="50419CAF" w14:textId="65156678" w:rsidR="00DA62ED" w:rsidRPr="007300F3" w:rsidRDefault="00DA62ED" w:rsidP="00C312CF">
      <w:pPr>
        <w:pStyle w:val="Level3Heading"/>
      </w:pPr>
      <w:r w:rsidRPr="007300F3">
        <w:t>Ability to understand and the willingness to sign a written informed consent document.</w:t>
      </w:r>
      <w:r w:rsidR="0070197B">
        <w:t xml:space="preserve">  Legally authorized representatives may sign and give informed consent on behalf of study participants.</w:t>
      </w:r>
    </w:p>
    <w:p w14:paraId="0024BF1E" w14:textId="77777777" w:rsidR="00DA62ED" w:rsidRPr="007300F3" w:rsidRDefault="00DA62ED" w:rsidP="009E246E">
      <w:pPr>
        <w:suppressAutoHyphens/>
        <w:ind w:left="720"/>
      </w:pPr>
    </w:p>
    <w:p w14:paraId="1CC497B3" w14:textId="517957E9" w:rsidR="00DA62ED" w:rsidRPr="007300F3" w:rsidRDefault="00DA62ED" w:rsidP="00C94562">
      <w:pPr>
        <w:pStyle w:val="Heading2"/>
      </w:pPr>
      <w:bookmarkStart w:id="29" w:name="_Toc318813004"/>
      <w:bookmarkStart w:id="30" w:name="_Toc176419896"/>
      <w:r w:rsidRPr="00B401D1">
        <w:t>Exclusion Criteria</w:t>
      </w:r>
      <w:bookmarkEnd w:id="29"/>
      <w:bookmarkEnd w:id="30"/>
    </w:p>
    <w:p w14:paraId="01EAFFEA" w14:textId="77777777" w:rsidR="00DA62ED" w:rsidRPr="00694189" w:rsidRDefault="00DA62ED" w:rsidP="00AB0A44"/>
    <w:p w14:paraId="557A6915" w14:textId="71B4067D" w:rsidR="00DA62ED" w:rsidRDefault="00DA62ED" w:rsidP="007838A7">
      <w:pPr>
        <w:pStyle w:val="Level3Heading"/>
      </w:pPr>
      <w:r w:rsidRPr="00DD6154">
        <w:t>Patients who have not recovered from adverse events due to prior anti-cancer therapy (</w:t>
      </w:r>
      <w:r w:rsidRPr="00017725">
        <w:rPr>
          <w:i/>
        </w:rPr>
        <w:t>i.e.</w:t>
      </w:r>
      <w:r w:rsidRPr="00DD6154">
        <w:t>, have residual toxicities &gt; Grade 1)</w:t>
      </w:r>
      <w:r w:rsidR="000474D6">
        <w:t xml:space="preserve"> </w:t>
      </w:r>
      <w:r w:rsidR="001B335E" w:rsidRPr="001B335E">
        <w:t>with the exception of alopecia.</w:t>
      </w:r>
    </w:p>
    <w:p w14:paraId="46DC0F98" w14:textId="77777777" w:rsidR="007838A7" w:rsidRPr="007838A7" w:rsidRDefault="007838A7" w:rsidP="007838A7"/>
    <w:p w14:paraId="563A9888" w14:textId="6519E9F7" w:rsidR="00EE275E" w:rsidRDefault="00DA62ED" w:rsidP="00EE275E">
      <w:pPr>
        <w:pStyle w:val="Level3Heading"/>
      </w:pPr>
      <w:r w:rsidRPr="007300F3">
        <w:lastRenderedPageBreak/>
        <w:t xml:space="preserve">Patients </w:t>
      </w:r>
      <w:r>
        <w:t>who are</w:t>
      </w:r>
      <w:r w:rsidRPr="007300F3">
        <w:t xml:space="preserve"> receiving any other investigational agents.</w:t>
      </w:r>
    </w:p>
    <w:p w14:paraId="414A7495" w14:textId="77777777" w:rsidR="00EE275E" w:rsidRDefault="00EE275E" w:rsidP="00EE275E"/>
    <w:p w14:paraId="78DCD073" w14:textId="5FDFCD64" w:rsidR="00EE275E" w:rsidRPr="001C329F" w:rsidRDefault="00EE275E" w:rsidP="00EE275E">
      <w:pPr>
        <w:pStyle w:val="Level3Heading"/>
        <w:rPr>
          <w:color w:val="auto"/>
        </w:rPr>
      </w:pPr>
      <w:r w:rsidRPr="001C329F">
        <w:rPr>
          <w:color w:val="auto"/>
        </w:rPr>
        <w:t>Patients who are actively taking medications that are known to induce methemoglobinemia.</w:t>
      </w:r>
    </w:p>
    <w:p w14:paraId="4B0AFFAC" w14:textId="77777777" w:rsidR="00DA62ED" w:rsidRPr="007300F3" w:rsidRDefault="00DA62ED" w:rsidP="009E246E">
      <w:pPr>
        <w:suppressAutoHyphens/>
        <w:ind w:left="720"/>
      </w:pPr>
    </w:p>
    <w:p w14:paraId="6835B242" w14:textId="63070D02" w:rsidR="00CD16F5" w:rsidRDefault="00DA62ED" w:rsidP="00CD16F5">
      <w:pPr>
        <w:pStyle w:val="Level3Heading"/>
      </w:pPr>
      <w:r w:rsidRPr="007300F3">
        <w:t xml:space="preserve">History of allergic reactions attributed to compounds of similar chemical or biologic composition </w:t>
      </w:r>
      <w:r w:rsidRPr="00796724">
        <w:t xml:space="preserve">to </w:t>
      </w:r>
      <w:r w:rsidR="00796724" w:rsidRPr="00C651C5">
        <w:rPr>
          <w:color w:val="auto"/>
        </w:rPr>
        <w:t>triapine</w:t>
      </w:r>
      <w:r w:rsidRPr="00C651C5">
        <w:rPr>
          <w:color w:val="auto"/>
        </w:rPr>
        <w:t>.</w:t>
      </w:r>
    </w:p>
    <w:p w14:paraId="585EC436" w14:textId="77777777" w:rsidR="00DA62ED" w:rsidRPr="007300F3" w:rsidRDefault="00DA62ED" w:rsidP="00564668">
      <w:pPr>
        <w:widowControl/>
      </w:pPr>
    </w:p>
    <w:p w14:paraId="469A21EF" w14:textId="2C2879C7" w:rsidR="00DA62ED" w:rsidRPr="00C651C5" w:rsidRDefault="00C87B92" w:rsidP="00C312CF">
      <w:pPr>
        <w:pStyle w:val="Level3Heading"/>
        <w:rPr>
          <w:color w:val="auto"/>
        </w:rPr>
      </w:pPr>
      <w:r>
        <w:t>Patients with u</w:t>
      </w:r>
      <w:r w:rsidR="00DA62ED" w:rsidRPr="007300F3">
        <w:t>ncontrolled intercurrent illness</w:t>
      </w:r>
      <w:r w:rsidR="00480B73" w:rsidRPr="00C651C5">
        <w:rPr>
          <w:color w:val="auto"/>
        </w:rPr>
        <w:t>, active infections,</w:t>
      </w:r>
      <w:r w:rsidR="00AD0233" w:rsidRPr="00C651C5">
        <w:rPr>
          <w:color w:val="auto"/>
        </w:rPr>
        <w:t xml:space="preserve"> or any other significant condition(s) that would make participation in this protocol unreasonably hazardous</w:t>
      </w:r>
      <w:r w:rsidR="00DA62ED" w:rsidRPr="00C651C5">
        <w:rPr>
          <w:color w:val="auto"/>
        </w:rPr>
        <w:t>.</w:t>
      </w:r>
    </w:p>
    <w:p w14:paraId="64DFA55A" w14:textId="77777777" w:rsidR="00C87B92" w:rsidRPr="00C651C5" w:rsidRDefault="00C87B92" w:rsidP="00BD5DE7">
      <w:pPr>
        <w:rPr>
          <w:color w:val="auto"/>
        </w:rPr>
      </w:pPr>
    </w:p>
    <w:p w14:paraId="6849797C" w14:textId="34152796" w:rsidR="00DA62ED" w:rsidRPr="00C651C5" w:rsidRDefault="00DA62ED" w:rsidP="000A3B05">
      <w:pPr>
        <w:pStyle w:val="Level3Heading"/>
        <w:rPr>
          <w:i/>
          <w:iCs/>
          <w:color w:val="auto"/>
        </w:rPr>
      </w:pPr>
      <w:r w:rsidRPr="00C651C5">
        <w:rPr>
          <w:color w:val="auto"/>
        </w:rPr>
        <w:t xml:space="preserve">Pregnant women are excluded from this study because </w:t>
      </w:r>
      <w:r w:rsidR="000A3B05" w:rsidRPr="00C651C5">
        <w:rPr>
          <w:color w:val="auto"/>
        </w:rPr>
        <w:t xml:space="preserve">triapine </w:t>
      </w:r>
      <w:r w:rsidRPr="00C651C5">
        <w:rPr>
          <w:color w:val="auto"/>
        </w:rPr>
        <w:t>is</w:t>
      </w:r>
      <w:r w:rsidR="00AD5E49" w:rsidRPr="00C651C5">
        <w:rPr>
          <w:color w:val="auto"/>
        </w:rPr>
        <w:t xml:space="preserve"> a</w:t>
      </w:r>
      <w:r w:rsidRPr="00C651C5">
        <w:rPr>
          <w:i/>
          <w:color w:val="auto"/>
        </w:rPr>
        <w:t xml:space="preserve"> </w:t>
      </w:r>
      <w:r w:rsidR="00AD5E49" w:rsidRPr="00C651C5">
        <w:rPr>
          <w:iCs/>
          <w:color w:val="auto"/>
        </w:rPr>
        <w:t>RNR inhibitor</w:t>
      </w:r>
      <w:r w:rsidRPr="00C651C5">
        <w:rPr>
          <w:color w:val="auto"/>
        </w:rPr>
        <w:t xml:space="preserve"> agent with the potential for teratogenic or abortifacient effects.  Because there is an unknown but potential risk for adverse events in nursing infants secondary to treatment of the mother with </w:t>
      </w:r>
      <w:r w:rsidR="000A3B05" w:rsidRPr="00C651C5">
        <w:rPr>
          <w:color w:val="auto"/>
        </w:rPr>
        <w:t>triapine</w:t>
      </w:r>
      <w:r w:rsidRPr="00C651C5">
        <w:rPr>
          <w:i/>
          <w:color w:val="auto"/>
        </w:rPr>
        <w:t xml:space="preserve">, </w:t>
      </w:r>
      <w:r w:rsidRPr="00C651C5">
        <w:rPr>
          <w:color w:val="auto"/>
        </w:rPr>
        <w:t>breastfeeding should be discontinued if the mother is treated with</w:t>
      </w:r>
      <w:r w:rsidRPr="00C651C5">
        <w:rPr>
          <w:i/>
          <w:color w:val="auto"/>
        </w:rPr>
        <w:t xml:space="preserve"> </w:t>
      </w:r>
      <w:r w:rsidR="000A3B05" w:rsidRPr="00C651C5">
        <w:rPr>
          <w:color w:val="auto"/>
        </w:rPr>
        <w:t>triapine</w:t>
      </w:r>
      <w:r w:rsidRPr="00C651C5">
        <w:rPr>
          <w:color w:val="auto"/>
        </w:rPr>
        <w:t xml:space="preserve">.  These potential risks may also apply to </w:t>
      </w:r>
      <w:r w:rsidR="00AD5E49" w:rsidRPr="00C651C5">
        <w:rPr>
          <w:color w:val="auto"/>
        </w:rPr>
        <w:t>the radiation</w:t>
      </w:r>
      <w:r w:rsidRPr="00C651C5">
        <w:rPr>
          <w:color w:val="auto"/>
        </w:rPr>
        <w:t xml:space="preserve"> used in this study.</w:t>
      </w:r>
    </w:p>
    <w:p w14:paraId="028E3C4C" w14:textId="77777777" w:rsidR="00E67DCB" w:rsidRDefault="00E67DCB"/>
    <w:p w14:paraId="647F75AF" w14:textId="77777777" w:rsidR="009E246E" w:rsidRPr="00D52EF4" w:rsidRDefault="009E246E" w:rsidP="00C94562">
      <w:pPr>
        <w:pStyle w:val="Heading2"/>
      </w:pPr>
      <w:bookmarkStart w:id="31" w:name="_Toc176419897"/>
      <w:r w:rsidRPr="00D52EF4">
        <w:t>Inclusion of Women and Minorities</w:t>
      </w:r>
      <w:bookmarkEnd w:id="31"/>
    </w:p>
    <w:p w14:paraId="08D2AA12" w14:textId="77777777" w:rsidR="009E246E" w:rsidRPr="000E05D4" w:rsidRDefault="009E246E" w:rsidP="000E05D4">
      <w:pPr>
        <w:rPr>
          <w:color w:val="auto"/>
        </w:rPr>
      </w:pPr>
    </w:p>
    <w:p w14:paraId="14D332CF" w14:textId="7E84F337" w:rsidR="007F247E" w:rsidRPr="006C3B59" w:rsidRDefault="00CB1162" w:rsidP="000E05D4">
      <w:pPr>
        <w:autoSpaceDE w:val="0"/>
        <w:autoSpaceDN w:val="0"/>
        <w:adjustRightInd w:val="0"/>
        <w:rPr>
          <w:color w:val="auto"/>
        </w:rPr>
      </w:pPr>
      <w:r w:rsidRPr="006C3B59">
        <w:rPr>
          <w:color w:val="auto"/>
        </w:rPr>
        <w:t>NIH policy requires that women and members of minority groups and their subpopulations be included in all NIH-supported biomedical and behavioral research projects involving NIH-defined clinical research unless a clear and compelling rationale and justification establishes to the satisfaction of the funding</w:t>
      </w:r>
      <w:r w:rsidR="003D5D63">
        <w:rPr>
          <w:color w:val="auto"/>
        </w:rPr>
        <w:t xml:space="preserve"> Institute &amp; Center</w:t>
      </w:r>
      <w:r w:rsidRPr="006C3B59">
        <w:rPr>
          <w:color w:val="auto"/>
        </w:rPr>
        <w:t xml:space="preserve"> </w:t>
      </w:r>
      <w:r w:rsidR="003D5D63">
        <w:rPr>
          <w:color w:val="auto"/>
        </w:rPr>
        <w:t>(</w:t>
      </w:r>
      <w:r w:rsidRPr="006C3B59">
        <w:rPr>
          <w:color w:val="auto"/>
        </w:rPr>
        <w:t>IC</w:t>
      </w:r>
      <w:r w:rsidR="003D5D63">
        <w:rPr>
          <w:color w:val="auto"/>
        </w:rPr>
        <w:t>)</w:t>
      </w:r>
      <w:r w:rsidRPr="006C3B59">
        <w:rPr>
          <w:color w:val="auto"/>
        </w:rPr>
        <w:t xml:space="preserve"> Director that inclusion is inappropriate with respect to the health of the subjects or the purpose of the research. </w:t>
      </w:r>
      <w:r w:rsidR="000E05D4" w:rsidRPr="006C3B59">
        <w:rPr>
          <w:color w:val="auto"/>
        </w:rPr>
        <w:t xml:space="preserve"> </w:t>
      </w:r>
      <w:r w:rsidRPr="006C3B59">
        <w:rPr>
          <w:color w:val="auto"/>
        </w:rPr>
        <w:t>Exclusion under other circumstances must be designated by the Director, NIH, upon the recommendation of an</w:t>
      </w:r>
      <w:r w:rsidR="00766138">
        <w:rPr>
          <w:color w:val="auto"/>
        </w:rPr>
        <w:t xml:space="preserve"> </w:t>
      </w:r>
      <w:r w:rsidRPr="006C3B59">
        <w:rPr>
          <w:color w:val="auto"/>
        </w:rPr>
        <w:t xml:space="preserve">IC Director based on a compelling rationale and justification. </w:t>
      </w:r>
      <w:r w:rsidR="000E05D4" w:rsidRPr="006C3B59">
        <w:rPr>
          <w:color w:val="auto"/>
        </w:rPr>
        <w:t xml:space="preserve"> </w:t>
      </w:r>
      <w:r w:rsidRPr="006C3B59">
        <w:rPr>
          <w:color w:val="auto"/>
        </w:rPr>
        <w:t xml:space="preserve">Cost is not an acceptable reason for exclusion except when the study </w:t>
      </w:r>
      <w:proofErr w:type="gramStart"/>
      <w:r w:rsidRPr="006C3B59">
        <w:rPr>
          <w:color w:val="auto"/>
        </w:rPr>
        <w:t>would duplicate</w:t>
      </w:r>
      <w:proofErr w:type="gramEnd"/>
      <w:r w:rsidRPr="006C3B59">
        <w:rPr>
          <w:color w:val="auto"/>
        </w:rPr>
        <w:t xml:space="preserve"> data from other sources. </w:t>
      </w:r>
      <w:r w:rsidR="006C3B59">
        <w:rPr>
          <w:color w:val="auto"/>
        </w:rPr>
        <w:t xml:space="preserve"> </w:t>
      </w:r>
      <w:r w:rsidRPr="006C3B59">
        <w:rPr>
          <w:color w:val="auto"/>
        </w:rPr>
        <w:t xml:space="preserve">Women of childbearing potential should not be routinely excluded from participation in clinical research. </w:t>
      </w:r>
      <w:r w:rsidR="00D22696">
        <w:rPr>
          <w:color w:val="auto"/>
        </w:rPr>
        <w:t xml:space="preserve"> Please see </w:t>
      </w:r>
      <w:hyperlink r:id="rId23" w:history="1">
        <w:r w:rsidR="002679AA" w:rsidRPr="00D22696">
          <w:rPr>
            <w:rStyle w:val="Hyperlink"/>
          </w:rPr>
          <w:t>http://grants.nih.gov/grants/funding/phs398/phs398.pdf</w:t>
        </w:r>
      </w:hyperlink>
      <w:r w:rsidR="00D22696" w:rsidRPr="00D22696">
        <w:rPr>
          <w:color w:val="auto"/>
        </w:rPr>
        <w:t>.</w:t>
      </w:r>
    </w:p>
    <w:p w14:paraId="3C3DE019" w14:textId="77777777" w:rsidR="0086607B" w:rsidRPr="000E05D4" w:rsidRDefault="0086607B" w:rsidP="000E05D4">
      <w:pPr>
        <w:suppressAutoHyphens/>
      </w:pPr>
    </w:p>
    <w:p w14:paraId="32CABB1A" w14:textId="77777777" w:rsidR="009E246E" w:rsidRPr="0005788D" w:rsidRDefault="009E246E" w:rsidP="00C94562">
      <w:pPr>
        <w:pStyle w:val="Heading1"/>
      </w:pPr>
      <w:bookmarkStart w:id="32" w:name="_Toc318813006"/>
      <w:bookmarkStart w:id="33" w:name="_Toc176419898"/>
      <w:r w:rsidRPr="0005788D">
        <w:t>REGISTRATION PROCEDURES</w:t>
      </w:r>
      <w:bookmarkEnd w:id="32"/>
      <w:bookmarkEnd w:id="33"/>
    </w:p>
    <w:p w14:paraId="2678933D" w14:textId="77777777" w:rsidR="00581C89" w:rsidRDefault="00581C89" w:rsidP="0059217F">
      <w:pPr>
        <w:widowControl/>
      </w:pPr>
      <w:bookmarkStart w:id="34" w:name="_Hlk502770792"/>
    </w:p>
    <w:p w14:paraId="7AB546E0" w14:textId="77777777" w:rsidR="009E246E" w:rsidRDefault="009E246E" w:rsidP="00C94562">
      <w:pPr>
        <w:pStyle w:val="Heading2"/>
      </w:pPr>
      <w:bookmarkStart w:id="35" w:name="_Toc176419899"/>
      <w:r>
        <w:t>Investigator and Research Associate Registration with CTEP</w:t>
      </w:r>
      <w:bookmarkEnd w:id="35"/>
    </w:p>
    <w:p w14:paraId="176CF6AA" w14:textId="77777777" w:rsidR="00576037" w:rsidRDefault="00576037" w:rsidP="00576037"/>
    <w:p w14:paraId="3B53975B" w14:textId="636D31F5" w:rsidR="000E3C44" w:rsidRDefault="0002284E" w:rsidP="00EE2487">
      <w:pPr>
        <w:suppressAutoHyphens/>
      </w:pPr>
      <w:r>
        <w:t>Food and Drug Administration (FDA) regulations require sponsors to select qualified investigators.  National Cancer Institute (NCI) policy requires all individuals contributing to NCI-sponsored trials to register with their qualifications and credentials and to renew their registration annually.</w:t>
      </w:r>
      <w:r w:rsidR="000E3C44">
        <w:t xml:space="preserve">  To register, all individuals must obtain Cancer Therapy Evaluation Program (CTEP) </w:t>
      </w:r>
      <w:r w:rsidR="00AD0233">
        <w:t>credentials necessary to access secure NCI Clinical Oncology Research Enterprise (CORE) systems.</w:t>
      </w:r>
      <w:r w:rsidR="000E3C44">
        <w:t xml:space="preserve">  </w:t>
      </w:r>
      <w:r w:rsidR="00AD1148" w:rsidRPr="00AD1148">
        <w:t xml:space="preserve">Investigators and clinical site staff who are significant contributors to research must register in the </w:t>
      </w:r>
      <w:r w:rsidR="00AD1148" w:rsidRPr="00406281">
        <w:t>Registration and Credential Repository</w:t>
      </w:r>
      <w:r w:rsidR="00AD1148" w:rsidRPr="00AD1148">
        <w:t xml:space="preserve"> (RCR)</w:t>
      </w:r>
      <w:r w:rsidR="00AD1148">
        <w:t xml:space="preserve"> at </w:t>
      </w:r>
      <w:hyperlink r:id="rId24" w:history="1">
        <w:r w:rsidR="002679AA" w:rsidRPr="007530E0">
          <w:rPr>
            <w:rStyle w:val="Hyperlink"/>
          </w:rPr>
          <w:t>https://ctepcore.nci.nih.gov/rcr/</w:t>
        </w:r>
      </w:hyperlink>
      <w:r w:rsidR="00AD1148" w:rsidRPr="00AD1148">
        <w:t xml:space="preserve">. </w:t>
      </w:r>
      <w:r w:rsidR="002679AA">
        <w:t xml:space="preserve"> </w:t>
      </w:r>
      <w:r w:rsidR="00AD1148" w:rsidRPr="00AD1148">
        <w:t>The RCR is a self-service online person registration application with electronic signature and document submission capability.</w:t>
      </w:r>
    </w:p>
    <w:p w14:paraId="71727CF2" w14:textId="77777777" w:rsidR="00EE2487" w:rsidRDefault="00EE2487" w:rsidP="00EE2487">
      <w:pPr>
        <w:suppressAutoHyphens/>
        <w:ind w:right="-58"/>
      </w:pPr>
    </w:p>
    <w:p w14:paraId="10E24E89" w14:textId="67BBB973" w:rsidR="000E3C44" w:rsidRDefault="000E3C44" w:rsidP="00EE2487">
      <w:pPr>
        <w:suppressAutoHyphens/>
      </w:pPr>
      <w:r>
        <w:t xml:space="preserve">RCR utilizes </w:t>
      </w:r>
      <w:r w:rsidR="00924F48">
        <w:t xml:space="preserve">four </w:t>
      </w:r>
      <w:r>
        <w:t>person registration types</w:t>
      </w:r>
      <w:r w:rsidR="00924F48">
        <w:t xml:space="preserve"> that are applicable to </w:t>
      </w:r>
      <w:r w:rsidR="007B7369">
        <w:t>this</w:t>
      </w:r>
      <w:r w:rsidR="00924F48">
        <w:t xml:space="preserve"> trial</w:t>
      </w:r>
      <w:r>
        <w:t>.</w:t>
      </w:r>
    </w:p>
    <w:p w14:paraId="54EB9464" w14:textId="144BCFCE" w:rsidR="000E3C44" w:rsidRDefault="007934D6" w:rsidP="00562B10">
      <w:pPr>
        <w:pStyle w:val="ListParagraph"/>
        <w:widowControl/>
        <w:numPr>
          <w:ilvl w:val="0"/>
          <w:numId w:val="54"/>
        </w:numPr>
        <w:snapToGrid w:val="0"/>
      </w:pPr>
      <w:r w:rsidRPr="007934D6">
        <w:t xml:space="preserve">Investigator </w:t>
      </w:r>
      <w:r>
        <w:t>(</w:t>
      </w:r>
      <w:r w:rsidR="000E3C44">
        <w:t>IVR</w:t>
      </w:r>
      <w:r>
        <w:t>)</w:t>
      </w:r>
      <w:r w:rsidR="00C6340C">
        <w:t xml:space="preserve">: </w:t>
      </w:r>
      <w:r w:rsidR="000E3C44">
        <w:t xml:space="preserve"> MD, DO, or international equivalent</w:t>
      </w:r>
      <w:r w:rsidR="00C6340C">
        <w:t>,</w:t>
      </w:r>
    </w:p>
    <w:p w14:paraId="6CA8AA20" w14:textId="497360CB" w:rsidR="000E3C44" w:rsidRDefault="007934D6" w:rsidP="00562B10">
      <w:pPr>
        <w:pStyle w:val="ListParagraph"/>
        <w:widowControl/>
        <w:numPr>
          <w:ilvl w:val="0"/>
          <w:numId w:val="54"/>
        </w:numPr>
        <w:snapToGrid w:val="0"/>
      </w:pPr>
      <w:r w:rsidRPr="007934D6">
        <w:lastRenderedPageBreak/>
        <w:t xml:space="preserve">Non Physician Investigator </w:t>
      </w:r>
      <w:r>
        <w:t>(</w:t>
      </w:r>
      <w:r w:rsidR="000E3C44">
        <w:t>NPIVR</w:t>
      </w:r>
      <w:r>
        <w:t>)</w:t>
      </w:r>
      <w:r w:rsidR="00C6340C">
        <w:t xml:space="preserve">: </w:t>
      </w:r>
      <w:r w:rsidR="00D2558E">
        <w:t xml:space="preserve"> </w:t>
      </w:r>
      <w:r w:rsidR="000E3C44">
        <w:t>advanced practice providers (</w:t>
      </w:r>
      <w:r w:rsidR="000E3C44" w:rsidRPr="00EE2487">
        <w:rPr>
          <w:i/>
        </w:rPr>
        <w:t>e</w:t>
      </w:r>
      <w:r w:rsidR="000E3C44">
        <w:t>.</w:t>
      </w:r>
      <w:r w:rsidR="000E3C44" w:rsidRPr="00EE2487">
        <w:rPr>
          <w:i/>
        </w:rPr>
        <w:t>g</w:t>
      </w:r>
      <w:r w:rsidR="000E3C44">
        <w:t>., NP or PA) or graduate level researchers (</w:t>
      </w:r>
      <w:r w:rsidR="000E3C44" w:rsidRPr="00EE2487">
        <w:rPr>
          <w:i/>
        </w:rPr>
        <w:t>e</w:t>
      </w:r>
      <w:r w:rsidR="000E3C44">
        <w:t>.</w:t>
      </w:r>
      <w:r w:rsidR="000E3C44" w:rsidRPr="00EE2487">
        <w:rPr>
          <w:i/>
        </w:rPr>
        <w:t>g</w:t>
      </w:r>
      <w:r w:rsidR="000E3C44">
        <w:t>., PhD)</w:t>
      </w:r>
      <w:r w:rsidR="00C6340C">
        <w:t>,</w:t>
      </w:r>
    </w:p>
    <w:p w14:paraId="1D9379C0" w14:textId="77303F4B" w:rsidR="000E3C44" w:rsidRDefault="007934D6" w:rsidP="00562B10">
      <w:pPr>
        <w:pStyle w:val="ListParagraph"/>
        <w:widowControl/>
        <w:numPr>
          <w:ilvl w:val="0"/>
          <w:numId w:val="54"/>
        </w:numPr>
        <w:snapToGrid w:val="0"/>
      </w:pPr>
      <w:r w:rsidRPr="007934D6">
        <w:t xml:space="preserve">Associate Plus </w:t>
      </w:r>
      <w:r>
        <w:t>(</w:t>
      </w:r>
      <w:r w:rsidR="000E3C44">
        <w:t>AP</w:t>
      </w:r>
      <w:r>
        <w:t>)</w:t>
      </w:r>
      <w:r w:rsidR="00C6340C">
        <w:t xml:space="preserve">: </w:t>
      </w:r>
      <w:r w:rsidR="000E3C44">
        <w:t xml:space="preserve"> clinical site staff (</w:t>
      </w:r>
      <w:r w:rsidR="000E3C44" w:rsidRPr="00EE2487">
        <w:rPr>
          <w:i/>
        </w:rPr>
        <w:t>e</w:t>
      </w:r>
      <w:r w:rsidR="000E3C44">
        <w:t>.</w:t>
      </w:r>
      <w:r w:rsidR="000E3C44" w:rsidRPr="00EE2487">
        <w:rPr>
          <w:i/>
        </w:rPr>
        <w:t>g</w:t>
      </w:r>
      <w:r w:rsidR="000E3C44">
        <w:t xml:space="preserve">., RN or CRA) with data entry access to CTSU applications </w:t>
      </w:r>
      <w:r w:rsidR="005C2A9E">
        <w:t xml:space="preserve">such as </w:t>
      </w:r>
      <w:r w:rsidR="005C2A9E" w:rsidRPr="00FE22E3">
        <w:t xml:space="preserve">the </w:t>
      </w:r>
      <w:r w:rsidR="005C2A9E" w:rsidRPr="00FE22E3">
        <w:rPr>
          <w:lang w:val="en"/>
        </w:rPr>
        <w:t xml:space="preserve">Roster Update Management System </w:t>
      </w:r>
      <w:r w:rsidR="005C2A9E">
        <w:rPr>
          <w:lang w:val="en"/>
        </w:rPr>
        <w:t>(</w:t>
      </w:r>
      <w:r w:rsidR="005C2A9E" w:rsidRPr="00FE22E3">
        <w:t>RUMS</w:t>
      </w:r>
      <w:r w:rsidR="005C2A9E">
        <w:t>)</w:t>
      </w:r>
      <w:r w:rsidR="005C2A9E" w:rsidRPr="00FE22E3">
        <w:t>, OPEN, Rave, acting as a primary site contact, or with consenting privileges</w:t>
      </w:r>
      <w:r w:rsidR="00C6340C">
        <w:t>,</w:t>
      </w:r>
      <w:r w:rsidR="00924F48">
        <w:t xml:space="preserve"> and</w:t>
      </w:r>
    </w:p>
    <w:p w14:paraId="3DB2726C" w14:textId="47675985" w:rsidR="000E3C44" w:rsidRDefault="000E3C44" w:rsidP="00562B10">
      <w:pPr>
        <w:pStyle w:val="ListParagraph"/>
        <w:widowControl/>
        <w:numPr>
          <w:ilvl w:val="0"/>
          <w:numId w:val="54"/>
        </w:numPr>
        <w:snapToGrid w:val="0"/>
      </w:pPr>
      <w:r>
        <w:t>Associate (A)</w:t>
      </w:r>
      <w:r w:rsidR="00C6340C">
        <w:t xml:space="preserve">: </w:t>
      </w:r>
      <w:r>
        <w:t xml:space="preserve"> other clinical site staff involved in the conduct of NCI-sponsored trials</w:t>
      </w:r>
      <w:r w:rsidR="00924F48">
        <w:t>.</w:t>
      </w:r>
    </w:p>
    <w:p w14:paraId="5F3A0659" w14:textId="77777777" w:rsidR="00EE2487" w:rsidRDefault="00EE2487" w:rsidP="00EE2487">
      <w:pPr>
        <w:suppressAutoHyphens/>
      </w:pPr>
    </w:p>
    <w:p w14:paraId="00FB144B" w14:textId="5826AFFB" w:rsidR="000E3C44" w:rsidRDefault="000E3C44" w:rsidP="00EE2487">
      <w:pPr>
        <w:suppressAutoHyphens/>
      </w:pPr>
      <w:r>
        <w:t>RCR requires the following registration documents:</w:t>
      </w:r>
    </w:p>
    <w:p w14:paraId="233C6356" w14:textId="77777777" w:rsidR="00057C6C" w:rsidRDefault="00057C6C" w:rsidP="00EE2487">
      <w:pPr>
        <w:suppressAutoHyphens/>
      </w:pPr>
    </w:p>
    <w:tbl>
      <w:tblPr>
        <w:tblStyle w:val="TableCTSU"/>
        <w:tblW w:w="4711" w:type="pct"/>
        <w:tblInd w:w="0" w:type="dxa"/>
        <w:tblLook w:val="04A0" w:firstRow="1" w:lastRow="0" w:firstColumn="1" w:lastColumn="0" w:noHBand="0" w:noVBand="1"/>
      </w:tblPr>
      <w:tblGrid>
        <w:gridCol w:w="6254"/>
        <w:gridCol w:w="657"/>
        <w:gridCol w:w="976"/>
        <w:gridCol w:w="536"/>
        <w:gridCol w:w="390"/>
      </w:tblGrid>
      <w:tr w:rsidR="00057C6C" w:rsidRPr="00406CE8" w14:paraId="4BFEE78A" w14:textId="77777777" w:rsidTr="00AE127C">
        <w:trPr>
          <w:cnfStyle w:val="100000000000" w:firstRow="1" w:lastRow="0" w:firstColumn="0" w:lastColumn="0" w:oddVBand="0" w:evenVBand="0" w:oddHBand="0" w:evenHBand="0" w:firstRowFirstColumn="0" w:firstRowLastColumn="0" w:lastRowFirstColumn="0" w:lastRowLastColumn="0"/>
        </w:trPr>
        <w:tc>
          <w:tcPr>
            <w:tcW w:w="0" w:type="auto"/>
          </w:tcPr>
          <w:p w14:paraId="623AF9AE" w14:textId="77777777" w:rsidR="00057C6C" w:rsidRPr="00406CE8" w:rsidRDefault="00057C6C" w:rsidP="00AE127C">
            <w:pPr>
              <w:widowControl/>
              <w:spacing w:before="150" w:after="180" w:line="384" w:lineRule="atLeast"/>
              <w:rPr>
                <w:rFonts w:ascii="Times New Roman" w:hAnsi="Times New Roman" w:cs="Times New Roman"/>
                <w:bCs/>
                <w:color w:val="0F0F0F"/>
              </w:rPr>
            </w:pPr>
            <w:bookmarkStart w:id="36" w:name="_Hlk160627685"/>
            <w:r w:rsidRPr="00406CE8">
              <w:rPr>
                <w:rFonts w:ascii="Times New Roman" w:hAnsi="Times New Roman" w:cs="Times New Roman"/>
                <w:bCs/>
                <w:color w:val="0F0F0F"/>
              </w:rPr>
              <w:t>Documentation Required</w:t>
            </w:r>
          </w:p>
        </w:tc>
        <w:tc>
          <w:tcPr>
            <w:tcW w:w="657" w:type="dxa"/>
          </w:tcPr>
          <w:p w14:paraId="0B896F18" w14:textId="77777777" w:rsidR="00057C6C" w:rsidRPr="00406CE8" w:rsidRDefault="00057C6C" w:rsidP="00AE127C">
            <w:pPr>
              <w:widowControl/>
              <w:spacing w:before="150" w:after="180" w:line="384" w:lineRule="atLeast"/>
              <w:rPr>
                <w:rFonts w:ascii="Times New Roman" w:hAnsi="Times New Roman" w:cs="Times New Roman"/>
                <w:bCs/>
                <w:color w:val="0F0F0F"/>
              </w:rPr>
            </w:pPr>
            <w:r w:rsidRPr="00406CE8">
              <w:rPr>
                <w:rFonts w:ascii="Times New Roman" w:hAnsi="Times New Roman" w:cs="Times New Roman"/>
                <w:bCs/>
                <w:color w:val="0F0F0F"/>
              </w:rPr>
              <w:t>IVR</w:t>
            </w:r>
          </w:p>
        </w:tc>
        <w:tc>
          <w:tcPr>
            <w:tcW w:w="976" w:type="dxa"/>
          </w:tcPr>
          <w:p w14:paraId="3277935B" w14:textId="77777777" w:rsidR="00057C6C" w:rsidRPr="00406CE8" w:rsidRDefault="00057C6C" w:rsidP="00AE127C">
            <w:pPr>
              <w:widowControl/>
              <w:spacing w:before="150" w:after="180" w:line="384" w:lineRule="atLeast"/>
              <w:rPr>
                <w:rFonts w:ascii="Times New Roman" w:hAnsi="Times New Roman" w:cs="Times New Roman"/>
                <w:bCs/>
                <w:color w:val="0F0F0F"/>
              </w:rPr>
            </w:pPr>
            <w:r w:rsidRPr="00406CE8">
              <w:rPr>
                <w:rFonts w:ascii="Times New Roman" w:hAnsi="Times New Roman" w:cs="Times New Roman"/>
                <w:bCs/>
                <w:color w:val="0F0F0F"/>
              </w:rPr>
              <w:t>NPIVR</w:t>
            </w:r>
          </w:p>
        </w:tc>
        <w:tc>
          <w:tcPr>
            <w:tcW w:w="536" w:type="dxa"/>
          </w:tcPr>
          <w:p w14:paraId="305CE745" w14:textId="77777777" w:rsidR="00057C6C" w:rsidRPr="00406CE8" w:rsidRDefault="00057C6C" w:rsidP="00AE127C">
            <w:pPr>
              <w:widowControl/>
              <w:spacing w:before="150" w:after="180" w:line="384" w:lineRule="atLeast"/>
              <w:rPr>
                <w:rFonts w:ascii="Times New Roman" w:hAnsi="Times New Roman" w:cs="Times New Roman"/>
                <w:bCs/>
                <w:color w:val="0F0F0F"/>
              </w:rPr>
            </w:pPr>
            <w:r w:rsidRPr="00406CE8">
              <w:rPr>
                <w:rFonts w:ascii="Times New Roman" w:hAnsi="Times New Roman" w:cs="Times New Roman"/>
                <w:bCs/>
                <w:color w:val="0F0F0F"/>
              </w:rPr>
              <w:t>AP</w:t>
            </w:r>
          </w:p>
        </w:tc>
        <w:tc>
          <w:tcPr>
            <w:tcW w:w="390" w:type="dxa"/>
          </w:tcPr>
          <w:p w14:paraId="77211A67" w14:textId="77777777" w:rsidR="00057C6C" w:rsidRPr="00406CE8" w:rsidRDefault="00057C6C" w:rsidP="00AE127C">
            <w:pPr>
              <w:widowControl/>
              <w:spacing w:before="150" w:after="180" w:line="384" w:lineRule="atLeast"/>
              <w:rPr>
                <w:rFonts w:ascii="Times New Roman" w:hAnsi="Times New Roman" w:cs="Times New Roman"/>
                <w:bCs/>
                <w:color w:val="0F0F0F"/>
              </w:rPr>
            </w:pPr>
            <w:r w:rsidRPr="00406CE8">
              <w:rPr>
                <w:rFonts w:ascii="Times New Roman" w:hAnsi="Times New Roman" w:cs="Times New Roman"/>
                <w:bCs/>
                <w:color w:val="0F0F0F"/>
              </w:rPr>
              <w:t>A</w:t>
            </w:r>
          </w:p>
        </w:tc>
      </w:tr>
      <w:tr w:rsidR="00057C6C" w:rsidRPr="00406CE8" w14:paraId="26D712CA" w14:textId="77777777" w:rsidTr="00AE127C">
        <w:trPr>
          <w:cnfStyle w:val="000000100000" w:firstRow="0" w:lastRow="0" w:firstColumn="0" w:lastColumn="0" w:oddVBand="0" w:evenVBand="0" w:oddHBand="1" w:evenHBand="0" w:firstRowFirstColumn="0" w:firstRowLastColumn="0" w:lastRowFirstColumn="0" w:lastRowLastColumn="0"/>
        </w:trPr>
        <w:tc>
          <w:tcPr>
            <w:tcW w:w="0" w:type="auto"/>
          </w:tcPr>
          <w:p w14:paraId="0D05785F" w14:textId="77777777" w:rsidR="00057C6C" w:rsidRPr="00406CE8" w:rsidRDefault="00057C6C" w:rsidP="00AE127C">
            <w:pPr>
              <w:widowControl/>
              <w:spacing w:before="150" w:after="180" w:line="384" w:lineRule="atLeast"/>
              <w:rPr>
                <w:rFonts w:ascii="Times New Roman" w:hAnsi="Times New Roman"/>
                <w:bCs/>
                <w:color w:val="0F0F0F"/>
              </w:rPr>
            </w:pPr>
            <w:r w:rsidRPr="00406CE8">
              <w:rPr>
                <w:rFonts w:ascii="Times New Roman" w:hAnsi="Times New Roman"/>
                <w:bCs/>
                <w:color w:val="0F0F0F"/>
              </w:rPr>
              <w:t>FDA Form 1572</w:t>
            </w:r>
          </w:p>
        </w:tc>
        <w:tc>
          <w:tcPr>
            <w:tcW w:w="657" w:type="dxa"/>
          </w:tcPr>
          <w:p w14:paraId="25E782D2" w14:textId="77777777" w:rsidR="00057C6C" w:rsidRPr="00406CE8" w:rsidRDefault="00057C6C" w:rsidP="00AE127C">
            <w:pPr>
              <w:widowControl/>
              <w:spacing w:before="150" w:after="180" w:line="384" w:lineRule="atLeast"/>
              <w:jc w:val="center"/>
              <w:rPr>
                <w:rFonts w:ascii="Times New Roman" w:hAnsi="Times New Roman"/>
                <w:bCs/>
                <w:color w:val="0F0F0F"/>
              </w:rPr>
            </w:pPr>
            <w:r w:rsidRPr="00406CE8">
              <w:rPr>
                <w:rFonts w:ascii="Segoe UI Symbol" w:hAnsi="Segoe UI Symbol" w:cs="Segoe UI Symbol"/>
                <w:bCs/>
                <w:color w:val="0F0F0F"/>
              </w:rPr>
              <w:t>✔</w:t>
            </w:r>
          </w:p>
        </w:tc>
        <w:tc>
          <w:tcPr>
            <w:tcW w:w="976" w:type="dxa"/>
          </w:tcPr>
          <w:p w14:paraId="3D926F82" w14:textId="77777777" w:rsidR="00057C6C" w:rsidRPr="00406CE8" w:rsidRDefault="00057C6C" w:rsidP="00AE127C">
            <w:pPr>
              <w:widowControl/>
              <w:spacing w:before="150" w:after="180" w:line="384" w:lineRule="atLeast"/>
              <w:jc w:val="center"/>
              <w:rPr>
                <w:rFonts w:ascii="Times New Roman" w:hAnsi="Times New Roman"/>
                <w:bCs/>
                <w:color w:val="0F0F0F"/>
              </w:rPr>
            </w:pPr>
            <w:r w:rsidRPr="00406CE8">
              <w:rPr>
                <w:rFonts w:ascii="Segoe UI Symbol" w:hAnsi="Segoe UI Symbol" w:cs="Segoe UI Symbol"/>
                <w:bCs/>
                <w:color w:val="0F0F0F"/>
              </w:rPr>
              <w:t>✔</w:t>
            </w:r>
          </w:p>
        </w:tc>
        <w:tc>
          <w:tcPr>
            <w:tcW w:w="0" w:type="auto"/>
          </w:tcPr>
          <w:p w14:paraId="35CC9110" w14:textId="77777777" w:rsidR="00057C6C" w:rsidRPr="00406CE8" w:rsidRDefault="00057C6C" w:rsidP="00AE127C">
            <w:pPr>
              <w:widowControl/>
              <w:spacing w:before="150" w:after="180" w:line="384" w:lineRule="atLeast"/>
              <w:jc w:val="center"/>
              <w:rPr>
                <w:rFonts w:ascii="Times New Roman" w:hAnsi="Times New Roman"/>
                <w:bCs/>
                <w:color w:val="0F0F0F"/>
              </w:rPr>
            </w:pPr>
          </w:p>
        </w:tc>
        <w:tc>
          <w:tcPr>
            <w:tcW w:w="0" w:type="auto"/>
          </w:tcPr>
          <w:p w14:paraId="03E5ED8E" w14:textId="77777777" w:rsidR="00057C6C" w:rsidRPr="00406CE8" w:rsidRDefault="00057C6C" w:rsidP="00AE127C">
            <w:pPr>
              <w:widowControl/>
              <w:spacing w:before="150" w:after="180" w:line="384" w:lineRule="atLeast"/>
              <w:rPr>
                <w:rFonts w:ascii="Times New Roman" w:hAnsi="Times New Roman"/>
                <w:bCs/>
                <w:color w:val="0F0F0F"/>
              </w:rPr>
            </w:pPr>
          </w:p>
        </w:tc>
      </w:tr>
      <w:tr w:rsidR="00057C6C" w:rsidRPr="00406CE8" w14:paraId="37103B42" w14:textId="77777777" w:rsidTr="00AE127C">
        <w:tc>
          <w:tcPr>
            <w:tcW w:w="0" w:type="auto"/>
          </w:tcPr>
          <w:p w14:paraId="23F89DAF" w14:textId="77777777" w:rsidR="00057C6C" w:rsidRPr="00406CE8" w:rsidRDefault="00057C6C" w:rsidP="00AE127C">
            <w:pPr>
              <w:widowControl/>
              <w:spacing w:before="150" w:after="180" w:line="384" w:lineRule="atLeast"/>
              <w:rPr>
                <w:rFonts w:ascii="Times New Roman" w:hAnsi="Times New Roman"/>
                <w:bCs/>
                <w:color w:val="0F0F0F"/>
              </w:rPr>
            </w:pPr>
            <w:r w:rsidRPr="00406CE8">
              <w:rPr>
                <w:rFonts w:ascii="Times New Roman" w:hAnsi="Times New Roman"/>
                <w:bCs/>
                <w:color w:val="0F0F0F"/>
              </w:rPr>
              <w:t>Financial Disclosure Form</w:t>
            </w:r>
          </w:p>
        </w:tc>
        <w:tc>
          <w:tcPr>
            <w:tcW w:w="657" w:type="dxa"/>
          </w:tcPr>
          <w:p w14:paraId="13C6154C" w14:textId="77777777" w:rsidR="00057C6C" w:rsidRPr="00406CE8" w:rsidRDefault="00057C6C" w:rsidP="00AE127C">
            <w:pPr>
              <w:widowControl/>
              <w:spacing w:before="150" w:after="180" w:line="384" w:lineRule="atLeast"/>
              <w:jc w:val="center"/>
              <w:rPr>
                <w:rFonts w:ascii="Times New Roman" w:hAnsi="Times New Roman"/>
                <w:bCs/>
                <w:color w:val="0F0F0F"/>
              </w:rPr>
            </w:pPr>
            <w:r w:rsidRPr="00406CE8">
              <w:rPr>
                <w:rFonts w:ascii="Segoe UI Symbol" w:hAnsi="Segoe UI Symbol" w:cs="Segoe UI Symbol"/>
                <w:bCs/>
                <w:color w:val="0F0F0F"/>
              </w:rPr>
              <w:t>✔</w:t>
            </w:r>
          </w:p>
        </w:tc>
        <w:tc>
          <w:tcPr>
            <w:tcW w:w="976" w:type="dxa"/>
          </w:tcPr>
          <w:p w14:paraId="312BCC78" w14:textId="77777777" w:rsidR="00057C6C" w:rsidRPr="00406CE8" w:rsidRDefault="00057C6C" w:rsidP="00AE127C">
            <w:pPr>
              <w:widowControl/>
              <w:spacing w:before="150" w:after="180" w:line="384" w:lineRule="atLeast"/>
              <w:jc w:val="center"/>
              <w:rPr>
                <w:rFonts w:ascii="Times New Roman" w:hAnsi="Times New Roman"/>
                <w:bCs/>
                <w:color w:val="0F0F0F"/>
              </w:rPr>
            </w:pPr>
            <w:r w:rsidRPr="00406CE8">
              <w:rPr>
                <w:rFonts w:ascii="Segoe UI Symbol" w:hAnsi="Segoe UI Symbol" w:cs="Segoe UI Symbol"/>
                <w:bCs/>
                <w:color w:val="0F0F0F"/>
              </w:rPr>
              <w:t>✔</w:t>
            </w:r>
          </w:p>
        </w:tc>
        <w:tc>
          <w:tcPr>
            <w:tcW w:w="536" w:type="dxa"/>
          </w:tcPr>
          <w:p w14:paraId="784FD27C" w14:textId="77777777" w:rsidR="00057C6C" w:rsidRPr="00406CE8" w:rsidRDefault="00057C6C" w:rsidP="00AE127C">
            <w:pPr>
              <w:widowControl/>
              <w:spacing w:before="150" w:after="180" w:line="384" w:lineRule="atLeast"/>
              <w:jc w:val="center"/>
              <w:rPr>
                <w:rFonts w:ascii="Times New Roman" w:hAnsi="Times New Roman"/>
                <w:bCs/>
                <w:color w:val="0F0F0F"/>
              </w:rPr>
            </w:pPr>
            <w:r w:rsidRPr="00406CE8">
              <w:rPr>
                <w:rFonts w:ascii="Segoe UI Symbol" w:hAnsi="Segoe UI Symbol" w:cs="Segoe UI Symbol"/>
                <w:bCs/>
                <w:color w:val="0F0F0F"/>
              </w:rPr>
              <w:t>✔</w:t>
            </w:r>
          </w:p>
        </w:tc>
        <w:tc>
          <w:tcPr>
            <w:tcW w:w="0" w:type="auto"/>
          </w:tcPr>
          <w:p w14:paraId="294AD669" w14:textId="77777777" w:rsidR="00057C6C" w:rsidRPr="00406CE8" w:rsidRDefault="00057C6C" w:rsidP="00AE127C">
            <w:pPr>
              <w:widowControl/>
              <w:spacing w:before="150" w:after="180" w:line="384" w:lineRule="atLeast"/>
              <w:jc w:val="center"/>
              <w:rPr>
                <w:rFonts w:ascii="Times New Roman" w:hAnsi="Times New Roman"/>
                <w:bCs/>
                <w:color w:val="0F0F0F"/>
              </w:rPr>
            </w:pPr>
          </w:p>
        </w:tc>
      </w:tr>
      <w:tr w:rsidR="00057C6C" w:rsidRPr="00406CE8" w14:paraId="19D728C2" w14:textId="77777777" w:rsidTr="00AE127C">
        <w:trPr>
          <w:cnfStyle w:val="000000100000" w:firstRow="0" w:lastRow="0" w:firstColumn="0" w:lastColumn="0" w:oddVBand="0" w:evenVBand="0" w:oddHBand="1" w:evenHBand="0" w:firstRowFirstColumn="0" w:firstRowLastColumn="0" w:lastRowFirstColumn="0" w:lastRowLastColumn="0"/>
        </w:trPr>
        <w:tc>
          <w:tcPr>
            <w:tcW w:w="0" w:type="auto"/>
          </w:tcPr>
          <w:p w14:paraId="04BE26E6" w14:textId="77777777" w:rsidR="00057C6C" w:rsidRPr="00406CE8" w:rsidRDefault="00057C6C" w:rsidP="00AE127C">
            <w:pPr>
              <w:widowControl/>
              <w:spacing w:before="150" w:after="180" w:line="384" w:lineRule="atLeast"/>
              <w:rPr>
                <w:rFonts w:ascii="Times New Roman" w:hAnsi="Times New Roman"/>
                <w:bCs/>
                <w:color w:val="0F0F0F"/>
              </w:rPr>
            </w:pPr>
            <w:r w:rsidRPr="00406CE8">
              <w:rPr>
                <w:rFonts w:ascii="Times New Roman" w:hAnsi="Times New Roman"/>
                <w:bCs/>
                <w:color w:val="0F0F0F"/>
              </w:rPr>
              <w:t>NCI Biosketch (education, training, employment, license, and certification)</w:t>
            </w:r>
          </w:p>
        </w:tc>
        <w:tc>
          <w:tcPr>
            <w:tcW w:w="657" w:type="dxa"/>
          </w:tcPr>
          <w:p w14:paraId="0DE709D1" w14:textId="77777777" w:rsidR="00057C6C" w:rsidRPr="00406CE8" w:rsidRDefault="00057C6C" w:rsidP="00AE127C">
            <w:pPr>
              <w:widowControl/>
              <w:spacing w:before="150" w:after="180" w:line="384" w:lineRule="atLeast"/>
              <w:jc w:val="center"/>
              <w:rPr>
                <w:rFonts w:ascii="Times New Roman" w:hAnsi="Times New Roman"/>
                <w:bCs/>
                <w:color w:val="0F0F0F"/>
              </w:rPr>
            </w:pPr>
            <w:r w:rsidRPr="00406CE8">
              <w:rPr>
                <w:rFonts w:ascii="Segoe UI Symbol" w:hAnsi="Segoe UI Symbol" w:cs="Segoe UI Symbol"/>
                <w:bCs/>
                <w:color w:val="0F0F0F"/>
              </w:rPr>
              <w:t>✔</w:t>
            </w:r>
          </w:p>
        </w:tc>
        <w:tc>
          <w:tcPr>
            <w:tcW w:w="976" w:type="dxa"/>
          </w:tcPr>
          <w:p w14:paraId="73705C9B" w14:textId="77777777" w:rsidR="00057C6C" w:rsidRPr="00406CE8" w:rsidRDefault="00057C6C" w:rsidP="00AE127C">
            <w:pPr>
              <w:widowControl/>
              <w:spacing w:before="150" w:after="180" w:line="384" w:lineRule="atLeast"/>
              <w:jc w:val="center"/>
              <w:rPr>
                <w:rFonts w:ascii="Times New Roman" w:hAnsi="Times New Roman"/>
                <w:bCs/>
                <w:color w:val="0F0F0F"/>
              </w:rPr>
            </w:pPr>
            <w:r w:rsidRPr="00406CE8">
              <w:rPr>
                <w:rFonts w:ascii="Segoe UI Symbol" w:hAnsi="Segoe UI Symbol" w:cs="Segoe UI Symbol"/>
                <w:bCs/>
                <w:color w:val="0F0F0F"/>
              </w:rPr>
              <w:t>✔</w:t>
            </w:r>
          </w:p>
        </w:tc>
        <w:tc>
          <w:tcPr>
            <w:tcW w:w="536" w:type="dxa"/>
          </w:tcPr>
          <w:p w14:paraId="389DA3AA" w14:textId="77777777" w:rsidR="00057C6C" w:rsidRPr="00406CE8" w:rsidRDefault="00057C6C" w:rsidP="00AE127C">
            <w:pPr>
              <w:widowControl/>
              <w:spacing w:before="150" w:after="180" w:line="384" w:lineRule="atLeast"/>
              <w:jc w:val="center"/>
              <w:rPr>
                <w:rFonts w:ascii="Times New Roman" w:hAnsi="Times New Roman"/>
                <w:bCs/>
                <w:color w:val="0F0F0F"/>
              </w:rPr>
            </w:pPr>
            <w:r w:rsidRPr="00406CE8">
              <w:rPr>
                <w:rFonts w:ascii="Segoe UI Symbol" w:hAnsi="Segoe UI Symbol" w:cs="Segoe UI Symbol"/>
                <w:bCs/>
                <w:color w:val="0F0F0F"/>
              </w:rPr>
              <w:t>✔</w:t>
            </w:r>
          </w:p>
        </w:tc>
        <w:tc>
          <w:tcPr>
            <w:tcW w:w="0" w:type="auto"/>
          </w:tcPr>
          <w:p w14:paraId="129C8641" w14:textId="77777777" w:rsidR="00057C6C" w:rsidRPr="00406CE8" w:rsidRDefault="00057C6C" w:rsidP="00AE127C">
            <w:pPr>
              <w:widowControl/>
              <w:spacing w:before="150" w:after="180" w:line="384" w:lineRule="atLeast"/>
              <w:jc w:val="center"/>
              <w:rPr>
                <w:rFonts w:ascii="Times New Roman" w:hAnsi="Times New Roman"/>
                <w:bCs/>
                <w:color w:val="0F0F0F"/>
              </w:rPr>
            </w:pPr>
          </w:p>
        </w:tc>
      </w:tr>
      <w:tr w:rsidR="00057C6C" w:rsidRPr="00406CE8" w14:paraId="021835D4" w14:textId="77777777" w:rsidTr="00AE127C">
        <w:tc>
          <w:tcPr>
            <w:tcW w:w="0" w:type="auto"/>
          </w:tcPr>
          <w:p w14:paraId="6E435657" w14:textId="77777777" w:rsidR="00057C6C" w:rsidRPr="00406CE8" w:rsidRDefault="00057C6C" w:rsidP="00AE127C">
            <w:pPr>
              <w:widowControl/>
              <w:spacing w:before="150" w:after="180" w:line="384" w:lineRule="atLeast"/>
              <w:rPr>
                <w:rFonts w:ascii="Times New Roman" w:hAnsi="Times New Roman"/>
                <w:bCs/>
                <w:color w:val="0F0F0F"/>
              </w:rPr>
            </w:pPr>
            <w:r w:rsidRPr="00406CE8">
              <w:rPr>
                <w:rFonts w:ascii="Times New Roman" w:hAnsi="Times New Roman"/>
                <w:bCs/>
                <w:color w:val="0F0F0F"/>
              </w:rPr>
              <w:t>GCP training</w:t>
            </w:r>
          </w:p>
        </w:tc>
        <w:tc>
          <w:tcPr>
            <w:tcW w:w="657" w:type="dxa"/>
          </w:tcPr>
          <w:p w14:paraId="28544CD4" w14:textId="77777777" w:rsidR="00057C6C" w:rsidRPr="00406CE8" w:rsidRDefault="00057C6C" w:rsidP="00AE127C">
            <w:pPr>
              <w:widowControl/>
              <w:spacing w:before="150" w:after="180" w:line="384" w:lineRule="atLeast"/>
              <w:jc w:val="center"/>
              <w:rPr>
                <w:rFonts w:ascii="Times New Roman" w:hAnsi="Times New Roman"/>
                <w:bCs/>
                <w:color w:val="0F0F0F"/>
              </w:rPr>
            </w:pPr>
            <w:r w:rsidRPr="00406CE8">
              <w:rPr>
                <w:rFonts w:ascii="Segoe UI Symbol" w:hAnsi="Segoe UI Symbol" w:cs="Segoe UI Symbol"/>
                <w:bCs/>
                <w:color w:val="0F0F0F"/>
              </w:rPr>
              <w:t>✔</w:t>
            </w:r>
          </w:p>
        </w:tc>
        <w:tc>
          <w:tcPr>
            <w:tcW w:w="976" w:type="dxa"/>
          </w:tcPr>
          <w:p w14:paraId="4514395B" w14:textId="77777777" w:rsidR="00057C6C" w:rsidRPr="00406CE8" w:rsidRDefault="00057C6C" w:rsidP="00AE127C">
            <w:pPr>
              <w:widowControl/>
              <w:spacing w:before="150" w:after="180" w:line="384" w:lineRule="atLeast"/>
              <w:jc w:val="center"/>
              <w:rPr>
                <w:rFonts w:ascii="Times New Roman" w:hAnsi="Times New Roman"/>
                <w:bCs/>
                <w:color w:val="0F0F0F"/>
              </w:rPr>
            </w:pPr>
            <w:r w:rsidRPr="00406CE8">
              <w:rPr>
                <w:rFonts w:ascii="Segoe UI Symbol" w:hAnsi="Segoe UI Symbol" w:cs="Segoe UI Symbol"/>
                <w:bCs/>
                <w:color w:val="0F0F0F"/>
              </w:rPr>
              <w:t>✔</w:t>
            </w:r>
          </w:p>
        </w:tc>
        <w:tc>
          <w:tcPr>
            <w:tcW w:w="536" w:type="dxa"/>
          </w:tcPr>
          <w:p w14:paraId="33E937D1" w14:textId="77777777" w:rsidR="00057C6C" w:rsidRPr="00406CE8" w:rsidRDefault="00057C6C" w:rsidP="00AE127C">
            <w:pPr>
              <w:widowControl/>
              <w:spacing w:before="150" w:after="180" w:line="384" w:lineRule="atLeast"/>
              <w:jc w:val="center"/>
              <w:rPr>
                <w:rFonts w:ascii="Times New Roman" w:hAnsi="Times New Roman"/>
                <w:bCs/>
                <w:color w:val="0F0F0F"/>
              </w:rPr>
            </w:pPr>
            <w:r w:rsidRPr="00406CE8">
              <w:rPr>
                <w:rFonts w:ascii="Segoe UI Symbol" w:hAnsi="Segoe UI Symbol" w:cs="Segoe UI Symbol"/>
                <w:bCs/>
                <w:color w:val="0F0F0F"/>
              </w:rPr>
              <w:t>✔</w:t>
            </w:r>
          </w:p>
        </w:tc>
        <w:tc>
          <w:tcPr>
            <w:tcW w:w="0" w:type="auto"/>
          </w:tcPr>
          <w:p w14:paraId="150F2C03" w14:textId="77777777" w:rsidR="00057C6C" w:rsidRPr="00406CE8" w:rsidRDefault="00057C6C" w:rsidP="00AE127C">
            <w:pPr>
              <w:widowControl/>
              <w:spacing w:before="150" w:after="180" w:line="384" w:lineRule="atLeast"/>
              <w:jc w:val="center"/>
              <w:rPr>
                <w:rFonts w:ascii="Times New Roman" w:hAnsi="Times New Roman"/>
                <w:bCs/>
                <w:color w:val="0F0F0F"/>
              </w:rPr>
            </w:pPr>
          </w:p>
        </w:tc>
      </w:tr>
      <w:tr w:rsidR="00057C6C" w:rsidRPr="00406CE8" w14:paraId="053E9E8F" w14:textId="77777777" w:rsidTr="00AE127C">
        <w:trPr>
          <w:cnfStyle w:val="000000100000" w:firstRow="0" w:lastRow="0" w:firstColumn="0" w:lastColumn="0" w:oddVBand="0" w:evenVBand="0" w:oddHBand="1" w:evenHBand="0" w:firstRowFirstColumn="0" w:firstRowLastColumn="0" w:lastRowFirstColumn="0" w:lastRowLastColumn="0"/>
        </w:trPr>
        <w:tc>
          <w:tcPr>
            <w:tcW w:w="0" w:type="auto"/>
          </w:tcPr>
          <w:p w14:paraId="75D5A51C" w14:textId="77777777" w:rsidR="00057C6C" w:rsidRPr="00406CE8" w:rsidRDefault="00057C6C" w:rsidP="00AE127C">
            <w:pPr>
              <w:widowControl/>
              <w:spacing w:before="150" w:after="180" w:line="384" w:lineRule="atLeast"/>
              <w:rPr>
                <w:rFonts w:ascii="Times New Roman" w:hAnsi="Times New Roman"/>
                <w:bCs/>
                <w:color w:val="0F0F0F"/>
              </w:rPr>
            </w:pPr>
            <w:r w:rsidRPr="00406CE8">
              <w:rPr>
                <w:rFonts w:ascii="Times New Roman" w:hAnsi="Times New Roman"/>
                <w:bCs/>
                <w:color w:val="0F0F0F"/>
              </w:rPr>
              <w:t>Agent Shipment Form (if applicable)</w:t>
            </w:r>
          </w:p>
        </w:tc>
        <w:tc>
          <w:tcPr>
            <w:tcW w:w="657" w:type="dxa"/>
          </w:tcPr>
          <w:p w14:paraId="202C0BA0" w14:textId="77777777" w:rsidR="00057C6C" w:rsidRPr="00406CE8" w:rsidRDefault="00057C6C" w:rsidP="00AE127C">
            <w:pPr>
              <w:widowControl/>
              <w:spacing w:before="150" w:after="180" w:line="384" w:lineRule="atLeast"/>
              <w:jc w:val="center"/>
              <w:rPr>
                <w:rFonts w:ascii="Times New Roman" w:hAnsi="Times New Roman"/>
                <w:bCs/>
                <w:color w:val="0F0F0F"/>
              </w:rPr>
            </w:pPr>
            <w:r w:rsidRPr="00406CE8">
              <w:rPr>
                <w:rFonts w:ascii="Segoe UI Symbol" w:hAnsi="Segoe UI Symbol" w:cs="Segoe UI Symbol"/>
                <w:bCs/>
                <w:color w:val="0F0F0F"/>
              </w:rPr>
              <w:t>✔</w:t>
            </w:r>
          </w:p>
        </w:tc>
        <w:tc>
          <w:tcPr>
            <w:tcW w:w="0" w:type="auto"/>
          </w:tcPr>
          <w:p w14:paraId="54C6CB9F" w14:textId="77777777" w:rsidR="00057C6C" w:rsidRPr="00406CE8" w:rsidRDefault="00057C6C" w:rsidP="00AE127C">
            <w:pPr>
              <w:widowControl/>
              <w:spacing w:before="150" w:after="180" w:line="384" w:lineRule="atLeast"/>
              <w:jc w:val="center"/>
              <w:rPr>
                <w:rFonts w:ascii="Times New Roman" w:hAnsi="Times New Roman"/>
                <w:bCs/>
                <w:color w:val="0F0F0F"/>
              </w:rPr>
            </w:pPr>
          </w:p>
        </w:tc>
        <w:tc>
          <w:tcPr>
            <w:tcW w:w="0" w:type="auto"/>
          </w:tcPr>
          <w:p w14:paraId="697E6C13" w14:textId="77777777" w:rsidR="00057C6C" w:rsidRPr="00406CE8" w:rsidRDefault="00057C6C" w:rsidP="00AE127C">
            <w:pPr>
              <w:widowControl/>
              <w:spacing w:before="150" w:after="180" w:line="384" w:lineRule="atLeast"/>
              <w:rPr>
                <w:rFonts w:ascii="Times New Roman" w:hAnsi="Times New Roman"/>
                <w:bCs/>
                <w:color w:val="0F0F0F"/>
              </w:rPr>
            </w:pPr>
          </w:p>
        </w:tc>
        <w:tc>
          <w:tcPr>
            <w:tcW w:w="0" w:type="auto"/>
          </w:tcPr>
          <w:p w14:paraId="32050286" w14:textId="77777777" w:rsidR="00057C6C" w:rsidRPr="00406CE8" w:rsidRDefault="00057C6C" w:rsidP="00AE127C">
            <w:pPr>
              <w:widowControl/>
              <w:spacing w:before="150" w:after="180" w:line="384" w:lineRule="atLeast"/>
              <w:rPr>
                <w:rFonts w:ascii="Times New Roman" w:hAnsi="Times New Roman"/>
                <w:bCs/>
                <w:color w:val="0F0F0F"/>
              </w:rPr>
            </w:pPr>
          </w:p>
        </w:tc>
      </w:tr>
      <w:tr w:rsidR="00057C6C" w:rsidRPr="00406CE8" w14:paraId="2F2EB8C4" w14:textId="77777777" w:rsidTr="00AE127C">
        <w:tc>
          <w:tcPr>
            <w:tcW w:w="0" w:type="auto"/>
          </w:tcPr>
          <w:p w14:paraId="4E557930" w14:textId="77777777" w:rsidR="00057C6C" w:rsidRPr="00406CE8" w:rsidRDefault="00057C6C" w:rsidP="00AE127C">
            <w:pPr>
              <w:widowControl/>
              <w:spacing w:before="150" w:after="180" w:line="384" w:lineRule="atLeast"/>
              <w:rPr>
                <w:rFonts w:ascii="Times New Roman" w:hAnsi="Times New Roman"/>
                <w:bCs/>
                <w:color w:val="0F0F0F"/>
              </w:rPr>
            </w:pPr>
            <w:r w:rsidRPr="00406CE8">
              <w:rPr>
                <w:rFonts w:ascii="Times New Roman" w:hAnsi="Times New Roman"/>
                <w:bCs/>
                <w:color w:val="0F0F0F"/>
              </w:rPr>
              <w:t>CV (optional)</w:t>
            </w:r>
          </w:p>
        </w:tc>
        <w:tc>
          <w:tcPr>
            <w:tcW w:w="657" w:type="dxa"/>
          </w:tcPr>
          <w:p w14:paraId="40170AD7" w14:textId="77777777" w:rsidR="00057C6C" w:rsidRPr="00406CE8" w:rsidRDefault="00057C6C" w:rsidP="00AE127C">
            <w:pPr>
              <w:widowControl/>
              <w:spacing w:before="150" w:after="180" w:line="384" w:lineRule="atLeast"/>
              <w:jc w:val="center"/>
              <w:rPr>
                <w:rFonts w:ascii="Times New Roman" w:hAnsi="Times New Roman"/>
                <w:bCs/>
                <w:color w:val="0F0F0F"/>
              </w:rPr>
            </w:pPr>
            <w:r w:rsidRPr="00406CE8">
              <w:rPr>
                <w:rFonts w:ascii="Segoe UI Symbol" w:hAnsi="Segoe UI Symbol" w:cs="Segoe UI Symbol"/>
                <w:bCs/>
                <w:color w:val="0F0F0F"/>
              </w:rPr>
              <w:t>✔</w:t>
            </w:r>
          </w:p>
        </w:tc>
        <w:tc>
          <w:tcPr>
            <w:tcW w:w="976" w:type="dxa"/>
          </w:tcPr>
          <w:p w14:paraId="4F07C33B" w14:textId="77777777" w:rsidR="00057C6C" w:rsidRPr="00406CE8" w:rsidRDefault="00057C6C" w:rsidP="00AE127C">
            <w:pPr>
              <w:widowControl/>
              <w:spacing w:before="150" w:after="180" w:line="384" w:lineRule="atLeast"/>
              <w:jc w:val="center"/>
              <w:rPr>
                <w:rFonts w:ascii="Times New Roman" w:hAnsi="Times New Roman"/>
                <w:bCs/>
                <w:color w:val="0F0F0F"/>
              </w:rPr>
            </w:pPr>
            <w:r w:rsidRPr="00406CE8">
              <w:rPr>
                <w:rFonts w:ascii="Segoe UI Symbol" w:hAnsi="Segoe UI Symbol" w:cs="Segoe UI Symbol"/>
                <w:bCs/>
                <w:color w:val="0F0F0F"/>
              </w:rPr>
              <w:t>✔</w:t>
            </w:r>
          </w:p>
        </w:tc>
        <w:tc>
          <w:tcPr>
            <w:tcW w:w="536" w:type="dxa"/>
          </w:tcPr>
          <w:p w14:paraId="77D98233" w14:textId="77777777" w:rsidR="00057C6C" w:rsidRPr="00406CE8" w:rsidRDefault="00057C6C" w:rsidP="00AE127C">
            <w:pPr>
              <w:widowControl/>
              <w:spacing w:before="150" w:after="180" w:line="384" w:lineRule="atLeast"/>
              <w:jc w:val="center"/>
              <w:rPr>
                <w:rFonts w:ascii="Times New Roman" w:hAnsi="Times New Roman"/>
                <w:bCs/>
                <w:color w:val="0F0F0F"/>
              </w:rPr>
            </w:pPr>
            <w:r w:rsidRPr="00406CE8">
              <w:rPr>
                <w:rFonts w:ascii="Segoe UI Symbol" w:hAnsi="Segoe UI Symbol" w:cs="Segoe UI Symbol"/>
                <w:bCs/>
                <w:color w:val="0F0F0F"/>
              </w:rPr>
              <w:t>✔</w:t>
            </w:r>
          </w:p>
        </w:tc>
        <w:tc>
          <w:tcPr>
            <w:tcW w:w="0" w:type="auto"/>
          </w:tcPr>
          <w:p w14:paraId="6E64E193" w14:textId="77777777" w:rsidR="00057C6C" w:rsidRPr="00406CE8" w:rsidRDefault="00057C6C" w:rsidP="00AE127C">
            <w:pPr>
              <w:widowControl/>
              <w:spacing w:before="150"/>
              <w:jc w:val="center"/>
              <w:rPr>
                <w:rFonts w:ascii="Times New Roman" w:hAnsi="Times New Roman"/>
                <w:bCs/>
                <w:color w:val="0F0F0F"/>
              </w:rPr>
            </w:pPr>
          </w:p>
        </w:tc>
      </w:tr>
      <w:bookmarkEnd w:id="36"/>
    </w:tbl>
    <w:p w14:paraId="4094E25E" w14:textId="77777777" w:rsidR="00057C6C" w:rsidRDefault="00057C6C" w:rsidP="00EE2487">
      <w:pPr>
        <w:suppressAutoHyphens/>
      </w:pPr>
    </w:p>
    <w:p w14:paraId="3F2D83E2" w14:textId="77777777" w:rsidR="00EE2487" w:rsidRDefault="00EE2487" w:rsidP="00EE2487">
      <w:pPr>
        <w:suppressAutoHyphens/>
      </w:pPr>
    </w:p>
    <w:p w14:paraId="66995BE4" w14:textId="101762F2" w:rsidR="000E3C44" w:rsidRDefault="000E3C44" w:rsidP="000E3C44">
      <w:r>
        <w:t>IVRs and NPIVRs must list all clinical practice sites and Institutional Review Boards (IRBs) covering their practice sites in RCR to allow the following:</w:t>
      </w:r>
    </w:p>
    <w:p w14:paraId="5CBFA229" w14:textId="77777777" w:rsidR="00EE2487" w:rsidRDefault="00EE2487" w:rsidP="000E3C44"/>
    <w:p w14:paraId="24672547" w14:textId="0881AC8E" w:rsidR="000E3C44" w:rsidRDefault="000E3C44" w:rsidP="00562B10">
      <w:pPr>
        <w:pStyle w:val="ListParagraph"/>
        <w:widowControl/>
        <w:numPr>
          <w:ilvl w:val="0"/>
          <w:numId w:val="54"/>
        </w:numPr>
        <w:snapToGrid w:val="0"/>
      </w:pPr>
      <w:r>
        <w:t>Addition to a site roster</w:t>
      </w:r>
      <w:r w:rsidR="00C6340C">
        <w:t>,</w:t>
      </w:r>
    </w:p>
    <w:p w14:paraId="240DDA67" w14:textId="4719DA69" w:rsidR="000E3C44" w:rsidRDefault="007934D6" w:rsidP="00562B10">
      <w:pPr>
        <w:pStyle w:val="ListParagraph"/>
        <w:widowControl/>
        <w:numPr>
          <w:ilvl w:val="0"/>
          <w:numId w:val="54"/>
        </w:numPr>
        <w:snapToGrid w:val="0"/>
      </w:pPr>
      <w:r w:rsidRPr="007934D6">
        <w:t>Selection as</w:t>
      </w:r>
      <w:r w:rsidR="000E3C44">
        <w:t xml:space="preserve"> the treating, credit, or </w:t>
      </w:r>
      <w:r w:rsidRPr="007934D6">
        <w:t>consenting person</w:t>
      </w:r>
      <w:r w:rsidR="000E3C44">
        <w:t xml:space="preserve"> in OPEN</w:t>
      </w:r>
      <w:r w:rsidR="00C6340C">
        <w:t>,</w:t>
      </w:r>
    </w:p>
    <w:p w14:paraId="42807171" w14:textId="6EC1C8CB" w:rsidR="000E3C44" w:rsidRDefault="007934D6" w:rsidP="00562B10">
      <w:pPr>
        <w:pStyle w:val="ListParagraph"/>
        <w:widowControl/>
        <w:numPr>
          <w:ilvl w:val="0"/>
          <w:numId w:val="54"/>
        </w:numPr>
        <w:snapToGrid w:val="0"/>
      </w:pPr>
      <w:r w:rsidRPr="007934D6">
        <w:t xml:space="preserve">Ability to be named </w:t>
      </w:r>
      <w:r w:rsidR="000E3C44">
        <w:t>as the site-protocol Principal Investigator (PI) on the IRB approval</w:t>
      </w:r>
      <w:r w:rsidR="00C6340C">
        <w:t>,</w:t>
      </w:r>
      <w:r w:rsidR="000E3C44">
        <w:t xml:space="preserve"> and</w:t>
      </w:r>
    </w:p>
    <w:p w14:paraId="548CD597" w14:textId="7A61F698" w:rsidR="000E3C44" w:rsidRDefault="007934D6" w:rsidP="00562B10">
      <w:pPr>
        <w:pStyle w:val="ListParagraph"/>
        <w:widowControl/>
        <w:numPr>
          <w:ilvl w:val="0"/>
          <w:numId w:val="54"/>
        </w:numPr>
        <w:snapToGrid w:val="0"/>
      </w:pPr>
      <w:r>
        <w:t xml:space="preserve">Assignment of </w:t>
      </w:r>
      <w:r w:rsidR="000E3C44">
        <w:t xml:space="preserve">the Clinical Investigator (CI) </w:t>
      </w:r>
      <w:r w:rsidR="00F303E7">
        <w:t>task</w:t>
      </w:r>
      <w:r w:rsidR="000E3C44">
        <w:t xml:space="preserve"> on the Delegation of Tasks Log (DTL). </w:t>
      </w:r>
    </w:p>
    <w:p w14:paraId="39EADE05" w14:textId="77777777" w:rsidR="000E3C44" w:rsidRDefault="000E3C44" w:rsidP="00EE2487"/>
    <w:p w14:paraId="02542955" w14:textId="417DE564" w:rsidR="000E3C44" w:rsidRDefault="000E3C44" w:rsidP="00BB16B5">
      <w:r>
        <w:t>In addition, all investigators act</w:t>
      </w:r>
      <w:r w:rsidR="005C2A9E">
        <w:t>ing</w:t>
      </w:r>
      <w:r>
        <w:t xml:space="preserve"> as the Site-Protocol PI</w:t>
      </w:r>
      <w:r w:rsidR="00E7304C">
        <w:t xml:space="preserve"> (Investigator listed on the IRB approval)</w:t>
      </w:r>
      <w:r>
        <w:t>, consenting</w:t>
      </w:r>
      <w:r w:rsidR="00924F48">
        <w:t xml:space="preserve"> or </w:t>
      </w:r>
      <w:r>
        <w:t>treating</w:t>
      </w:r>
      <w:r w:rsidR="00E7304C">
        <w:t xml:space="preserve"> investigator in OPEN</w:t>
      </w:r>
      <w:r>
        <w:t xml:space="preserve">, or as the </w:t>
      </w:r>
      <w:r w:rsidR="00E7304C">
        <w:t>Clinical Investigator (</w:t>
      </w:r>
      <w:r>
        <w:t>CI</w:t>
      </w:r>
      <w:r w:rsidR="00E7304C">
        <w:t>)</w:t>
      </w:r>
      <w:r>
        <w:t xml:space="preserve"> on the DTL must be rostered at the enrolling site with a participating organization. </w:t>
      </w:r>
    </w:p>
    <w:p w14:paraId="19A6541D" w14:textId="77777777" w:rsidR="00AC5085" w:rsidRDefault="00AC5085" w:rsidP="00BB16B5"/>
    <w:p w14:paraId="71C2483D" w14:textId="156F0E15" w:rsidR="000E3C44" w:rsidRDefault="00CE375D" w:rsidP="00EE2487">
      <w:pPr>
        <w:suppressAutoHyphens/>
      </w:pPr>
      <w:r w:rsidRPr="00D0794E">
        <w:t xml:space="preserve">Refer to the </w:t>
      </w:r>
      <w:hyperlink r:id="rId25" w:history="1">
        <w:r w:rsidRPr="00D0794E">
          <w:rPr>
            <w:rStyle w:val="Hyperlink"/>
          </w:rPr>
          <w:t>NCI RCR</w:t>
        </w:r>
      </w:hyperlink>
      <w:r w:rsidRPr="00D0794E">
        <w:rPr>
          <w:rStyle w:val="Hyperlink"/>
          <w:color w:val="auto"/>
          <w:u w:val="none"/>
        </w:rPr>
        <w:t xml:space="preserve"> </w:t>
      </w:r>
      <w:r w:rsidRPr="00D0794E">
        <w:rPr>
          <w:bdr w:val="none" w:sz="0" w:space="0" w:color="auto" w:frame="1"/>
        </w:rPr>
        <w:t>page on the </w:t>
      </w:r>
      <w:hyperlink r:id="rId26" w:history="1">
        <w:r w:rsidRPr="00D0794E">
          <w:rPr>
            <w:rStyle w:val="Hyperlink"/>
            <w:color w:val="0000CC"/>
          </w:rPr>
          <w:t>CTEP website</w:t>
        </w:r>
      </w:hyperlink>
      <w:r w:rsidRPr="00D0794E">
        <w:rPr>
          <w:rStyle w:val="Hyperlink"/>
          <w:color w:val="auto"/>
          <w:u w:val="none"/>
        </w:rPr>
        <w:t xml:space="preserve"> for </w:t>
      </w:r>
      <w:r w:rsidRPr="00D0794E">
        <w:t>additional information</w:t>
      </w:r>
      <w:r w:rsidR="0098525E">
        <w:t>.</w:t>
      </w:r>
      <w:r w:rsidR="000E3C44">
        <w:t xml:space="preserve"> </w:t>
      </w:r>
      <w:r w:rsidR="00EE2487">
        <w:t xml:space="preserve"> </w:t>
      </w:r>
      <w:r w:rsidR="000E3C44">
        <w:t xml:space="preserve">For questions, please contact the </w:t>
      </w:r>
      <w:r w:rsidR="000E3C44">
        <w:rPr>
          <w:b/>
        </w:rPr>
        <w:t>RCR</w:t>
      </w:r>
      <w:r w:rsidR="000E3C44">
        <w:rPr>
          <w:b/>
          <w:i/>
        </w:rPr>
        <w:t xml:space="preserve"> </w:t>
      </w:r>
      <w:r w:rsidR="000E3C44">
        <w:rPr>
          <w:b/>
        </w:rPr>
        <w:t>Help Desk</w:t>
      </w:r>
      <w:r w:rsidR="000E3C44">
        <w:t xml:space="preserve"> by email at </w:t>
      </w:r>
      <w:hyperlink r:id="rId27" w:history="1">
        <w:r w:rsidR="00924F48" w:rsidRPr="00EB7E23">
          <w:rPr>
            <w:rStyle w:val="Hyperlink"/>
            <w:color w:val="0000CC"/>
          </w:rPr>
          <w:t>RCRHelpDesk@nih.gov</w:t>
        </w:r>
      </w:hyperlink>
      <w:r w:rsidR="000E3C44">
        <w:t>.</w:t>
      </w:r>
    </w:p>
    <w:p w14:paraId="2FACC199" w14:textId="77777777" w:rsidR="009E246E" w:rsidRDefault="009E246E" w:rsidP="009E246E"/>
    <w:p w14:paraId="118BCFBE" w14:textId="5D27872B" w:rsidR="009E246E" w:rsidRDefault="009E246E" w:rsidP="00C94562">
      <w:pPr>
        <w:pStyle w:val="Heading2"/>
      </w:pPr>
      <w:bookmarkStart w:id="37" w:name="_Toc176419900"/>
      <w:r>
        <w:t>Site Registration</w:t>
      </w:r>
      <w:bookmarkEnd w:id="37"/>
    </w:p>
    <w:p w14:paraId="15D0EC51" w14:textId="77777777" w:rsidR="00D36EC1" w:rsidRDefault="00D36EC1" w:rsidP="00487761"/>
    <w:p w14:paraId="0B068F4F" w14:textId="77777777" w:rsidR="009E246E" w:rsidRPr="005D2B63" w:rsidRDefault="009E246E" w:rsidP="00487761">
      <w:pPr>
        <w:rPr>
          <w:bCs/>
          <w:szCs w:val="22"/>
        </w:rPr>
      </w:pPr>
      <w:r w:rsidRPr="005D2B63">
        <w:rPr>
          <w:szCs w:val="22"/>
        </w:rPr>
        <w:t>This study is supported by the NCI Cancer Trials Support Unit (CTSU).</w:t>
      </w:r>
    </w:p>
    <w:p w14:paraId="15B47FCD" w14:textId="77777777" w:rsidR="009E246E" w:rsidRPr="007E470C" w:rsidRDefault="009E246E" w:rsidP="00487761"/>
    <w:p w14:paraId="6D51B140" w14:textId="4782D9D0" w:rsidR="00BB16B5" w:rsidRDefault="00BB16B5" w:rsidP="00BB16B5">
      <w:pPr>
        <w:rPr>
          <w:b/>
        </w:rPr>
      </w:pPr>
      <w:r>
        <w:rPr>
          <w:b/>
        </w:rPr>
        <w:t xml:space="preserve">IRB Approval  </w:t>
      </w:r>
    </w:p>
    <w:p w14:paraId="4DF1A2BF" w14:textId="77777777" w:rsidR="00BB16B5" w:rsidRPr="00BB16B5" w:rsidRDefault="00BB16B5" w:rsidP="00BB16B5">
      <w:pPr>
        <w:suppressAutoHyphens/>
        <w:ind w:right="-60"/>
        <w:rPr>
          <w:color w:val="auto"/>
        </w:rPr>
      </w:pPr>
    </w:p>
    <w:p w14:paraId="38C2B36D" w14:textId="36FB7BEC" w:rsidR="00BB16B5" w:rsidRDefault="00BB16B5" w:rsidP="00BB16B5">
      <w:pPr>
        <w:suppressAutoHyphens/>
        <w:ind w:right="-60"/>
      </w:pPr>
      <w:r>
        <w:t xml:space="preserve">Sites participating </w:t>
      </w:r>
      <w:r w:rsidR="00924F48">
        <w:t xml:space="preserve">through </w:t>
      </w:r>
      <w:r>
        <w:t xml:space="preserve">the NCI Central Institutional Review Board (NCI CIRB) must submit </w:t>
      </w:r>
      <w:r>
        <w:lastRenderedPageBreak/>
        <w:t xml:space="preserve">the Study Specific Worksheet </w:t>
      </w:r>
      <w:r w:rsidR="00DC3D68">
        <w:t xml:space="preserve">(SSW) </w:t>
      </w:r>
      <w:r>
        <w:t xml:space="preserve">for Local Context to the CIRB using IRBManager to indicate their intent to open the study locally.  The NCI CIRB’s approval of the SSW is automatically communicated to the CTSU Regulatory Office, but sites are required to contact the CTSU Regulatory Office at </w:t>
      </w:r>
      <w:hyperlink r:id="rId28" w:history="1">
        <w:r w:rsidR="002679AA">
          <w:rPr>
            <w:rStyle w:val="Hyperlink"/>
          </w:rPr>
          <w:t>CTSURegPref@ctsu.coccg.org</w:t>
        </w:r>
      </w:hyperlink>
      <w:r>
        <w:t xml:space="preserve"> to establish site preferences for applying NCI CIRB approvals across their Signatory Network.  Site preferences can be set at the network or protocol level.  Questions about establishing site preferences can be addressed to the CTSU Regulatory Office by </w:t>
      </w:r>
      <w:r w:rsidR="005C2A9E">
        <w:t>email</w:t>
      </w:r>
      <w:r w:rsidR="00924F48">
        <w:t xml:space="preserve"> (</w:t>
      </w:r>
      <w:hyperlink r:id="rId29" w:history="1">
        <w:r w:rsidR="00924F48">
          <w:rPr>
            <w:rStyle w:val="Hyperlink"/>
          </w:rPr>
          <w:t>CTSURegPref@ctsu.coccg.org</w:t>
        </w:r>
      </w:hyperlink>
      <w:r w:rsidR="00924F48">
        <w:t>)</w:t>
      </w:r>
      <w:r w:rsidR="005C2A9E">
        <w:t xml:space="preserve"> </w:t>
      </w:r>
      <w:r>
        <w:t xml:space="preserve">or </w:t>
      </w:r>
      <w:r w:rsidR="00924F48">
        <w:t xml:space="preserve">by </w:t>
      </w:r>
      <w:r>
        <w:t>calling 1-888-651-CTSU (2878).</w:t>
      </w:r>
    </w:p>
    <w:p w14:paraId="78767BD1" w14:textId="77777777" w:rsidR="00BB16B5" w:rsidRDefault="00BB16B5" w:rsidP="00BB16B5">
      <w:pPr>
        <w:suppressAutoHyphens/>
        <w:ind w:right="-60"/>
      </w:pPr>
    </w:p>
    <w:p w14:paraId="025C8A13" w14:textId="66FDA366" w:rsidR="00BB16B5" w:rsidRDefault="00BB16B5" w:rsidP="00AC5085">
      <w:pPr>
        <w:suppressAutoHyphens/>
        <w:ind w:right="-60"/>
      </w:pPr>
      <w:r>
        <w:t>In addition, the Site-Protocol PI (</w:t>
      </w:r>
      <w:r w:rsidRPr="00AC5085">
        <w:rPr>
          <w:i/>
        </w:rPr>
        <w:t>i</w:t>
      </w:r>
      <w:r>
        <w:t>.</w:t>
      </w:r>
      <w:r w:rsidRPr="00AC5085">
        <w:rPr>
          <w:i/>
        </w:rPr>
        <w:t>e</w:t>
      </w:r>
      <w:r>
        <w:t>.</w:t>
      </w:r>
      <w:r w:rsidR="00C6340C">
        <w:t>,</w:t>
      </w:r>
      <w:r>
        <w:t xml:space="preserve"> the investigator on the IRB/REB approval) must meet the following criteria </w:t>
      </w:r>
      <w:r w:rsidR="00015F5F" w:rsidRPr="00015F5F">
        <w:t>for the site to be able to have an Approved status following processing of the IRB/REB approval record</w:t>
      </w:r>
      <w:r>
        <w:t>:</w:t>
      </w:r>
    </w:p>
    <w:p w14:paraId="3329A8AF" w14:textId="2B727AF0" w:rsidR="00BB16B5" w:rsidRDefault="00015F5F" w:rsidP="00562B10">
      <w:pPr>
        <w:widowControl/>
        <w:numPr>
          <w:ilvl w:val="0"/>
          <w:numId w:val="55"/>
        </w:numPr>
        <w:suppressAutoHyphens/>
        <w:snapToGrid w:val="0"/>
        <w:ind w:right="-60"/>
        <w:contextualSpacing/>
        <w:rPr>
          <w:rFonts w:eastAsia="Calibri"/>
        </w:rPr>
      </w:pPr>
      <w:r>
        <w:rPr>
          <w:rFonts w:eastAsia="Calibri"/>
        </w:rPr>
        <w:t>Have</w:t>
      </w:r>
      <w:r w:rsidR="00BB16B5">
        <w:rPr>
          <w:rFonts w:eastAsia="Calibri"/>
        </w:rPr>
        <w:t xml:space="preserve"> an </w:t>
      </w:r>
      <w:r w:rsidR="005C2A9E">
        <w:rPr>
          <w:rFonts w:eastAsia="Calibri"/>
        </w:rPr>
        <w:t>a</w:t>
      </w:r>
      <w:r w:rsidR="00BB16B5">
        <w:rPr>
          <w:rFonts w:eastAsia="Calibri"/>
        </w:rPr>
        <w:t>ctive CTEP status</w:t>
      </w:r>
      <w:r w:rsidR="00C6340C">
        <w:rPr>
          <w:rFonts w:eastAsia="Calibri"/>
        </w:rPr>
        <w:t>,</w:t>
      </w:r>
    </w:p>
    <w:p w14:paraId="60391ABD" w14:textId="61E31ED4" w:rsidR="00BB16B5" w:rsidRDefault="00015F5F" w:rsidP="00562B10">
      <w:pPr>
        <w:widowControl/>
        <w:numPr>
          <w:ilvl w:val="0"/>
          <w:numId w:val="55"/>
        </w:numPr>
        <w:suppressAutoHyphens/>
        <w:snapToGrid w:val="0"/>
        <w:ind w:right="-60"/>
        <w:contextualSpacing/>
        <w:rPr>
          <w:rFonts w:eastAsia="Calibri"/>
        </w:rPr>
      </w:pPr>
      <w:r>
        <w:rPr>
          <w:rFonts w:eastAsia="Calibri"/>
        </w:rPr>
        <w:t>Have an a</w:t>
      </w:r>
      <w:r w:rsidR="00DC3D68">
        <w:rPr>
          <w:rFonts w:eastAsia="Calibri"/>
        </w:rPr>
        <w:t xml:space="preserve">ctive status </w:t>
      </w:r>
      <w:r w:rsidR="00BB16B5">
        <w:rPr>
          <w:rFonts w:eastAsia="Calibri"/>
        </w:rPr>
        <w:t>at the site</w:t>
      </w:r>
      <w:r w:rsidR="00DC3D68">
        <w:rPr>
          <w:rFonts w:eastAsia="Calibri"/>
        </w:rPr>
        <w:t>(s)</w:t>
      </w:r>
      <w:r w:rsidR="00BB16B5">
        <w:rPr>
          <w:rFonts w:eastAsia="Calibri"/>
        </w:rPr>
        <w:t xml:space="preserve"> on the IRB/REB approval (</w:t>
      </w:r>
      <w:r w:rsidR="00BB16B5">
        <w:rPr>
          <w:rFonts w:eastAsia="Calibri"/>
          <w:i/>
        </w:rPr>
        <w:t>applies to US and Canadian sites only</w:t>
      </w:r>
      <w:r w:rsidR="00BB16B5">
        <w:rPr>
          <w:rFonts w:eastAsia="Calibri"/>
        </w:rPr>
        <w:t>) on at least one participating</w:t>
      </w:r>
      <w:r w:rsidR="00DC3D68">
        <w:rPr>
          <w:rFonts w:eastAsia="Calibri"/>
        </w:rPr>
        <w:t xml:space="preserve"> organization’s</w:t>
      </w:r>
      <w:r w:rsidR="00BB16B5">
        <w:rPr>
          <w:rFonts w:eastAsia="Calibri"/>
        </w:rPr>
        <w:t xml:space="preserve"> roster</w:t>
      </w:r>
      <w:r w:rsidR="00C6340C">
        <w:rPr>
          <w:rFonts w:eastAsia="Calibri"/>
        </w:rPr>
        <w:t>,</w:t>
      </w:r>
    </w:p>
    <w:p w14:paraId="09C3BB5A" w14:textId="52986C75" w:rsidR="00BB16B5" w:rsidRDefault="00BB16B5" w:rsidP="00562B10">
      <w:pPr>
        <w:widowControl/>
        <w:numPr>
          <w:ilvl w:val="0"/>
          <w:numId w:val="55"/>
        </w:numPr>
        <w:suppressAutoHyphens/>
        <w:snapToGrid w:val="0"/>
        <w:ind w:right="-60"/>
        <w:contextualSpacing/>
        <w:rPr>
          <w:rFonts w:eastAsia="Calibri"/>
        </w:rPr>
      </w:pPr>
      <w:r>
        <w:rPr>
          <w:rFonts w:eastAsia="Calibri"/>
        </w:rPr>
        <w:t xml:space="preserve">If using NCI CIRB, </w:t>
      </w:r>
      <w:r w:rsidR="00015F5F">
        <w:rPr>
          <w:rFonts w:eastAsia="Calibri"/>
        </w:rPr>
        <w:t xml:space="preserve">be </w:t>
      </w:r>
      <w:r w:rsidR="00DC3D68">
        <w:rPr>
          <w:rFonts w:eastAsia="Calibri"/>
        </w:rPr>
        <w:t xml:space="preserve">active </w:t>
      </w:r>
      <w:r>
        <w:rPr>
          <w:rFonts w:eastAsia="Calibri"/>
        </w:rPr>
        <w:t xml:space="preserve">on the NCI CIRB </w:t>
      </w:r>
      <w:r w:rsidR="00DC3D68" w:rsidRPr="00DC3D68">
        <w:rPr>
          <w:rFonts w:eastAsia="Calibri"/>
        </w:rPr>
        <w:t xml:space="preserve">roster under the applicable CIRB </w:t>
      </w:r>
      <w:r>
        <w:rPr>
          <w:rFonts w:eastAsia="Calibri"/>
        </w:rPr>
        <w:t xml:space="preserve">Signatory </w:t>
      </w:r>
      <w:r w:rsidR="00DC3D68" w:rsidRPr="00DC3D68">
        <w:rPr>
          <w:rFonts w:eastAsia="Calibri"/>
        </w:rPr>
        <w:t xml:space="preserve">Institution(s) </w:t>
      </w:r>
      <w:r>
        <w:rPr>
          <w:rFonts w:eastAsia="Calibri"/>
        </w:rPr>
        <w:t>record</w:t>
      </w:r>
      <w:r w:rsidR="00C6340C">
        <w:rPr>
          <w:rFonts w:eastAsia="Calibri"/>
        </w:rPr>
        <w:t>,</w:t>
      </w:r>
    </w:p>
    <w:p w14:paraId="34F71462" w14:textId="61229C75" w:rsidR="00BB16B5" w:rsidRDefault="00BB16B5" w:rsidP="00562B10">
      <w:pPr>
        <w:widowControl/>
        <w:numPr>
          <w:ilvl w:val="0"/>
          <w:numId w:val="55"/>
        </w:numPr>
        <w:suppressAutoHyphens/>
        <w:snapToGrid w:val="0"/>
        <w:ind w:right="-60"/>
        <w:contextualSpacing/>
        <w:rPr>
          <w:rFonts w:eastAsia="Calibri"/>
        </w:rPr>
      </w:pPr>
      <w:r>
        <w:rPr>
          <w:rFonts w:eastAsia="Calibri"/>
        </w:rPr>
        <w:t>Include the IRB number of the IRB providing approval in the Form FDA 1572 in the RCR profile</w:t>
      </w:r>
      <w:r w:rsidR="00C6340C">
        <w:rPr>
          <w:rFonts w:eastAsia="Calibri"/>
        </w:rPr>
        <w:t>,</w:t>
      </w:r>
    </w:p>
    <w:p w14:paraId="5D9E87EE" w14:textId="07D90E7F" w:rsidR="00DC3D68" w:rsidRPr="00DC3D68" w:rsidRDefault="00DC3D68" w:rsidP="00562B10">
      <w:pPr>
        <w:pStyle w:val="ListParagraph"/>
        <w:numPr>
          <w:ilvl w:val="0"/>
          <w:numId w:val="55"/>
        </w:numPr>
        <w:rPr>
          <w:rFonts w:eastAsia="Calibri"/>
        </w:rPr>
      </w:pPr>
      <w:r w:rsidRPr="00DC3D68">
        <w:rPr>
          <w:rFonts w:eastAsia="Calibri"/>
        </w:rPr>
        <w:t>List all sites on the IRB/REB approval as Practice Sites in the Form FDA 1572 in the RCR profile; and</w:t>
      </w:r>
    </w:p>
    <w:p w14:paraId="05D5BF48" w14:textId="2D0DD762" w:rsidR="00BB16B5" w:rsidRDefault="00015F5F" w:rsidP="00562B10">
      <w:pPr>
        <w:widowControl/>
        <w:numPr>
          <w:ilvl w:val="0"/>
          <w:numId w:val="55"/>
        </w:numPr>
        <w:suppressAutoHyphens/>
        <w:snapToGrid w:val="0"/>
        <w:ind w:right="-60"/>
        <w:contextualSpacing/>
        <w:rPr>
          <w:rFonts w:eastAsia="Calibri"/>
        </w:rPr>
      </w:pPr>
      <w:r>
        <w:rPr>
          <w:rFonts w:eastAsia="Calibri"/>
        </w:rPr>
        <w:t>Have</w:t>
      </w:r>
      <w:r w:rsidR="00BB16B5">
        <w:rPr>
          <w:rFonts w:eastAsia="Calibri"/>
        </w:rPr>
        <w:t xml:space="preserve"> the appropriate CTEP registration type for the protocol. </w:t>
      </w:r>
    </w:p>
    <w:p w14:paraId="7417F22A" w14:textId="77777777" w:rsidR="00BB16B5" w:rsidRDefault="00BB16B5" w:rsidP="00BB16B5">
      <w:pPr>
        <w:rPr>
          <w:b/>
        </w:rPr>
      </w:pPr>
    </w:p>
    <w:p w14:paraId="55B21A43" w14:textId="7AB26BED" w:rsidR="00BB16B5" w:rsidRDefault="00BB16B5" w:rsidP="00BB16B5">
      <w:pPr>
        <w:rPr>
          <w:b/>
        </w:rPr>
      </w:pPr>
      <w:r>
        <w:rPr>
          <w:b/>
        </w:rPr>
        <w:t>Additional Requirements</w:t>
      </w:r>
    </w:p>
    <w:p w14:paraId="29E35DC2" w14:textId="77777777" w:rsidR="00BB16B5" w:rsidRDefault="00BB16B5" w:rsidP="00BB16B5">
      <w:pPr>
        <w:rPr>
          <w:b/>
        </w:rPr>
      </w:pPr>
    </w:p>
    <w:p w14:paraId="2CA6507C" w14:textId="02AEAB09" w:rsidR="00BB16B5" w:rsidRDefault="00BB16B5" w:rsidP="00AC5085">
      <w:pPr>
        <w:suppressAutoHyphens/>
        <w:ind w:right="-60"/>
      </w:pPr>
      <w:r>
        <w:t xml:space="preserve">Additional </w:t>
      </w:r>
      <w:r w:rsidR="0065570A">
        <w:t xml:space="preserve">site </w:t>
      </w:r>
      <w:r>
        <w:t>requirements to obtain an approved site registration status include:</w:t>
      </w:r>
    </w:p>
    <w:p w14:paraId="036A7E37" w14:textId="7B56A12D" w:rsidR="00BB16B5" w:rsidRDefault="00BB16B5" w:rsidP="00562B10">
      <w:pPr>
        <w:widowControl/>
        <w:numPr>
          <w:ilvl w:val="0"/>
          <w:numId w:val="56"/>
        </w:numPr>
        <w:suppressAutoHyphens/>
        <w:snapToGrid w:val="0"/>
        <w:ind w:right="-60"/>
        <w:contextualSpacing/>
      </w:pPr>
      <w:r>
        <w:t xml:space="preserve">An active </w:t>
      </w:r>
      <w:proofErr w:type="spellStart"/>
      <w:r w:rsidR="00181B8B">
        <w:t>FederalWide</w:t>
      </w:r>
      <w:proofErr w:type="spellEnd"/>
      <w:r w:rsidR="00181B8B">
        <w:t xml:space="preserve"> </w:t>
      </w:r>
      <w:r>
        <w:t>Assurance (FWA) number</w:t>
      </w:r>
      <w:r w:rsidR="00C6340C">
        <w:t>,</w:t>
      </w:r>
    </w:p>
    <w:p w14:paraId="2778BD4D" w14:textId="4F8DEA9C" w:rsidR="00BB16B5" w:rsidRDefault="00BB16B5" w:rsidP="00562B10">
      <w:pPr>
        <w:widowControl/>
        <w:numPr>
          <w:ilvl w:val="0"/>
          <w:numId w:val="56"/>
        </w:numPr>
        <w:suppressAutoHyphens/>
        <w:snapToGrid w:val="0"/>
        <w:ind w:right="-60"/>
        <w:contextualSpacing/>
      </w:pPr>
      <w:r>
        <w:t>An active roster affiliation with the Lead Protocol Organization (LPO) or a Participating Organization</w:t>
      </w:r>
      <w:r w:rsidR="005C2A9E">
        <w:t xml:space="preserve"> (PO)</w:t>
      </w:r>
      <w:r w:rsidR="00C6340C">
        <w:t>,</w:t>
      </w:r>
      <w:r>
        <w:t xml:space="preserve"> </w:t>
      </w:r>
    </w:p>
    <w:p w14:paraId="362FFA0D" w14:textId="1BEF5E08" w:rsidR="0065570A" w:rsidRDefault="0065570A" w:rsidP="00562B10">
      <w:pPr>
        <w:pStyle w:val="ListParagraph"/>
        <w:widowControl/>
        <w:numPr>
          <w:ilvl w:val="0"/>
          <w:numId w:val="56"/>
        </w:numPr>
        <w:suppressAutoHyphens/>
        <w:snapToGrid w:val="0"/>
        <w:ind w:right="-60"/>
      </w:pPr>
      <w:r w:rsidRPr="0065570A">
        <w:t>An active roster affiliation with the NCI CIRB roster under at least one CIRB Signatory Institution (US sites only); and</w:t>
      </w:r>
    </w:p>
    <w:p w14:paraId="5E030B16" w14:textId="3B516E6D" w:rsidR="00BB16B5" w:rsidRDefault="00BB16B5" w:rsidP="00562B10">
      <w:pPr>
        <w:widowControl/>
        <w:numPr>
          <w:ilvl w:val="0"/>
          <w:numId w:val="56"/>
        </w:numPr>
        <w:suppressAutoHyphens/>
        <w:snapToGrid w:val="0"/>
        <w:ind w:right="-60"/>
        <w:contextualSpacing/>
      </w:pPr>
      <w:r>
        <w:t xml:space="preserve">Compliance with all </w:t>
      </w:r>
      <w:r w:rsidR="00FF6D22">
        <w:t xml:space="preserve">applicable </w:t>
      </w:r>
      <w:r>
        <w:t>protocol-specific requirements (PSRs).</w:t>
      </w:r>
    </w:p>
    <w:p w14:paraId="0D4487CC" w14:textId="77777777" w:rsidR="009E246E" w:rsidRDefault="009E246E" w:rsidP="009E246E"/>
    <w:p w14:paraId="191A4C2B" w14:textId="126E45F4" w:rsidR="009E246E" w:rsidRPr="0043663A" w:rsidRDefault="009E246E" w:rsidP="0043663A">
      <w:pPr>
        <w:pStyle w:val="Level3Heading"/>
        <w:rPr>
          <w:u w:val="single"/>
        </w:rPr>
      </w:pPr>
      <w:r w:rsidRPr="0043663A">
        <w:rPr>
          <w:u w:val="single"/>
        </w:rPr>
        <w:t xml:space="preserve">Downloading </w:t>
      </w:r>
      <w:r w:rsidR="0043663A" w:rsidRPr="0043663A">
        <w:rPr>
          <w:u w:val="single"/>
        </w:rPr>
        <w:t>Site Registration</w:t>
      </w:r>
      <w:r w:rsidRPr="0043663A">
        <w:rPr>
          <w:u w:val="single"/>
        </w:rPr>
        <w:t xml:space="preserve"> Documents</w:t>
      </w:r>
    </w:p>
    <w:p w14:paraId="20E8C3CC" w14:textId="77777777" w:rsidR="001E4057" w:rsidRDefault="001E4057" w:rsidP="009E246E">
      <w:pPr>
        <w:ind w:left="720"/>
      </w:pPr>
    </w:p>
    <w:p w14:paraId="3BCD616D" w14:textId="09BFE3BA" w:rsidR="00BB16B5" w:rsidRDefault="00BB16B5">
      <w:r>
        <w:t xml:space="preserve">Download the site registration forms from the protocol-specific page located on the CTSU members’ website. </w:t>
      </w:r>
      <w:r w:rsidR="00A118B3">
        <w:t xml:space="preserve"> </w:t>
      </w:r>
      <w:r>
        <w:t xml:space="preserve">Permission to view and download this protocol and its supporting documents is restricted </w:t>
      </w:r>
      <w:r w:rsidR="009C7E92">
        <w:t xml:space="preserve">to </w:t>
      </w:r>
      <w:r>
        <w:t>institution</w:t>
      </w:r>
      <w:r w:rsidR="009C7E92">
        <w:t>s</w:t>
      </w:r>
      <w:r>
        <w:t xml:space="preserve"> and </w:t>
      </w:r>
      <w:r w:rsidR="00FF6D22">
        <w:t>their</w:t>
      </w:r>
      <w:r>
        <w:t xml:space="preserve"> associated investigators and staff </w:t>
      </w:r>
      <w:r w:rsidR="006B699E">
        <w:t>on a participating roster</w:t>
      </w:r>
      <w:r>
        <w:t xml:space="preserve">. </w:t>
      </w:r>
      <w:r w:rsidR="00435A37" w:rsidRPr="00435A37">
        <w:t xml:space="preserve"> To view/download site registration forms:  </w:t>
      </w:r>
    </w:p>
    <w:p w14:paraId="3851A5FE" w14:textId="77777777" w:rsidR="008E5ACD" w:rsidRDefault="008E5ACD" w:rsidP="00514FE4">
      <w:pPr>
        <w:rPr>
          <w:snapToGrid/>
        </w:rPr>
      </w:pPr>
    </w:p>
    <w:p w14:paraId="511F780D" w14:textId="3BC341B7" w:rsidR="00BB16B5" w:rsidRDefault="00BB16B5" w:rsidP="00562B10">
      <w:pPr>
        <w:widowControl/>
        <w:numPr>
          <w:ilvl w:val="0"/>
          <w:numId w:val="57"/>
        </w:numPr>
        <w:suppressAutoHyphens/>
        <w:snapToGrid w:val="0"/>
        <w:ind w:right="-60"/>
        <w:contextualSpacing/>
        <w:rPr>
          <w:rFonts w:eastAsia="Calibri"/>
        </w:rPr>
      </w:pPr>
      <w:r>
        <w:rPr>
          <w:rFonts w:eastAsia="Calibri"/>
        </w:rPr>
        <w:t xml:space="preserve">Log </w:t>
      </w:r>
      <w:r w:rsidR="00B76D21">
        <w:rPr>
          <w:rFonts w:eastAsia="Calibri"/>
        </w:rPr>
        <w:t xml:space="preserve">in </w:t>
      </w:r>
      <w:r>
        <w:rPr>
          <w:rFonts w:eastAsia="Calibri"/>
        </w:rPr>
        <w:t>to the CTSU members’ website (</w:t>
      </w:r>
      <w:hyperlink r:id="rId30" w:history="1">
        <w:r w:rsidR="002679AA">
          <w:rPr>
            <w:rStyle w:val="Hyperlink"/>
            <w:rFonts w:eastAsia="Calibri"/>
          </w:rPr>
          <w:t>https://www.ctsu.org</w:t>
        </w:r>
      </w:hyperlink>
      <w:r w:rsidRPr="00266911">
        <w:rPr>
          <w:rFonts w:eastAsia="Calibri"/>
        </w:rPr>
        <w:t>)</w:t>
      </w:r>
      <w:r w:rsidR="005A3817" w:rsidRPr="00266911">
        <w:rPr>
          <w:rFonts w:eastAsia="Calibri"/>
        </w:rPr>
        <w:t>,</w:t>
      </w:r>
    </w:p>
    <w:p w14:paraId="3F4D6250" w14:textId="20F90898" w:rsidR="00BB16B5" w:rsidRDefault="00BB16B5" w:rsidP="00562B10">
      <w:pPr>
        <w:widowControl/>
        <w:numPr>
          <w:ilvl w:val="0"/>
          <w:numId w:val="57"/>
        </w:numPr>
        <w:suppressAutoHyphens/>
        <w:snapToGrid w:val="0"/>
        <w:ind w:right="-60"/>
        <w:contextualSpacing/>
        <w:rPr>
          <w:rFonts w:eastAsia="Calibri"/>
        </w:rPr>
      </w:pPr>
      <w:r>
        <w:rPr>
          <w:rFonts w:eastAsia="Calibri"/>
        </w:rPr>
        <w:t xml:space="preserve">Click on </w:t>
      </w:r>
      <w:r>
        <w:rPr>
          <w:rFonts w:eastAsia="Calibri"/>
          <w:i/>
        </w:rPr>
        <w:t xml:space="preserve">Protocols </w:t>
      </w:r>
      <w:r>
        <w:rPr>
          <w:rFonts w:eastAsia="Calibri"/>
        </w:rPr>
        <w:t xml:space="preserve">in the upper left of </w:t>
      </w:r>
      <w:r w:rsidR="00B76D21">
        <w:rPr>
          <w:rFonts w:eastAsia="Calibri"/>
        </w:rPr>
        <w:t xml:space="preserve">the </w:t>
      </w:r>
      <w:r>
        <w:rPr>
          <w:rFonts w:eastAsia="Calibri"/>
        </w:rPr>
        <w:t>screen</w:t>
      </w:r>
    </w:p>
    <w:p w14:paraId="16C17DDE" w14:textId="77777777" w:rsidR="00BB16B5" w:rsidRDefault="00BB16B5" w:rsidP="00562B10">
      <w:pPr>
        <w:widowControl/>
        <w:numPr>
          <w:ilvl w:val="1"/>
          <w:numId w:val="57"/>
        </w:numPr>
        <w:suppressAutoHyphens/>
        <w:snapToGrid w:val="0"/>
        <w:ind w:right="-60"/>
        <w:contextualSpacing/>
        <w:rPr>
          <w:rFonts w:eastAsia="Calibri"/>
        </w:rPr>
      </w:pPr>
      <w:r>
        <w:rPr>
          <w:rFonts w:eastAsia="Calibri"/>
        </w:rPr>
        <w:t>Enter the protocol number in the search field at the top of the protocol tree, or</w:t>
      </w:r>
    </w:p>
    <w:p w14:paraId="18066938" w14:textId="34B4F74F" w:rsidR="00BB16B5" w:rsidRPr="00C651C5" w:rsidRDefault="00BB16B5" w:rsidP="00562B10">
      <w:pPr>
        <w:widowControl/>
        <w:numPr>
          <w:ilvl w:val="1"/>
          <w:numId w:val="57"/>
        </w:numPr>
        <w:suppressAutoHyphens/>
        <w:snapToGrid w:val="0"/>
        <w:ind w:right="-60"/>
        <w:contextualSpacing/>
        <w:rPr>
          <w:rFonts w:eastAsia="Calibri"/>
          <w:color w:val="auto"/>
        </w:rPr>
      </w:pPr>
      <w:r>
        <w:rPr>
          <w:rFonts w:eastAsia="Calibri"/>
        </w:rPr>
        <w:t>Click on the By Lead Organization folder to expand</w:t>
      </w:r>
      <w:r w:rsidRPr="00C651C5">
        <w:rPr>
          <w:rFonts w:eastAsia="Calibri"/>
          <w:color w:val="auto"/>
        </w:rPr>
        <w:t xml:space="preserve">, then select </w:t>
      </w:r>
      <w:r w:rsidR="007C26AD" w:rsidRPr="00C651C5">
        <w:rPr>
          <w:color w:val="auto"/>
        </w:rPr>
        <w:t>LAO-CA043</w:t>
      </w:r>
      <w:r w:rsidRPr="00C651C5">
        <w:rPr>
          <w:rFonts w:eastAsia="Calibri"/>
          <w:color w:val="auto"/>
        </w:rPr>
        <w:t xml:space="preserve">, and protocol number </w:t>
      </w:r>
      <w:r w:rsidR="007C26AD" w:rsidRPr="00C651C5">
        <w:rPr>
          <w:rFonts w:eastAsia="Calibri"/>
          <w:iCs/>
          <w:color w:val="auto"/>
        </w:rPr>
        <w:t>10699</w:t>
      </w:r>
      <w:r w:rsidR="00C6340C" w:rsidRPr="00C651C5">
        <w:rPr>
          <w:rFonts w:eastAsia="Calibri"/>
          <w:color w:val="auto"/>
        </w:rPr>
        <w:t>,</w:t>
      </w:r>
    </w:p>
    <w:p w14:paraId="48FF4C54" w14:textId="50776F66" w:rsidR="00BB16B5" w:rsidRPr="00C651C5" w:rsidRDefault="00BB16B5" w:rsidP="00562B10">
      <w:pPr>
        <w:widowControl/>
        <w:numPr>
          <w:ilvl w:val="0"/>
          <w:numId w:val="57"/>
        </w:numPr>
        <w:suppressAutoHyphens/>
        <w:snapToGrid w:val="0"/>
        <w:ind w:right="-60"/>
        <w:contextualSpacing/>
        <w:rPr>
          <w:rFonts w:eastAsia="Calibri"/>
          <w:color w:val="auto"/>
        </w:rPr>
      </w:pPr>
      <w:r w:rsidRPr="00C651C5">
        <w:rPr>
          <w:rFonts w:eastAsia="Calibri"/>
          <w:color w:val="auto"/>
        </w:rPr>
        <w:lastRenderedPageBreak/>
        <w:t xml:space="preserve">Click on </w:t>
      </w:r>
      <w:r w:rsidRPr="00C651C5">
        <w:rPr>
          <w:rFonts w:eastAsia="Calibri"/>
          <w:i/>
          <w:color w:val="auto"/>
        </w:rPr>
        <w:t>Documents</w:t>
      </w:r>
      <w:r w:rsidRPr="00C651C5">
        <w:rPr>
          <w:rFonts w:eastAsia="Calibri"/>
          <w:color w:val="auto"/>
        </w:rPr>
        <w:t xml:space="preserve">, </w:t>
      </w:r>
      <w:r w:rsidR="00435A37" w:rsidRPr="00C651C5">
        <w:rPr>
          <w:rFonts w:eastAsia="Calibri"/>
          <w:i/>
          <w:color w:val="auto"/>
        </w:rPr>
        <w:t>Protocol Related Documents</w:t>
      </w:r>
      <w:r w:rsidR="00435A37" w:rsidRPr="00C651C5">
        <w:rPr>
          <w:rFonts w:eastAsia="Calibri"/>
          <w:color w:val="auto"/>
        </w:rPr>
        <w:t xml:space="preserve">, and use the </w:t>
      </w:r>
      <w:r w:rsidR="00435A37" w:rsidRPr="00C651C5">
        <w:rPr>
          <w:rFonts w:eastAsia="Calibri"/>
          <w:i/>
          <w:color w:val="auto"/>
        </w:rPr>
        <w:t>Document Type</w:t>
      </w:r>
      <w:r w:rsidR="00435A37" w:rsidRPr="00C651C5">
        <w:rPr>
          <w:rFonts w:eastAsia="Calibri"/>
          <w:color w:val="auto"/>
        </w:rPr>
        <w:t xml:space="preserve"> filter and </w:t>
      </w:r>
      <w:r w:rsidRPr="00C651C5">
        <w:rPr>
          <w:rFonts w:eastAsia="Calibri"/>
          <w:color w:val="auto"/>
        </w:rPr>
        <w:t xml:space="preserve">select </w:t>
      </w:r>
      <w:r w:rsidRPr="00C651C5">
        <w:rPr>
          <w:rFonts w:eastAsia="Calibri"/>
          <w:i/>
          <w:color w:val="auto"/>
        </w:rPr>
        <w:t>Site Registration</w:t>
      </w:r>
      <w:r w:rsidR="00435A37" w:rsidRPr="00C651C5">
        <w:rPr>
          <w:rFonts w:eastAsia="Calibri"/>
          <w:color w:val="auto"/>
        </w:rPr>
        <w:t xml:space="preserve"> to</w:t>
      </w:r>
      <w:r w:rsidRPr="00C651C5">
        <w:rPr>
          <w:rFonts w:eastAsia="Calibri"/>
          <w:color w:val="auto"/>
        </w:rPr>
        <w:t xml:space="preserve"> download and complete the forms provided.</w:t>
      </w:r>
      <w:r w:rsidR="00A118B3" w:rsidRPr="00C651C5">
        <w:rPr>
          <w:rFonts w:eastAsia="Calibri"/>
          <w:color w:val="auto"/>
        </w:rPr>
        <w:t xml:space="preserve"> </w:t>
      </w:r>
      <w:r w:rsidRPr="00C651C5">
        <w:rPr>
          <w:rFonts w:eastAsia="Calibri"/>
          <w:color w:val="auto"/>
        </w:rPr>
        <w:t xml:space="preserve"> (Note: </w:t>
      </w:r>
      <w:r w:rsidR="00A118B3" w:rsidRPr="00C651C5">
        <w:rPr>
          <w:rFonts w:eastAsia="Calibri"/>
          <w:color w:val="auto"/>
        </w:rPr>
        <w:t xml:space="preserve"> </w:t>
      </w:r>
      <w:r w:rsidRPr="00C651C5">
        <w:rPr>
          <w:rFonts w:eastAsia="Calibri"/>
          <w:color w:val="auto"/>
        </w:rPr>
        <w:t xml:space="preserve">For sites under the CIRB, IRB data will load automatically to the CTSU.) </w:t>
      </w:r>
    </w:p>
    <w:p w14:paraId="2D273713" w14:textId="77777777" w:rsidR="00A46BAE" w:rsidRPr="00C651C5" w:rsidRDefault="00A46BAE" w:rsidP="00C511D2">
      <w:pPr>
        <w:pStyle w:val="ListParagraph"/>
        <w:widowControl/>
        <w:ind w:left="1440"/>
        <w:rPr>
          <w:color w:val="auto"/>
        </w:rPr>
      </w:pPr>
    </w:p>
    <w:p w14:paraId="17BD0266" w14:textId="192FDB83" w:rsidR="00686C37" w:rsidRPr="00AC2330" w:rsidRDefault="00A118B3" w:rsidP="00AC2330">
      <w:pPr>
        <w:pStyle w:val="Level3Heading"/>
        <w:rPr>
          <w:u w:val="single"/>
        </w:rPr>
      </w:pPr>
      <w:r w:rsidRPr="00C651C5">
        <w:rPr>
          <w:color w:val="auto"/>
          <w:u w:val="single"/>
        </w:rPr>
        <w:t xml:space="preserve">Protocol Specific </w:t>
      </w:r>
      <w:r w:rsidR="00A46BAE" w:rsidRPr="00C651C5">
        <w:rPr>
          <w:color w:val="auto"/>
          <w:u w:val="single"/>
        </w:rPr>
        <w:t>Requirements For</w:t>
      </w:r>
      <w:r w:rsidR="00B12347" w:rsidRPr="00C651C5">
        <w:rPr>
          <w:color w:val="auto"/>
          <w:u w:val="single"/>
        </w:rPr>
        <w:t xml:space="preserve"> 10699</w:t>
      </w:r>
      <w:r w:rsidR="00967CAA" w:rsidRPr="00C651C5">
        <w:rPr>
          <w:color w:val="auto"/>
          <w:u w:val="single"/>
        </w:rPr>
        <w:t xml:space="preserve"> </w:t>
      </w:r>
      <w:r w:rsidR="00A46BAE" w:rsidRPr="00C651C5">
        <w:rPr>
          <w:color w:val="auto"/>
          <w:u w:val="single"/>
        </w:rPr>
        <w:t xml:space="preserve">Site </w:t>
      </w:r>
      <w:r w:rsidR="00A46BAE" w:rsidRPr="00C312CF">
        <w:rPr>
          <w:u w:val="single"/>
        </w:rPr>
        <w:t>Registration</w:t>
      </w:r>
    </w:p>
    <w:p w14:paraId="3232E047" w14:textId="77777777" w:rsidR="005F6306" w:rsidRPr="005F6306" w:rsidRDefault="005F6306" w:rsidP="005F6306"/>
    <w:p w14:paraId="658EF4A5" w14:textId="2F8FFF06" w:rsidR="007A7466" w:rsidRDefault="007A7466" w:rsidP="00562B10">
      <w:pPr>
        <w:pStyle w:val="ListParagraph"/>
        <w:numPr>
          <w:ilvl w:val="2"/>
          <w:numId w:val="28"/>
        </w:numPr>
        <w:tabs>
          <w:tab w:val="left" w:pos="360"/>
          <w:tab w:val="left" w:pos="630"/>
        </w:tabs>
        <w:ind w:left="720"/>
        <w:rPr>
          <w:color w:val="auto"/>
          <w:szCs w:val="22"/>
        </w:rPr>
      </w:pPr>
      <w:bookmarkStart w:id="38" w:name="_Hlk532985212"/>
      <w:r>
        <w:rPr>
          <w:color w:val="auto"/>
          <w:szCs w:val="22"/>
        </w:rPr>
        <w:t>None.</w:t>
      </w:r>
    </w:p>
    <w:bookmarkEnd w:id="38"/>
    <w:p w14:paraId="7CCFA46D" w14:textId="77777777" w:rsidR="006C0D77" w:rsidRDefault="006C0D77"/>
    <w:p w14:paraId="44E3DAD0" w14:textId="77777777" w:rsidR="009E246E" w:rsidRPr="00C312CF" w:rsidRDefault="009E246E" w:rsidP="00C312CF">
      <w:pPr>
        <w:pStyle w:val="Level3Heading"/>
        <w:rPr>
          <w:u w:val="single"/>
        </w:rPr>
      </w:pPr>
      <w:r w:rsidRPr="00C312CF">
        <w:rPr>
          <w:u w:val="single"/>
        </w:rPr>
        <w:t>Submitting Regulatory Documents</w:t>
      </w:r>
    </w:p>
    <w:p w14:paraId="47D4E935" w14:textId="77777777" w:rsidR="00712BEB" w:rsidRPr="003525C7" w:rsidRDefault="00712BEB" w:rsidP="003525C7">
      <w:pPr>
        <w:widowControl/>
        <w:suppressAutoHyphens/>
        <w:snapToGrid w:val="0"/>
        <w:ind w:right="-60"/>
        <w:rPr>
          <w:i/>
          <w:snapToGrid/>
          <w:color w:val="auto"/>
        </w:rPr>
      </w:pPr>
    </w:p>
    <w:p w14:paraId="1FC4EDB0" w14:textId="18535ABE" w:rsidR="008C435B" w:rsidRDefault="008C435B" w:rsidP="00D2426D">
      <w:pPr>
        <w:suppressAutoHyphens/>
        <w:ind w:right="-58"/>
      </w:pPr>
      <w:r w:rsidRPr="003525C7">
        <w:rPr>
          <w:color w:val="auto"/>
        </w:rPr>
        <w:t xml:space="preserve">Submit </w:t>
      </w:r>
      <w:r>
        <w:t xml:space="preserve">required forms and documents to the CTSU Regulatory Office </w:t>
      </w:r>
      <w:r w:rsidR="005805B8">
        <w:t>using</w:t>
      </w:r>
      <w:r>
        <w:t xml:space="preserve"> the Regulatory Submission Portal on the CTSU </w:t>
      </w:r>
      <w:r w:rsidR="00435A37">
        <w:t xml:space="preserve">members’ </w:t>
      </w:r>
      <w:r>
        <w:t xml:space="preserve">website. </w:t>
      </w:r>
    </w:p>
    <w:p w14:paraId="749CBE23" w14:textId="77777777" w:rsidR="00712BEB" w:rsidRDefault="00712BEB" w:rsidP="003525C7">
      <w:pPr>
        <w:suppressAutoHyphens/>
        <w:ind w:right="-58"/>
      </w:pPr>
    </w:p>
    <w:p w14:paraId="60DF4B35" w14:textId="1A26F605" w:rsidR="008C435B" w:rsidRDefault="008C435B" w:rsidP="00D2426D">
      <w:pPr>
        <w:suppressAutoHyphens/>
        <w:ind w:right="-58"/>
      </w:pPr>
      <w:r>
        <w:t>To access the Regulatory Submission Portal</w:t>
      </w:r>
      <w:r w:rsidR="00527B58">
        <w:t>,</w:t>
      </w:r>
      <w:r>
        <w:t xml:space="preserve"> log on to the CTSU members’ website</w:t>
      </w:r>
      <w:r w:rsidR="005805B8">
        <w:t>, go to the</w:t>
      </w:r>
      <w:r>
        <w:t xml:space="preserve"> </w:t>
      </w:r>
      <w:r w:rsidRPr="00F04127">
        <w:rPr>
          <w:i/>
        </w:rPr>
        <w:t>Regulatory</w:t>
      </w:r>
      <w:r w:rsidR="005805B8">
        <w:t xml:space="preserve"> section, and select </w:t>
      </w:r>
      <w:r w:rsidRPr="00F04127">
        <w:rPr>
          <w:i/>
        </w:rPr>
        <w:t>Regulatory Submission</w:t>
      </w:r>
      <w:r>
        <w:t>.</w:t>
      </w:r>
    </w:p>
    <w:p w14:paraId="2FF41631" w14:textId="77777777" w:rsidR="00712BEB" w:rsidRDefault="00712BEB" w:rsidP="003525C7">
      <w:pPr>
        <w:suppressAutoHyphens/>
        <w:ind w:right="-58"/>
      </w:pPr>
    </w:p>
    <w:p w14:paraId="71551B06" w14:textId="06160AB5" w:rsidR="008C435B" w:rsidRDefault="008C435B" w:rsidP="003525C7">
      <w:pPr>
        <w:suppressAutoHyphens/>
        <w:ind w:right="-58"/>
      </w:pPr>
      <w:r>
        <w:t xml:space="preserve">Institutions with patients waiting that are unable to use the Regulatory Submission Portal should alert the CTSU Regulatory Office immediately </w:t>
      </w:r>
      <w:r w:rsidR="00435A37" w:rsidRPr="00435A37">
        <w:t xml:space="preserve">by phone or email: 1-866-651-CTSU (2878), or </w:t>
      </w:r>
      <w:hyperlink r:id="rId31" w:history="1">
        <w:r w:rsidR="00435A37" w:rsidRPr="00EA79E7">
          <w:rPr>
            <w:rStyle w:val="Hyperlink"/>
          </w:rPr>
          <w:t>CTSURegHelp@coccg.org</w:t>
        </w:r>
      </w:hyperlink>
      <w:r w:rsidR="00435A37">
        <w:t xml:space="preserve"> </w:t>
      </w:r>
      <w:r>
        <w:t>to receive further instruction and support.</w:t>
      </w:r>
    </w:p>
    <w:p w14:paraId="65072DEF" w14:textId="77777777" w:rsidR="00712BEB" w:rsidRDefault="00712BEB" w:rsidP="008C435B">
      <w:pPr>
        <w:autoSpaceDE w:val="0"/>
        <w:autoSpaceDN w:val="0"/>
        <w:adjustRightInd w:val="0"/>
        <w:rPr>
          <w:color w:val="auto"/>
        </w:rPr>
      </w:pPr>
    </w:p>
    <w:p w14:paraId="0652F41D" w14:textId="77777777" w:rsidR="008C435B" w:rsidRDefault="008C435B" w:rsidP="009F0C27">
      <w:pPr>
        <w:keepNext/>
        <w:rPr>
          <w:b/>
        </w:rPr>
      </w:pPr>
      <w:r>
        <w:rPr>
          <w:b/>
        </w:rPr>
        <w:t>Delegation of Tasks Log (DTL)</w:t>
      </w:r>
    </w:p>
    <w:p w14:paraId="37F63CE0" w14:textId="77777777" w:rsidR="00712BEB" w:rsidRPr="003525C7" w:rsidRDefault="00712BEB" w:rsidP="00266911"/>
    <w:p w14:paraId="5E4CD0B1" w14:textId="61EE885E" w:rsidR="008C435B" w:rsidRDefault="008C435B" w:rsidP="000705DC">
      <w:pPr>
        <w:rPr>
          <w:color w:val="auto"/>
        </w:rPr>
      </w:pPr>
      <w:r>
        <w:t xml:space="preserve">Each site must complete a protocol-specific </w:t>
      </w:r>
      <w:r w:rsidR="00C07087">
        <w:t>DTL</w:t>
      </w:r>
      <w:r>
        <w:t xml:space="preserve"> using the DTL application </w:t>
      </w:r>
      <w:r w:rsidR="00FC47E8" w:rsidRPr="0080201B">
        <w:t>which is accessible via</w:t>
      </w:r>
      <w:r>
        <w:t xml:space="preserve"> the Delegation Log </w:t>
      </w:r>
      <w:r w:rsidR="00EF51F8">
        <w:t xml:space="preserve">link on the CTSU members’ website </w:t>
      </w:r>
      <w:r w:rsidR="00EF51F8" w:rsidRPr="0080201B">
        <w:t xml:space="preserve">or directly at </w:t>
      </w:r>
      <w:hyperlink r:id="rId32" w:history="1">
        <w:r w:rsidR="00EF51F8" w:rsidRPr="00B27108">
          <w:rPr>
            <w:rStyle w:val="Hyperlink"/>
          </w:rPr>
          <w:t>https://dtl.ctsu.org</w:t>
        </w:r>
      </w:hyperlink>
      <w:r>
        <w:t xml:space="preserve">. </w:t>
      </w:r>
      <w:r w:rsidR="006E16AC">
        <w:t xml:space="preserve"> </w:t>
      </w:r>
      <w:r>
        <w:t xml:space="preserve">The Clinical Investigator (CI) is required to review and electronically sign the DTL prior to the site receiving an </w:t>
      </w:r>
      <w:r w:rsidR="00D17919">
        <w:t xml:space="preserve">approved </w:t>
      </w:r>
      <w:r>
        <w:t>site registration status and enrolling patients to the study.</w:t>
      </w:r>
      <w:r w:rsidR="006E16AC">
        <w:t xml:space="preserve"> </w:t>
      </w:r>
      <w:r>
        <w:t xml:space="preserve"> To maintain an approved site registration status the CI must re-sign the DTL at least annually and when a new version of the DTL is released; and activate new task assignments requiring CI sign-off. </w:t>
      </w:r>
      <w:r w:rsidR="006E16AC">
        <w:t xml:space="preserve"> </w:t>
      </w:r>
      <w:r>
        <w:t>Any individual at the enrolling site on a participating roster may initiate the site DTL.</w:t>
      </w:r>
      <w:r w:rsidR="006E16AC">
        <w:t xml:space="preserve"> </w:t>
      </w:r>
      <w:r>
        <w:t xml:space="preserve"> Once the DTL is submitted for CI approval, only the designated DTL Administrators or the CI may update the DTL. </w:t>
      </w:r>
      <w:r w:rsidR="006E16AC">
        <w:t xml:space="preserve"> </w:t>
      </w:r>
      <w:r>
        <w:t xml:space="preserve">Instructions on completing the DTL are available in the Help Topics button in the DTL </w:t>
      </w:r>
      <w:r w:rsidRPr="003525C7">
        <w:rPr>
          <w:color w:val="auto"/>
        </w:rPr>
        <w:t>application and describes DTL task assignments, CI signature, and CTEP registration requirements</w:t>
      </w:r>
      <w:r w:rsidR="00FF6D22" w:rsidRPr="00FF6D22">
        <w:rPr>
          <w:color w:val="auto"/>
        </w:rPr>
        <w:t>, as well as include a Master Task List</w:t>
      </w:r>
      <w:r w:rsidRPr="003525C7">
        <w:rPr>
          <w:color w:val="auto"/>
        </w:rPr>
        <w:t>.</w:t>
      </w:r>
    </w:p>
    <w:p w14:paraId="5F895D06" w14:textId="77777777" w:rsidR="00F32D36" w:rsidRDefault="00F32D36" w:rsidP="000705DC">
      <w:pPr>
        <w:rPr>
          <w:color w:val="auto"/>
        </w:rPr>
      </w:pPr>
    </w:p>
    <w:p w14:paraId="274F655C" w14:textId="77777777" w:rsidR="00F32D36" w:rsidRDefault="00F32D36" w:rsidP="00F32D36">
      <w:r w:rsidRPr="003525C7">
        <w:t>The DTL for this study has training requirements as follows:</w:t>
      </w:r>
    </w:p>
    <w:p w14:paraId="2BF05157" w14:textId="77777777" w:rsidR="00F32D36" w:rsidRDefault="00F32D36" w:rsidP="00F32D36"/>
    <w:p w14:paraId="3D6D450E" w14:textId="77777777" w:rsidR="00F32D36" w:rsidRDefault="00F32D36" w:rsidP="00F32D36">
      <w:pPr>
        <w:pStyle w:val="ListParagraph"/>
        <w:numPr>
          <w:ilvl w:val="0"/>
          <w:numId w:val="307"/>
        </w:numPr>
      </w:pPr>
      <w:r>
        <w:t xml:space="preserve">All staff assigned the Rave CRA task on the DTL for this study must complete the </w:t>
      </w:r>
      <w:r w:rsidRPr="0059772E">
        <w:rPr>
          <w:i/>
          <w:iCs/>
          <w:color w:val="auto"/>
        </w:rPr>
        <w:t>Theradex Specimen Tracking System (STS) Training</w:t>
      </w:r>
      <w:r w:rsidRPr="0059772E">
        <w:rPr>
          <w:color w:val="auto"/>
        </w:rPr>
        <w:t xml:space="preserve"> c</w:t>
      </w:r>
      <w:r>
        <w:t xml:space="preserve">ourse.  The training is a one-time only requirement per individual.  If an individual has previously completed the training for another ETCTN study with the same course requirement, the training does not need to be completed again.  </w:t>
      </w:r>
      <w:r w:rsidRPr="00AE219D">
        <w:t>However, new versions of the Specimen Tracking System may require new training.</w:t>
      </w:r>
    </w:p>
    <w:p w14:paraId="0A4C0101" w14:textId="77777777" w:rsidR="00F32D36" w:rsidRPr="003525C7" w:rsidRDefault="00F32D36" w:rsidP="00F32D36"/>
    <w:p w14:paraId="20CF3F02" w14:textId="6ADE4E4E" w:rsidR="00F32D36" w:rsidRDefault="00F32D36" w:rsidP="00F32D36">
      <w:r w:rsidRPr="0080201B">
        <w:t xml:space="preserve">A task-related training requirement is satisfied by completing the course in the Compliance, Learning, and SOP Solutions (CLASS) application at </w:t>
      </w:r>
      <w:hyperlink r:id="rId33" w:history="1">
        <w:r w:rsidRPr="007E6308">
          <w:rPr>
            <w:rStyle w:val="Hyperlink"/>
          </w:rPr>
          <w:t>https://classlms.org</w:t>
        </w:r>
      </w:hyperlink>
      <w:r w:rsidRPr="0080201B">
        <w:t>; until that takes place, the task assignment will remain in a Pending status.</w:t>
      </w:r>
    </w:p>
    <w:p w14:paraId="49B0F9AE" w14:textId="77777777" w:rsidR="00F32D36" w:rsidRDefault="00F32D36" w:rsidP="00F32D36"/>
    <w:p w14:paraId="25676CC4" w14:textId="5241A898" w:rsidR="00F32D36" w:rsidRDefault="00F32D36" w:rsidP="00F32D36">
      <w:pPr>
        <w:pStyle w:val="ListParagraph"/>
        <w:numPr>
          <w:ilvl w:val="0"/>
          <w:numId w:val="308"/>
        </w:numPr>
      </w:pPr>
      <w:r>
        <w:t xml:space="preserve">When a Rave CRA is assigned the task on an ETCTN DTL, the system will check to see if they have completed the appropriate course, and if not, they will be automatically enrolled in the course.  They will receive an enrollment email from </w:t>
      </w:r>
      <w:hyperlink r:id="rId34" w:history="1">
        <w:r w:rsidRPr="00E9179C">
          <w:rPr>
            <w:rStyle w:val="Hyperlink"/>
          </w:rPr>
          <w:t>CLASSHelpDesk@westat.com</w:t>
        </w:r>
      </w:hyperlink>
      <w:r>
        <w:t xml:space="preserve"> that will include instructions on how to access the course.</w:t>
      </w:r>
    </w:p>
    <w:p w14:paraId="096C4873" w14:textId="77777777" w:rsidR="00F32D36" w:rsidRPr="005C3611" w:rsidRDefault="00F32D36" w:rsidP="00F32D36">
      <w:pPr>
        <w:rPr>
          <w:i/>
          <w:iCs/>
        </w:rPr>
      </w:pPr>
    </w:p>
    <w:p w14:paraId="0C0B6DB3" w14:textId="7651BFEB" w:rsidR="00F32D36" w:rsidRPr="00B52D25" w:rsidRDefault="00F32D36" w:rsidP="000705DC">
      <w:r w:rsidRPr="0080201B">
        <w:t>When an assignee completes the necessary course, their completion will be automatically communicated from CLASS to the DTL application and the task status will go to Active or Awaiting CI Approval, depending on the situation</w:t>
      </w:r>
      <w:r>
        <w:t xml:space="preserve"> (please allow up to four hours for this to happen)</w:t>
      </w:r>
      <w:r w:rsidRPr="0080201B">
        <w:t xml:space="preserve">. </w:t>
      </w:r>
      <w:r>
        <w:t xml:space="preserve"> The DTL cannot be submitted for CI sign-off until the minimum number of persons are assigned to the task(s) and have met all task requirements including any training requirements.</w:t>
      </w:r>
    </w:p>
    <w:p w14:paraId="5E1173A2" w14:textId="77777777" w:rsidR="00712BEB" w:rsidRPr="003525C7" w:rsidRDefault="00712BEB" w:rsidP="003525C7">
      <w:pPr>
        <w:rPr>
          <w:color w:val="auto"/>
        </w:rPr>
      </w:pPr>
    </w:p>
    <w:p w14:paraId="6157B3F1" w14:textId="77777777" w:rsidR="009E246E" w:rsidRPr="00C312CF" w:rsidRDefault="009E246E" w:rsidP="00C312CF">
      <w:pPr>
        <w:pStyle w:val="Level3Heading"/>
        <w:rPr>
          <w:u w:val="single"/>
        </w:rPr>
      </w:pPr>
      <w:r w:rsidRPr="00C312CF">
        <w:rPr>
          <w:u w:val="single"/>
        </w:rPr>
        <w:t>Checking Site Registration Status</w:t>
      </w:r>
    </w:p>
    <w:p w14:paraId="7C9F1205" w14:textId="77777777" w:rsidR="00742753" w:rsidRPr="00742753" w:rsidRDefault="00742753" w:rsidP="00FA4319"/>
    <w:p w14:paraId="17EE29B6" w14:textId="520D1FAA" w:rsidR="006E16AC" w:rsidRDefault="00D17919" w:rsidP="00FA4319">
      <w:pPr>
        <w:suppressAutoHyphens/>
        <w:ind w:right="-60"/>
      </w:pPr>
      <w:r>
        <w:t>S</w:t>
      </w:r>
      <w:r w:rsidR="006E16AC">
        <w:t xml:space="preserve">ite’s registration status </w:t>
      </w:r>
      <w:r>
        <w:t xml:space="preserve">may be verified </w:t>
      </w:r>
      <w:r w:rsidR="006E16AC">
        <w:t xml:space="preserve">on the CTSU </w:t>
      </w:r>
      <w:r w:rsidR="00C72376">
        <w:t xml:space="preserve">members’ </w:t>
      </w:r>
      <w:r w:rsidR="006E16AC">
        <w:t xml:space="preserve">website. </w:t>
      </w:r>
    </w:p>
    <w:p w14:paraId="6C4A3871" w14:textId="77777777" w:rsidR="00FA4319" w:rsidRDefault="00FA4319" w:rsidP="003525C7">
      <w:pPr>
        <w:suppressAutoHyphens/>
        <w:ind w:right="-60"/>
        <w:rPr>
          <w:snapToGrid/>
        </w:rPr>
      </w:pPr>
    </w:p>
    <w:p w14:paraId="210F8EC9" w14:textId="76C75265" w:rsidR="006E16AC" w:rsidRPr="008E5ACD" w:rsidRDefault="006E16AC" w:rsidP="00562B10">
      <w:pPr>
        <w:pStyle w:val="ListParagraph"/>
        <w:numPr>
          <w:ilvl w:val="0"/>
          <w:numId w:val="59"/>
        </w:numPr>
        <w:rPr>
          <w:rFonts w:eastAsia="Calibri"/>
        </w:rPr>
      </w:pPr>
      <w:r w:rsidRPr="00FA4319">
        <w:rPr>
          <w:rFonts w:eastAsia="Calibri"/>
        </w:rPr>
        <w:t xml:space="preserve">Click on </w:t>
      </w:r>
      <w:r w:rsidRPr="00FA4319">
        <w:rPr>
          <w:rFonts w:eastAsia="Calibri"/>
          <w:i/>
        </w:rPr>
        <w:t>Regulatory</w:t>
      </w:r>
      <w:r w:rsidRPr="009E57E6">
        <w:rPr>
          <w:rFonts w:eastAsia="Calibri"/>
        </w:rPr>
        <w:t xml:space="preserve"> at the top of </w:t>
      </w:r>
      <w:r w:rsidR="00D17919">
        <w:rPr>
          <w:rFonts w:eastAsia="Calibri"/>
        </w:rPr>
        <w:t>the</w:t>
      </w:r>
      <w:r w:rsidR="00D17919" w:rsidRPr="009E57E6">
        <w:rPr>
          <w:rFonts w:eastAsia="Calibri"/>
        </w:rPr>
        <w:t xml:space="preserve"> </w:t>
      </w:r>
      <w:r w:rsidRPr="009E57E6">
        <w:rPr>
          <w:rFonts w:eastAsia="Calibri"/>
        </w:rPr>
        <w:t>screen</w:t>
      </w:r>
      <w:r w:rsidR="00D17919">
        <w:rPr>
          <w:rFonts w:eastAsia="Calibri"/>
        </w:rPr>
        <w:t>,</w:t>
      </w:r>
    </w:p>
    <w:p w14:paraId="6CE5698B" w14:textId="2CB1DDB3" w:rsidR="006E16AC" w:rsidRPr="00FA4319" w:rsidRDefault="006E16AC" w:rsidP="00562B10">
      <w:pPr>
        <w:pStyle w:val="ListParagraph"/>
        <w:numPr>
          <w:ilvl w:val="0"/>
          <w:numId w:val="59"/>
        </w:numPr>
        <w:rPr>
          <w:rFonts w:eastAsia="Calibri"/>
        </w:rPr>
      </w:pPr>
      <w:r w:rsidRPr="008E5ACD">
        <w:rPr>
          <w:rFonts w:eastAsia="Calibri"/>
        </w:rPr>
        <w:t xml:space="preserve">Click on </w:t>
      </w:r>
      <w:r w:rsidRPr="003525C7">
        <w:rPr>
          <w:rFonts w:eastAsia="Calibri"/>
          <w:i/>
        </w:rPr>
        <w:t>Site Registration</w:t>
      </w:r>
      <w:r w:rsidR="00D17919" w:rsidRPr="00D17919">
        <w:rPr>
          <w:rFonts w:eastAsia="Calibri"/>
        </w:rPr>
        <w:t>, and</w:t>
      </w:r>
      <w:r w:rsidRPr="003525C7">
        <w:rPr>
          <w:rFonts w:eastAsia="Calibri"/>
          <w:i/>
        </w:rPr>
        <w:t xml:space="preserve"> </w:t>
      </w:r>
    </w:p>
    <w:p w14:paraId="380EE000" w14:textId="57B0E01E" w:rsidR="006E16AC" w:rsidRDefault="006E16AC" w:rsidP="00562B10">
      <w:pPr>
        <w:pStyle w:val="ListParagraph"/>
        <w:numPr>
          <w:ilvl w:val="0"/>
          <w:numId w:val="59"/>
        </w:numPr>
        <w:rPr>
          <w:rFonts w:eastAsia="Calibri"/>
        </w:rPr>
      </w:pPr>
      <w:r w:rsidRPr="00FA4319">
        <w:rPr>
          <w:rFonts w:eastAsia="Calibri"/>
        </w:rPr>
        <w:t xml:space="preserve">Enter </w:t>
      </w:r>
      <w:r w:rsidR="00D17919">
        <w:rPr>
          <w:rFonts w:eastAsia="Calibri"/>
        </w:rPr>
        <w:t xml:space="preserve">the site’s </w:t>
      </w:r>
      <w:r w:rsidRPr="00FA4319">
        <w:rPr>
          <w:rFonts w:eastAsia="Calibri"/>
        </w:rPr>
        <w:t>5-character CTEP Institution Code and click on Go</w:t>
      </w:r>
      <w:r w:rsidR="00D17919">
        <w:rPr>
          <w:rFonts w:eastAsia="Calibri"/>
        </w:rPr>
        <w:t>.</w:t>
      </w:r>
    </w:p>
    <w:p w14:paraId="153056BF" w14:textId="77777777" w:rsidR="00D17919" w:rsidRPr="00FA4319" w:rsidRDefault="00D17919" w:rsidP="00562B10">
      <w:pPr>
        <w:pStyle w:val="ListParagraph"/>
        <w:numPr>
          <w:ilvl w:val="1"/>
          <w:numId w:val="59"/>
        </w:numPr>
        <w:rPr>
          <w:rFonts w:eastAsia="Calibri"/>
        </w:rPr>
      </w:pPr>
      <w:r>
        <w:rPr>
          <w:rFonts w:eastAsia="Calibri"/>
        </w:rPr>
        <w:t>Additional filters are available to sort by Protocol, Registration Status, Protocol Status, and/or IRB Type.</w:t>
      </w:r>
    </w:p>
    <w:p w14:paraId="7F08C60D" w14:textId="77777777" w:rsidR="00FA4319" w:rsidRDefault="00FA4319" w:rsidP="003525C7">
      <w:pPr>
        <w:rPr>
          <w:rFonts w:eastAsia="Calibri"/>
        </w:rPr>
      </w:pPr>
    </w:p>
    <w:p w14:paraId="7324E0EB" w14:textId="4908E08C" w:rsidR="006E16AC" w:rsidRDefault="006E16AC" w:rsidP="003525C7">
      <w:pPr>
        <w:suppressAutoHyphens/>
        <w:ind w:right="-60"/>
        <w:rPr>
          <w:b/>
        </w:rPr>
      </w:pPr>
      <w:r>
        <w:t xml:space="preserve">Note: </w:t>
      </w:r>
      <w:r w:rsidR="00FA4319">
        <w:t xml:space="preserve"> </w:t>
      </w:r>
      <w:r>
        <w:t xml:space="preserve">The status shown only reflects institutional compliance with site registration requirements as outlined </w:t>
      </w:r>
      <w:r w:rsidR="00040527">
        <w:t>within the protocol</w:t>
      </w:r>
      <w:r>
        <w:t xml:space="preserve">. </w:t>
      </w:r>
      <w:r w:rsidR="00FA4319">
        <w:t xml:space="preserve"> </w:t>
      </w:r>
      <w:r>
        <w:t>It does not reflect compliance with protocol requirements for individuals participating on the protocol or the enrolling investigator’s status with NCI or their affiliated networks.</w:t>
      </w:r>
    </w:p>
    <w:p w14:paraId="1D6C406C" w14:textId="77777777" w:rsidR="009E246E" w:rsidRDefault="009E246E" w:rsidP="009E246E">
      <w:pPr>
        <w:ind w:left="720"/>
      </w:pPr>
    </w:p>
    <w:p w14:paraId="5CF029C0" w14:textId="77777777" w:rsidR="009E246E" w:rsidRDefault="009E246E" w:rsidP="00C94562">
      <w:pPr>
        <w:pStyle w:val="Heading2"/>
      </w:pPr>
      <w:bookmarkStart w:id="39" w:name="_Patient_Registration"/>
      <w:bookmarkStart w:id="40" w:name="_Toc176419901"/>
      <w:bookmarkEnd w:id="39"/>
      <w:r>
        <w:t>Patient Registration</w:t>
      </w:r>
      <w:bookmarkEnd w:id="40"/>
    </w:p>
    <w:p w14:paraId="5032A19A" w14:textId="77777777" w:rsidR="0035553B" w:rsidRDefault="0035553B" w:rsidP="00023254"/>
    <w:p w14:paraId="416E6BD5" w14:textId="77777777" w:rsidR="009E246E" w:rsidRPr="00C312CF" w:rsidRDefault="009E246E" w:rsidP="00C312CF">
      <w:pPr>
        <w:pStyle w:val="Level3Heading"/>
        <w:rPr>
          <w:u w:val="single"/>
        </w:rPr>
      </w:pPr>
      <w:r w:rsidRPr="00C312CF">
        <w:rPr>
          <w:u w:val="single"/>
        </w:rPr>
        <w:t>OPEN / IWRS</w:t>
      </w:r>
    </w:p>
    <w:p w14:paraId="232B3EBC" w14:textId="77777777" w:rsidR="008E5ACD" w:rsidRDefault="008E5ACD" w:rsidP="00FA4319">
      <w:pPr>
        <w:rPr>
          <w:snapToGrid/>
        </w:rPr>
      </w:pPr>
    </w:p>
    <w:p w14:paraId="161A6CE7" w14:textId="7ED4A4A1" w:rsidR="00FA4319" w:rsidRDefault="00FA4319" w:rsidP="008E5ACD">
      <w:r w:rsidRPr="008E5ACD">
        <w:t xml:space="preserve">The Oncology Patient Enrollment Network (OPEN) is a web-based registration system available on a 24/7 basis. </w:t>
      </w:r>
      <w:r w:rsidR="008E5ACD">
        <w:t xml:space="preserve"> </w:t>
      </w:r>
      <w:r w:rsidRPr="008E5ACD">
        <w:t xml:space="preserve">OPEN is integrated with CTSU regulatory and roster data and with the LPOs registration/randomization systems or </w:t>
      </w:r>
      <w:r w:rsidR="00765615">
        <w:t xml:space="preserve">the </w:t>
      </w:r>
      <w:r w:rsidRPr="008E5ACD">
        <w:t xml:space="preserve">Theradex Interactive Web Response System (IWRS) for retrieval of patient registration/randomization assignment. </w:t>
      </w:r>
      <w:r w:rsidR="008E5ACD">
        <w:t xml:space="preserve"> </w:t>
      </w:r>
      <w:r w:rsidRPr="008E5ACD">
        <w:t xml:space="preserve">OPEN </w:t>
      </w:r>
      <w:r w:rsidR="00765615">
        <w:t xml:space="preserve">or IWRS </w:t>
      </w:r>
      <w:r w:rsidRPr="008E5ACD">
        <w:t>will populate the patient enrollment data in NCI’s clinical data management system, Medidata Rave.</w:t>
      </w:r>
    </w:p>
    <w:p w14:paraId="30DA6C94" w14:textId="77777777" w:rsidR="008E5ACD" w:rsidRPr="008D30C8" w:rsidRDefault="008E5ACD" w:rsidP="003525C7"/>
    <w:p w14:paraId="0ED0A97F" w14:textId="46844541" w:rsidR="00FA4319" w:rsidRDefault="00FA4319" w:rsidP="008E5ACD">
      <w:r w:rsidRPr="008D30C8">
        <w:t xml:space="preserve">Requirements for OPEN access:  </w:t>
      </w:r>
    </w:p>
    <w:p w14:paraId="5B61A022" w14:textId="77777777" w:rsidR="008E5ACD" w:rsidRPr="008D30C8" w:rsidRDefault="008E5ACD" w:rsidP="003525C7"/>
    <w:p w14:paraId="2078B996" w14:textId="6A550B53" w:rsidR="00243A5F" w:rsidRPr="008D30C8" w:rsidRDefault="00243A5F" w:rsidP="00562B10">
      <w:pPr>
        <w:pStyle w:val="ListParagraph"/>
        <w:numPr>
          <w:ilvl w:val="0"/>
          <w:numId w:val="60"/>
        </w:numPr>
      </w:pPr>
      <w:r>
        <w:t xml:space="preserve"> </w:t>
      </w:r>
      <w:r w:rsidRPr="00CB527E">
        <w:t>Active CTEP registration with the credentials necessary to access secure NCI/CTSU IT systems</w:t>
      </w:r>
      <w:r>
        <w:t>.</w:t>
      </w:r>
    </w:p>
    <w:p w14:paraId="70773F2C" w14:textId="16A232E2" w:rsidR="00FA4319" w:rsidRPr="008D30C8" w:rsidRDefault="00FA4319" w:rsidP="00562B10">
      <w:pPr>
        <w:pStyle w:val="ListParagraph"/>
        <w:numPr>
          <w:ilvl w:val="0"/>
          <w:numId w:val="60"/>
        </w:numPr>
      </w:pPr>
      <w:r w:rsidRPr="00210D29">
        <w:t xml:space="preserve">To perform enrollments or request slot reservations:  </w:t>
      </w:r>
      <w:r w:rsidR="00765615">
        <w:t xml:space="preserve">Must be </w:t>
      </w:r>
      <w:r w:rsidRPr="00210D29">
        <w:t>on a</w:t>
      </w:r>
      <w:r w:rsidR="008E5ACD">
        <w:t>n</w:t>
      </w:r>
      <w:r w:rsidRPr="008D30C8">
        <w:t xml:space="preserve"> LPO roster, ETCTN </w:t>
      </w:r>
      <w:r w:rsidR="00765615">
        <w:t>c</w:t>
      </w:r>
      <w:r w:rsidRPr="008D30C8">
        <w:t xml:space="preserve">orresponding roster, or </w:t>
      </w:r>
      <w:r w:rsidR="00765615">
        <w:t>PO</w:t>
      </w:r>
      <w:r w:rsidRPr="008D30C8">
        <w:t xml:space="preserve"> roster with the role of Registrar. </w:t>
      </w:r>
      <w:r w:rsidR="008E5ACD">
        <w:t xml:space="preserve"> </w:t>
      </w:r>
      <w:r w:rsidRPr="008D30C8">
        <w:t xml:space="preserve">Registrars must hold a minimum of an </w:t>
      </w:r>
      <w:r w:rsidR="00765615">
        <w:t>Associate Plus (</w:t>
      </w:r>
      <w:r w:rsidRPr="008D30C8">
        <w:t>AP</w:t>
      </w:r>
      <w:r w:rsidR="00765615">
        <w:t>)</w:t>
      </w:r>
      <w:r w:rsidRPr="008D30C8">
        <w:t xml:space="preserve"> registration type</w:t>
      </w:r>
      <w:r w:rsidR="003E5350">
        <w:t>.</w:t>
      </w:r>
    </w:p>
    <w:p w14:paraId="29BF629D" w14:textId="6786CFE1" w:rsidR="00FA4319" w:rsidRPr="000A52F1" w:rsidRDefault="00FA4319" w:rsidP="00562B10">
      <w:pPr>
        <w:pStyle w:val="ListParagraph"/>
        <w:numPr>
          <w:ilvl w:val="0"/>
          <w:numId w:val="60"/>
        </w:numPr>
      </w:pPr>
      <w:r w:rsidRPr="00210D29">
        <w:t xml:space="preserve">If a </w:t>
      </w:r>
      <w:r w:rsidR="00C07087">
        <w:t>DTL</w:t>
      </w:r>
      <w:r w:rsidRPr="00210D29">
        <w:t xml:space="preserve"> is required for the study, the registrar must hold the OPEN Registrar task on the </w:t>
      </w:r>
      <w:r w:rsidRPr="00210D29">
        <w:lastRenderedPageBreak/>
        <w:t>DTL for the site</w:t>
      </w:r>
      <w:r w:rsidR="003E5350">
        <w:t>.</w:t>
      </w:r>
    </w:p>
    <w:p w14:paraId="2E36DC9B" w14:textId="39E1EB64" w:rsidR="00FA4319" w:rsidRPr="00080E31" w:rsidRDefault="00FA4319" w:rsidP="00562B10">
      <w:pPr>
        <w:pStyle w:val="ListParagraph"/>
        <w:numPr>
          <w:ilvl w:val="0"/>
          <w:numId w:val="60"/>
        </w:numPr>
      </w:pPr>
      <w:r w:rsidRPr="006A01BA">
        <w:t xml:space="preserve">Have an approved site registration for </w:t>
      </w:r>
      <w:r w:rsidR="00765615">
        <w:t>the</w:t>
      </w:r>
      <w:r w:rsidRPr="006A01BA">
        <w:t xml:space="preserve"> protocol prior to patien</w:t>
      </w:r>
      <w:r w:rsidRPr="00153203">
        <w:t>t enrollment.</w:t>
      </w:r>
    </w:p>
    <w:p w14:paraId="09B9E94C" w14:textId="77777777" w:rsidR="00FA4319" w:rsidRPr="00080E31" w:rsidRDefault="00FA4319" w:rsidP="003525C7"/>
    <w:p w14:paraId="3C37CAEC" w14:textId="5B8D49AD" w:rsidR="00FA4319" w:rsidRDefault="00FA4319" w:rsidP="003525C7">
      <w:r w:rsidRPr="008E5ACD">
        <w:t xml:space="preserve">To assign an Investigator (IVR) or Non-Physician Investigator (NPIVR) as the treating, crediting, consenting, or receiving investigator for a patient transfer in OPEN, the IVR or NPIVR must list the </w:t>
      </w:r>
      <w:r w:rsidR="00924F48">
        <w:t>Institutional Review Boards (</w:t>
      </w:r>
      <w:r w:rsidRPr="008E5ACD">
        <w:t>IRB</w:t>
      </w:r>
      <w:r w:rsidR="00924F48">
        <w:t>)</w:t>
      </w:r>
      <w:r w:rsidRPr="008E5ACD">
        <w:t xml:space="preserve"> number used on the site’s IRB approval on their Form </w:t>
      </w:r>
      <w:r w:rsidR="00924F48">
        <w:t>Food and Drug Administration (</w:t>
      </w:r>
      <w:r w:rsidRPr="008E5ACD">
        <w:t>FDA</w:t>
      </w:r>
      <w:r w:rsidR="00924F48">
        <w:t>)</w:t>
      </w:r>
      <w:r w:rsidRPr="008E5ACD">
        <w:t xml:space="preserve"> 1572 in </w:t>
      </w:r>
      <w:r w:rsidR="00924F48">
        <w:t>Registration and Credential Repository (</w:t>
      </w:r>
      <w:r w:rsidRPr="008E5ACD">
        <w:t>RCR</w:t>
      </w:r>
      <w:r w:rsidR="00924F48">
        <w:t>)</w:t>
      </w:r>
      <w:r w:rsidRPr="008E5ACD">
        <w:t>.</w:t>
      </w:r>
      <w:r w:rsidR="008E5ACD">
        <w:t xml:space="preserve"> </w:t>
      </w:r>
      <w:r w:rsidRPr="008D30C8">
        <w:t xml:space="preserve"> If a DTL is required for the study, the IVR or NPIVR must be assigned the appropriate OPEN-related tasks on the DTL.</w:t>
      </w:r>
    </w:p>
    <w:p w14:paraId="3CACFB8A" w14:textId="77777777" w:rsidR="008E5ACD" w:rsidRPr="008D30C8" w:rsidRDefault="008E5ACD" w:rsidP="003525C7"/>
    <w:p w14:paraId="4370900F" w14:textId="533ABC11" w:rsidR="00FA4319" w:rsidRDefault="00FA4319" w:rsidP="008E5ACD">
      <w:r w:rsidRPr="008D30C8">
        <w:t>Prior to accessing OPEN, site staff should verify the following:</w:t>
      </w:r>
    </w:p>
    <w:p w14:paraId="0F4DB757" w14:textId="77777777" w:rsidR="008E5ACD" w:rsidRPr="008D30C8" w:rsidRDefault="008E5ACD" w:rsidP="003525C7"/>
    <w:p w14:paraId="50535E7F" w14:textId="23F32B1D" w:rsidR="00FA4319" w:rsidRPr="00210D29" w:rsidRDefault="00FA4319" w:rsidP="00562B10">
      <w:pPr>
        <w:pStyle w:val="ListParagraph"/>
        <w:numPr>
          <w:ilvl w:val="0"/>
          <w:numId w:val="61"/>
        </w:numPr>
      </w:pPr>
      <w:r w:rsidRPr="008D30C8">
        <w:t>Patient has met all eligibility criteria within the protocol stated timeframes</w:t>
      </w:r>
      <w:r w:rsidR="003E5350">
        <w:t>,</w:t>
      </w:r>
      <w:r w:rsidRPr="008D30C8">
        <w:t xml:space="preserve"> and </w:t>
      </w:r>
    </w:p>
    <w:p w14:paraId="295D202E" w14:textId="52691717" w:rsidR="00FA4319" w:rsidRPr="006A01BA" w:rsidRDefault="00FA4319" w:rsidP="00562B10">
      <w:pPr>
        <w:pStyle w:val="ListParagraph"/>
        <w:numPr>
          <w:ilvl w:val="0"/>
          <w:numId w:val="61"/>
        </w:numPr>
      </w:pPr>
      <w:r w:rsidRPr="000A52F1">
        <w:t xml:space="preserve">All patients have signed an appropriate consent form and </w:t>
      </w:r>
      <w:r w:rsidR="002644A3" w:rsidRPr="002644A3">
        <w:t xml:space="preserve">Health Insurance Portability and Accountability Act </w:t>
      </w:r>
      <w:r w:rsidR="002644A3">
        <w:t>(</w:t>
      </w:r>
      <w:r w:rsidRPr="000A52F1">
        <w:t>HIPAA</w:t>
      </w:r>
      <w:r w:rsidR="002644A3">
        <w:t>)</w:t>
      </w:r>
      <w:r w:rsidRPr="000A52F1">
        <w:t xml:space="preserve"> authorization form (if applicable).</w:t>
      </w:r>
    </w:p>
    <w:p w14:paraId="40AC1761" w14:textId="77777777" w:rsidR="008E5ACD" w:rsidRDefault="008E5ACD" w:rsidP="008E5ACD"/>
    <w:p w14:paraId="74A849B8" w14:textId="7B8FFB85" w:rsidR="00FA4319" w:rsidRDefault="00FA4319" w:rsidP="008E5ACD">
      <w:r w:rsidRPr="008D30C8">
        <w:t>Note:  The OPEN system will provide the site with a printable confirmation of registration and treatment information.</w:t>
      </w:r>
      <w:r w:rsidR="008850A6">
        <w:t xml:space="preserve">  IWRS system also sends an email confirmation of the registration.  You may </w:t>
      </w:r>
      <w:r w:rsidRPr="008D30C8">
        <w:t>print this confirmation for your records. </w:t>
      </w:r>
    </w:p>
    <w:p w14:paraId="6C932A8A" w14:textId="77777777" w:rsidR="008E5ACD" w:rsidRPr="008D30C8" w:rsidRDefault="008E5ACD" w:rsidP="003525C7"/>
    <w:p w14:paraId="7720FCD8" w14:textId="3E4468F2" w:rsidR="00FA4319" w:rsidRPr="008E5ACD" w:rsidRDefault="00FA4319" w:rsidP="003525C7">
      <w:r w:rsidRPr="008D30C8">
        <w:t xml:space="preserve">Access OPEN at </w:t>
      </w:r>
      <w:hyperlink r:id="rId35" w:history="1">
        <w:r w:rsidR="002679AA" w:rsidRPr="003525C7">
          <w:rPr>
            <w:rStyle w:val="Hyperlink"/>
          </w:rPr>
          <w:t>https://open.ctsu.org</w:t>
        </w:r>
      </w:hyperlink>
      <w:r w:rsidRPr="008D30C8">
        <w:t xml:space="preserve"> or from the OPEN link on the CTSU members’ website. </w:t>
      </w:r>
      <w:r w:rsidR="008E5ACD">
        <w:t xml:space="preserve"> </w:t>
      </w:r>
      <w:r w:rsidRPr="008D30C8">
        <w:t xml:space="preserve">Further instructional information is in the OPEN section of the CTSU website at </w:t>
      </w:r>
      <w:hyperlink r:id="rId36" w:history="1">
        <w:r w:rsidR="002679AA" w:rsidRPr="008E5ACD">
          <w:rPr>
            <w:rStyle w:val="Hyperlink"/>
          </w:rPr>
          <w:t>https://www.ctsu.org</w:t>
        </w:r>
      </w:hyperlink>
      <w:r w:rsidRPr="00266911">
        <w:t xml:space="preserve"> </w:t>
      </w:r>
      <w:r w:rsidRPr="008E5ACD">
        <w:t>or</w:t>
      </w:r>
      <w:r w:rsidRPr="00266911">
        <w:t xml:space="preserve"> </w:t>
      </w:r>
      <w:hyperlink r:id="rId37" w:history="1">
        <w:r w:rsidR="002679AA" w:rsidRPr="008E5ACD">
          <w:rPr>
            <w:rStyle w:val="Hyperlink"/>
            <w:bCs/>
          </w:rPr>
          <w:t>https://open.ctsu.org</w:t>
        </w:r>
      </w:hyperlink>
      <w:r w:rsidRPr="008E5ACD">
        <w:t xml:space="preserve">. </w:t>
      </w:r>
      <w:r w:rsidR="008E5ACD">
        <w:t xml:space="preserve"> </w:t>
      </w:r>
      <w:r w:rsidRPr="008E5ACD">
        <w:t xml:space="preserve">For any additional questions, contact the CTSU Help Desk at 1-888-823-5923 or </w:t>
      </w:r>
      <w:hyperlink r:id="rId38" w:history="1">
        <w:r w:rsidR="002679AA" w:rsidRPr="008E5ACD">
          <w:rPr>
            <w:rStyle w:val="Hyperlink"/>
          </w:rPr>
          <w:t>ctsucontact@westat.com</w:t>
        </w:r>
      </w:hyperlink>
      <w:r w:rsidRPr="008E5ACD">
        <w:t>.</w:t>
      </w:r>
    </w:p>
    <w:p w14:paraId="4790E4FA" w14:textId="77777777" w:rsidR="00FA4319" w:rsidRPr="008E5ACD" w:rsidRDefault="00FA4319" w:rsidP="008E5ACD">
      <w:pPr>
        <w:rPr>
          <w:highlight w:val="yellow"/>
        </w:rPr>
      </w:pPr>
    </w:p>
    <w:p w14:paraId="62BACB70" w14:textId="558E6F26" w:rsidR="00FA4319" w:rsidRDefault="00FA4319" w:rsidP="008E5ACD">
      <w:pPr>
        <w:pStyle w:val="Text"/>
        <w:spacing w:before="0" w:after="0" w:line="240" w:lineRule="auto"/>
        <w:rPr>
          <w:rFonts w:ascii="Times New Roman" w:hAnsi="Times New Roman"/>
          <w:sz w:val="24"/>
          <w:szCs w:val="24"/>
        </w:rPr>
      </w:pPr>
      <w:bookmarkStart w:id="41" w:name="_Toc335211597"/>
      <w:bookmarkStart w:id="42" w:name="_Toc325531183"/>
      <w:bookmarkStart w:id="43" w:name="_Toc317260976"/>
      <w:r w:rsidRPr="003525C7">
        <w:rPr>
          <w:rFonts w:ascii="Times New Roman" w:hAnsi="Times New Roman"/>
          <w:sz w:val="24"/>
          <w:szCs w:val="24"/>
        </w:rPr>
        <w:t xml:space="preserve">Patient enrollment for this study will be facilitated using the Slot Reservation System in conjunction with </w:t>
      </w:r>
      <w:r w:rsidR="00FC00DF" w:rsidRPr="00FC00DF">
        <w:rPr>
          <w:rFonts w:ascii="Times New Roman" w:hAnsi="Times New Roman"/>
          <w:sz w:val="24"/>
          <w:szCs w:val="24"/>
        </w:rPr>
        <w:t xml:space="preserve">patient enrollment </w:t>
      </w:r>
      <w:r w:rsidRPr="003525C7">
        <w:rPr>
          <w:rFonts w:ascii="Times New Roman" w:hAnsi="Times New Roman"/>
          <w:sz w:val="24"/>
          <w:szCs w:val="24"/>
        </w:rPr>
        <w:t xml:space="preserve">in OPEN. </w:t>
      </w:r>
      <w:r w:rsidR="008E5ACD">
        <w:rPr>
          <w:rFonts w:ascii="Times New Roman" w:hAnsi="Times New Roman"/>
          <w:sz w:val="24"/>
          <w:szCs w:val="24"/>
        </w:rPr>
        <w:t xml:space="preserve"> </w:t>
      </w:r>
      <w:r w:rsidRPr="003525C7">
        <w:rPr>
          <w:rFonts w:ascii="Times New Roman" w:hAnsi="Times New Roman"/>
          <w:sz w:val="24"/>
          <w:szCs w:val="24"/>
        </w:rPr>
        <w:t xml:space="preserve">Prior to discussing protocol entry with the patient, all site staff must use the CTSU OPEN Slot Reservation System </w:t>
      </w:r>
      <w:r w:rsidR="00F77257">
        <w:rPr>
          <w:rFonts w:ascii="Times New Roman" w:hAnsi="Times New Roman"/>
          <w:sz w:val="24"/>
          <w:szCs w:val="24"/>
        </w:rPr>
        <w:t xml:space="preserve">or the IWRS Slot Reservation System </w:t>
      </w:r>
      <w:r w:rsidRPr="003525C7">
        <w:rPr>
          <w:rFonts w:ascii="Times New Roman" w:hAnsi="Times New Roman"/>
          <w:sz w:val="24"/>
          <w:szCs w:val="24"/>
        </w:rPr>
        <w:t>to ensure that a slot on the protocol is available to the patient.</w:t>
      </w:r>
      <w:r w:rsidR="008E5ACD">
        <w:rPr>
          <w:rFonts w:ascii="Times New Roman" w:hAnsi="Times New Roman"/>
          <w:sz w:val="24"/>
          <w:szCs w:val="24"/>
        </w:rPr>
        <w:t xml:space="preserve"> </w:t>
      </w:r>
      <w:r w:rsidRPr="003525C7">
        <w:rPr>
          <w:rFonts w:ascii="Times New Roman" w:hAnsi="Times New Roman"/>
          <w:sz w:val="24"/>
          <w:szCs w:val="24"/>
        </w:rPr>
        <w:t xml:space="preserve"> Once a slot reservation confirmation is obtained, site staff may then proceed to enroll the patient to this study. </w:t>
      </w:r>
    </w:p>
    <w:bookmarkEnd w:id="41"/>
    <w:bookmarkEnd w:id="42"/>
    <w:bookmarkEnd w:id="43"/>
    <w:p w14:paraId="455FAF77" w14:textId="77777777" w:rsidR="009E246E" w:rsidRPr="003525C7" w:rsidRDefault="009E246E" w:rsidP="009E246E">
      <w:pPr>
        <w:rPr>
          <w:color w:val="auto"/>
        </w:rPr>
      </w:pPr>
    </w:p>
    <w:p w14:paraId="02DB3722" w14:textId="77777777" w:rsidR="006C0997" w:rsidRPr="00C312CF" w:rsidRDefault="00885EAD" w:rsidP="00C312CF">
      <w:pPr>
        <w:pStyle w:val="Level3Heading"/>
        <w:rPr>
          <w:u w:val="single"/>
        </w:rPr>
      </w:pPr>
      <w:bookmarkStart w:id="44" w:name="_Toc317260977"/>
      <w:bookmarkStart w:id="45" w:name="_Toc325531184"/>
      <w:bookmarkStart w:id="46" w:name="_Toc335211598"/>
      <w:r w:rsidRPr="00C312CF">
        <w:rPr>
          <w:u w:val="single"/>
        </w:rPr>
        <w:t xml:space="preserve">Special Instructions for </w:t>
      </w:r>
      <w:r w:rsidR="006C0997" w:rsidRPr="00C312CF">
        <w:rPr>
          <w:u w:val="single"/>
        </w:rPr>
        <w:t>Patient Enrollment</w:t>
      </w:r>
    </w:p>
    <w:p w14:paraId="2EDED118" w14:textId="77777777" w:rsidR="006C0997" w:rsidRDefault="006C0997" w:rsidP="009B2AD5"/>
    <w:p w14:paraId="398201AC" w14:textId="3FB3927B" w:rsidR="00164703" w:rsidRPr="001714FD" w:rsidRDefault="00164703" w:rsidP="00562B10">
      <w:pPr>
        <w:pStyle w:val="ListParagraph"/>
        <w:widowControl/>
        <w:numPr>
          <w:ilvl w:val="0"/>
          <w:numId w:val="90"/>
        </w:numPr>
      </w:pPr>
      <w:r w:rsidRPr="001714FD">
        <w:t xml:space="preserve">Site staff with the appropriate roles will reserve slots using IWRS </w:t>
      </w:r>
      <w:r>
        <w:t>(</w:t>
      </w:r>
      <w:hyperlink r:id="rId39" w:history="1">
        <w:r w:rsidRPr="00F45D7D">
          <w:rPr>
            <w:rStyle w:val="Hyperlink"/>
          </w:rPr>
          <w:t>https://open.ctsu.org/</w:t>
        </w:r>
      </w:hyperlink>
      <w:r w:rsidRPr="001714FD">
        <w:t>).</w:t>
      </w:r>
    </w:p>
    <w:p w14:paraId="4B86EE30" w14:textId="1CDF0869" w:rsidR="00164703" w:rsidRDefault="00164703" w:rsidP="00562B10">
      <w:pPr>
        <w:pStyle w:val="ListParagraph"/>
        <w:widowControl/>
        <w:numPr>
          <w:ilvl w:val="0"/>
          <w:numId w:val="90"/>
        </w:numPr>
      </w:pPr>
      <w:r w:rsidRPr="001714FD">
        <w:t xml:space="preserve">City of Hope Cancer Center will receive notification via </w:t>
      </w:r>
      <w:proofErr w:type="gramStart"/>
      <w:r w:rsidRPr="001714FD">
        <w:t>the IWRS</w:t>
      </w:r>
      <w:proofErr w:type="gramEnd"/>
      <w:r w:rsidRPr="001714FD">
        <w:t xml:space="preserve"> when a slot has been reserved. </w:t>
      </w:r>
      <w:r>
        <w:t xml:space="preserve"> </w:t>
      </w:r>
      <w:r w:rsidRPr="001714FD">
        <w:t>An e</w:t>
      </w:r>
      <w:r>
        <w:t>-</w:t>
      </w:r>
      <w:r w:rsidRPr="001714FD">
        <w:t>mail will be sent from the City of Hope Cancer Center to the site requesting further information such as:</w:t>
      </w:r>
      <w:r>
        <w:t xml:space="preserve"> </w:t>
      </w:r>
      <w:r w:rsidRPr="001714FD">
        <w:t xml:space="preserve"> patient initials, tumor type</w:t>
      </w:r>
      <w:r>
        <w:t>,</w:t>
      </w:r>
      <w:r w:rsidRPr="001714FD">
        <w:t xml:space="preserve"> and potential start date. </w:t>
      </w:r>
      <w:r>
        <w:t xml:space="preserve"> </w:t>
      </w:r>
      <w:r w:rsidRPr="001714FD">
        <w:t xml:space="preserve">The spot will show as ‘pending approval’ in the system until the site sends a REGISTRATION FORM/ELIGIBILITY CHECKLIST </w:t>
      </w:r>
      <w:r>
        <w:t>(posted in the CTSU members’ website under NCI# 10</w:t>
      </w:r>
      <w:r w:rsidR="0091638B">
        <w:t>699</w:t>
      </w:r>
      <w:r>
        <w:t xml:space="preserve">) accompanied with documents supporting eligibility (signed consent, baseline labs, pathology reports, MRI reports, and latest clinic note) </w:t>
      </w:r>
      <w:r w:rsidRPr="001714FD">
        <w:t>to the City of Hope Cancer Center</w:t>
      </w:r>
      <w:r>
        <w:t xml:space="preserve"> at </w:t>
      </w:r>
      <w:hyperlink r:id="rId40" w:history="1">
        <w:r w:rsidRPr="002E2079">
          <w:rPr>
            <w:rStyle w:val="Hyperlink"/>
          </w:rPr>
          <w:t>ccc@coh.org</w:t>
        </w:r>
      </w:hyperlink>
      <w:r>
        <w:t xml:space="preserve"> </w:t>
      </w:r>
      <w:r w:rsidRPr="001714FD">
        <w:t>for review and confirmation of eligibility.</w:t>
      </w:r>
    </w:p>
    <w:p w14:paraId="126C84F3" w14:textId="77777777" w:rsidR="00164703" w:rsidRDefault="00164703" w:rsidP="00562B10">
      <w:pPr>
        <w:pStyle w:val="ListParagraph"/>
        <w:widowControl/>
        <w:numPr>
          <w:ilvl w:val="0"/>
          <w:numId w:val="90"/>
        </w:numPr>
      </w:pPr>
      <w:r w:rsidRPr="001714FD">
        <w:t xml:space="preserve">Once the </w:t>
      </w:r>
      <w:r>
        <w:t>r</w:t>
      </w:r>
      <w:r w:rsidRPr="001714FD">
        <w:t xml:space="preserve">egistration has been reviewed, the City of Hope Cancer Center will either approve or disapprove the request depending on confirmation of patient eligibility. </w:t>
      </w:r>
      <w:r>
        <w:t xml:space="preserve"> </w:t>
      </w:r>
      <w:r w:rsidRPr="001714FD">
        <w:t>If approved</w:t>
      </w:r>
      <w:r>
        <w:t>, the City of Hope Cancer Center</w:t>
      </w:r>
      <w:r w:rsidRPr="001714FD">
        <w:t xml:space="preserve"> will update the spot to ‘reserved’ in IWRS.</w:t>
      </w:r>
    </w:p>
    <w:p w14:paraId="68352C20" w14:textId="77777777" w:rsidR="00164703" w:rsidRDefault="00164703" w:rsidP="00562B10">
      <w:pPr>
        <w:pStyle w:val="ListParagraph"/>
        <w:widowControl/>
        <w:numPr>
          <w:ilvl w:val="0"/>
          <w:numId w:val="90"/>
        </w:numPr>
      </w:pPr>
      <w:r w:rsidRPr="001714FD">
        <w:lastRenderedPageBreak/>
        <w:t xml:space="preserve">The </w:t>
      </w:r>
      <w:r w:rsidRPr="00106C9A">
        <w:t>site</w:t>
      </w:r>
      <w:r w:rsidRPr="00B21CC2">
        <w:t xml:space="preserve"> </w:t>
      </w:r>
      <w:r w:rsidRPr="001714FD">
        <w:t>can now enroll the patient into the study in OPEN</w:t>
      </w:r>
      <w:r>
        <w:t>.</w:t>
      </w:r>
    </w:p>
    <w:p w14:paraId="63E221D1" w14:textId="1F88353B" w:rsidR="00010CCF" w:rsidRDefault="00010CCF" w:rsidP="00470CA1">
      <w:pPr>
        <w:rPr>
          <w:highlight w:val="darkGray"/>
        </w:rPr>
      </w:pPr>
    </w:p>
    <w:p w14:paraId="2A161A36" w14:textId="77777777" w:rsidR="004332E7" w:rsidRPr="00BD5DE7" w:rsidRDefault="004332E7" w:rsidP="004332E7">
      <w:pPr>
        <w:rPr>
          <w:rFonts w:asciiTheme="majorHAnsi" w:eastAsiaTheme="majorEastAsia" w:hAnsiTheme="majorHAnsi" w:cstheme="majorBidi"/>
          <w:b/>
          <w:bCs/>
          <w:color w:val="365F91" w:themeColor="accent1" w:themeShade="BF"/>
          <w:highlight w:val="darkCyan"/>
        </w:rPr>
      </w:pPr>
    </w:p>
    <w:p w14:paraId="2CF84C9B" w14:textId="77777777" w:rsidR="009E246E" w:rsidRPr="00C312CF" w:rsidRDefault="009E246E" w:rsidP="00C312CF">
      <w:pPr>
        <w:pStyle w:val="Level3Heading"/>
        <w:rPr>
          <w:u w:val="single"/>
        </w:rPr>
      </w:pPr>
      <w:r w:rsidRPr="00C312CF">
        <w:rPr>
          <w:u w:val="single"/>
        </w:rPr>
        <w:t>OPEN/IWRS Questions?</w:t>
      </w:r>
    </w:p>
    <w:p w14:paraId="4C9F989F" w14:textId="77777777" w:rsidR="009E246E" w:rsidRPr="005D2B63" w:rsidRDefault="009E246E" w:rsidP="009E246E"/>
    <w:p w14:paraId="21AEDC16" w14:textId="2DE42999" w:rsidR="009E246E" w:rsidRDefault="009E246E" w:rsidP="00470CA1">
      <w:r w:rsidRPr="008372B9">
        <w:t xml:space="preserve">Further instructional information on OPEN is provided on the OPEN </w:t>
      </w:r>
      <w:r w:rsidR="008D30C8">
        <w:t>link</w:t>
      </w:r>
      <w:r w:rsidRPr="008372B9">
        <w:t xml:space="preserve"> of the CTSU </w:t>
      </w:r>
      <w:r w:rsidR="00B60158">
        <w:t>website</w:t>
      </w:r>
      <w:r w:rsidRPr="008372B9">
        <w:t xml:space="preserve"> at </w:t>
      </w:r>
      <w:hyperlink r:id="rId41" w:history="1">
        <w:r w:rsidR="002C5EA0" w:rsidRPr="0091739B">
          <w:rPr>
            <w:rStyle w:val="Hyperlink"/>
          </w:rPr>
          <w:t>https://www.ctsu.org</w:t>
        </w:r>
      </w:hyperlink>
      <w:r>
        <w:t xml:space="preserve"> </w:t>
      </w:r>
      <w:r w:rsidRPr="008372B9">
        <w:t xml:space="preserve">or at </w:t>
      </w:r>
      <w:hyperlink r:id="rId42" w:history="1">
        <w:r w:rsidR="002C5EA0" w:rsidRPr="0091739B">
          <w:rPr>
            <w:rStyle w:val="Hyperlink"/>
            <w:bCs/>
          </w:rPr>
          <w:t>https://open.ctsu.org</w:t>
        </w:r>
      </w:hyperlink>
      <w:r>
        <w:rPr>
          <w:bCs/>
        </w:rPr>
        <w:t>.</w:t>
      </w:r>
      <w:r w:rsidRPr="008372B9">
        <w:t xml:space="preserve">  For any additional questions contact the CTSU Help Desk at 1-888-823-5923 or </w:t>
      </w:r>
      <w:hyperlink r:id="rId43" w:history="1">
        <w:r w:rsidR="002C5EA0" w:rsidRPr="0091739B">
          <w:rPr>
            <w:rStyle w:val="Hyperlink"/>
          </w:rPr>
          <w:t>ctsucontact@westat.com</w:t>
        </w:r>
      </w:hyperlink>
      <w:r w:rsidRPr="00FB263F">
        <w:t>.</w:t>
      </w:r>
      <w:r w:rsidRPr="005D2B63">
        <w:t xml:space="preserve"> </w:t>
      </w:r>
    </w:p>
    <w:p w14:paraId="4C3E070B" w14:textId="77777777" w:rsidR="009E246E" w:rsidRPr="005D2B63" w:rsidRDefault="009E246E" w:rsidP="00470CA1"/>
    <w:p w14:paraId="750A3DDB" w14:textId="33A8C425" w:rsidR="009E246E" w:rsidRDefault="009E246E" w:rsidP="00470CA1">
      <w:r w:rsidRPr="005D2B63">
        <w:t>Th</w:t>
      </w:r>
      <w:bookmarkEnd w:id="44"/>
      <w:bookmarkEnd w:id="45"/>
      <w:bookmarkEnd w:id="46"/>
      <w:r w:rsidRPr="008372B9">
        <w:t xml:space="preserve">eradex has developed a Slot Reservations and Cohort Management User Guide, which is available on the Theradex </w:t>
      </w:r>
      <w:r w:rsidR="00B60158">
        <w:t>website</w:t>
      </w:r>
      <w:r w:rsidRPr="008372B9">
        <w:t xml:space="preserve">:  </w:t>
      </w:r>
      <w:hyperlink r:id="rId44" w:history="1">
        <w:r w:rsidR="004D4C16" w:rsidRPr="000770ED">
          <w:rPr>
            <w:rStyle w:val="Hyperlink"/>
          </w:rPr>
          <w:t>http://www.theradex.com/clinicalTechnologies/?National-Cancer-Institute-NCI-11</w:t>
        </w:r>
      </w:hyperlink>
      <w:r w:rsidRPr="008372B9">
        <w:t xml:space="preserve">. This link to the Theradex </w:t>
      </w:r>
      <w:r w:rsidR="00B60158">
        <w:t>website</w:t>
      </w:r>
      <w:r w:rsidRPr="008372B9">
        <w:t xml:space="preserve"> is also on the CTSU </w:t>
      </w:r>
      <w:r w:rsidR="00B60158">
        <w:t>website</w:t>
      </w:r>
      <w:r w:rsidRPr="008372B9">
        <w:t xml:space="preserve"> OPEN tab. For questions about the use of IWRS for slot reservations, contact the Theradex Helpdesk</w:t>
      </w:r>
      <w:r w:rsidR="00A57E10">
        <w:t xml:space="preserve"> at</w:t>
      </w:r>
      <w:r w:rsidRPr="008372B9">
        <w:t xml:space="preserve"> </w:t>
      </w:r>
      <w:r w:rsidR="00AA142C">
        <w:t>855-828-6113</w:t>
      </w:r>
      <w:r w:rsidRPr="008372B9">
        <w:t xml:space="preserve"> or Theradex main number 609-799-7580; </w:t>
      </w:r>
      <w:hyperlink r:id="rId45" w:history="1">
        <w:r w:rsidRPr="0091739B">
          <w:rPr>
            <w:rStyle w:val="Hyperlink"/>
          </w:rPr>
          <w:t>CTMSSupport@theradex.com</w:t>
        </w:r>
      </w:hyperlink>
      <w:r>
        <w:t>.</w:t>
      </w:r>
    </w:p>
    <w:p w14:paraId="24F3DF91" w14:textId="77777777" w:rsidR="009E246E" w:rsidRDefault="009E246E" w:rsidP="009E246E"/>
    <w:p w14:paraId="3AD48289" w14:textId="77777777" w:rsidR="009E246E" w:rsidRPr="00D9723B" w:rsidRDefault="009E246E" w:rsidP="0061336A">
      <w:pPr>
        <w:pStyle w:val="Heading2"/>
        <w:rPr>
          <w:bCs/>
        </w:rPr>
      </w:pPr>
      <w:bookmarkStart w:id="47" w:name="_Toc318813007"/>
      <w:bookmarkStart w:id="48" w:name="_Toc176419902"/>
      <w:r w:rsidRPr="007300F3">
        <w:t>General Guidelines</w:t>
      </w:r>
      <w:bookmarkEnd w:id="47"/>
      <w:bookmarkEnd w:id="48"/>
    </w:p>
    <w:p w14:paraId="05A098D7" w14:textId="77777777" w:rsidR="009E246E" w:rsidRDefault="009E246E" w:rsidP="006B23E5">
      <w:pPr>
        <w:widowControl/>
        <w:tabs>
          <w:tab w:val="left" w:pos="-1068"/>
          <w:tab w:val="left" w:pos="-720"/>
          <w:tab w:val="left" w:pos="0"/>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Cs/>
        </w:rPr>
      </w:pPr>
    </w:p>
    <w:p w14:paraId="7D142620" w14:textId="342A71E7" w:rsidR="009E246E" w:rsidRDefault="009E246E" w:rsidP="006B23E5">
      <w:pPr>
        <w:widowControl/>
        <w:rPr>
          <w:bCs/>
        </w:rPr>
      </w:pPr>
      <w:r w:rsidRPr="007300F3">
        <w:rPr>
          <w:bCs/>
        </w:rPr>
        <w:t xml:space="preserve">Following registration, patients should begin protocol treatment within </w:t>
      </w:r>
      <w:r w:rsidR="0091638B" w:rsidRPr="003F5D0D">
        <w:rPr>
          <w:bCs/>
          <w:iCs/>
        </w:rPr>
        <w:t>7</w:t>
      </w:r>
      <w:r w:rsidR="00A9155E">
        <w:rPr>
          <w:bCs/>
        </w:rPr>
        <w:t xml:space="preserve"> </w:t>
      </w:r>
      <w:r>
        <w:rPr>
          <w:bCs/>
        </w:rPr>
        <w:t>days</w:t>
      </w:r>
      <w:r w:rsidRPr="007300F3">
        <w:rPr>
          <w:bCs/>
        </w:rPr>
        <w:t xml:space="preserve">. </w:t>
      </w:r>
      <w:r w:rsidR="003F5D0D">
        <w:rPr>
          <w:bCs/>
        </w:rPr>
        <w:t xml:space="preserve"> </w:t>
      </w:r>
      <w:r w:rsidRPr="007300F3">
        <w:rPr>
          <w:bCs/>
        </w:rPr>
        <w:t>Issues that would cause treatment delays should be discussed with the Principal Investigator.  If a patient does not receive protocol therapy following registration, the patient’s registration on the study may be canceled.  The Study Coordinator should be notified of cancellations as soon as possible.</w:t>
      </w:r>
    </w:p>
    <w:p w14:paraId="434FFC68" w14:textId="03408744" w:rsidR="0022599C" w:rsidRDefault="0022599C">
      <w:pPr>
        <w:widowControl/>
        <w:rPr>
          <w:bCs/>
        </w:rPr>
      </w:pPr>
      <w:r>
        <w:rPr>
          <w:bCs/>
        </w:rPr>
        <w:br w:type="page"/>
      </w:r>
    </w:p>
    <w:p w14:paraId="6E92E8E3" w14:textId="32DFD485" w:rsidR="004F4559" w:rsidRPr="007300F3" w:rsidRDefault="004F4559" w:rsidP="00C94562">
      <w:pPr>
        <w:pStyle w:val="Heading1"/>
      </w:pPr>
      <w:bookmarkStart w:id="49" w:name="_Toc176419903"/>
      <w:bookmarkEnd w:id="34"/>
      <w:r>
        <w:lastRenderedPageBreak/>
        <w:t xml:space="preserve">BIOMARKER, </w:t>
      </w:r>
      <w:r w:rsidRPr="007300F3">
        <w:t>CORRELATIVE</w:t>
      </w:r>
      <w:r>
        <w:t xml:space="preserve">, AND </w:t>
      </w:r>
      <w:r w:rsidRPr="007300F3">
        <w:t>SPECIAL STUDIES</w:t>
      </w:r>
      <w:bookmarkEnd w:id="49"/>
    </w:p>
    <w:p w14:paraId="73270B03" w14:textId="77777777" w:rsidR="00B275AC" w:rsidRDefault="00B275AC" w:rsidP="004F4559">
      <w:pPr>
        <w:suppressAutoHyphens/>
      </w:pPr>
      <w:bookmarkStart w:id="50" w:name="_Hlk4504392"/>
    </w:p>
    <w:p w14:paraId="3BDE6242" w14:textId="32DA426B" w:rsidR="003C59A4" w:rsidRDefault="003C59A4" w:rsidP="00C94562">
      <w:pPr>
        <w:pStyle w:val="Heading2"/>
      </w:pPr>
      <w:bookmarkStart w:id="51" w:name="_Biomarker_Plan"/>
      <w:bookmarkStart w:id="52" w:name="_Toc176419904"/>
      <w:bookmarkEnd w:id="51"/>
      <w:r>
        <w:t>Summary Table for Specimen Collection</w:t>
      </w:r>
      <w:bookmarkEnd w:id="52"/>
    </w:p>
    <w:p w14:paraId="2F1C6D91" w14:textId="79963395" w:rsidR="00F06D29" w:rsidRPr="007771EB" w:rsidRDefault="00F06D29" w:rsidP="003C59A4">
      <w:pPr>
        <w:rPr>
          <w:i/>
        </w:rPr>
      </w:pPr>
    </w:p>
    <w:tbl>
      <w:tblPr>
        <w:tblStyle w:val="TableGrid"/>
        <w:tblW w:w="9576" w:type="dxa"/>
        <w:tblLook w:val="04A0" w:firstRow="1" w:lastRow="0" w:firstColumn="1" w:lastColumn="0" w:noHBand="0" w:noVBand="1"/>
      </w:tblPr>
      <w:tblGrid>
        <w:gridCol w:w="2425"/>
        <w:gridCol w:w="4590"/>
        <w:gridCol w:w="2561"/>
      </w:tblGrid>
      <w:tr w:rsidR="000C79AC" w:rsidRPr="000D0BCC" w14:paraId="4CF1C50A" w14:textId="77777777" w:rsidTr="007A37DD">
        <w:trPr>
          <w:cantSplit/>
          <w:tblHeader/>
        </w:trPr>
        <w:tc>
          <w:tcPr>
            <w:tcW w:w="2425" w:type="dxa"/>
            <w:shd w:val="clear" w:color="auto" w:fill="DBE5F1" w:themeFill="accent1" w:themeFillTint="33"/>
          </w:tcPr>
          <w:p w14:paraId="70A4122A" w14:textId="77777777" w:rsidR="000C79AC" w:rsidRPr="00ED1C7C" w:rsidRDefault="000C79AC" w:rsidP="00D263D3">
            <w:pPr>
              <w:rPr>
                <w:b/>
              </w:rPr>
            </w:pPr>
            <w:r w:rsidRPr="00ED1C7C">
              <w:rPr>
                <w:b/>
              </w:rPr>
              <w:t>Time Point</w:t>
            </w:r>
          </w:p>
        </w:tc>
        <w:tc>
          <w:tcPr>
            <w:tcW w:w="4590" w:type="dxa"/>
            <w:shd w:val="clear" w:color="auto" w:fill="DBE5F1" w:themeFill="accent1" w:themeFillTint="33"/>
          </w:tcPr>
          <w:p w14:paraId="6159C1D4" w14:textId="5DD84D85" w:rsidR="000C79AC" w:rsidRPr="00F819EB" w:rsidRDefault="000C79AC" w:rsidP="00D263D3">
            <w:pPr>
              <w:rPr>
                <w:b/>
              </w:rPr>
            </w:pPr>
            <w:r w:rsidRPr="00F819EB">
              <w:rPr>
                <w:b/>
              </w:rPr>
              <w:t>Specimen</w:t>
            </w:r>
          </w:p>
        </w:tc>
        <w:tc>
          <w:tcPr>
            <w:tcW w:w="2561" w:type="dxa"/>
            <w:shd w:val="clear" w:color="auto" w:fill="DBE5F1" w:themeFill="accent1" w:themeFillTint="33"/>
          </w:tcPr>
          <w:p w14:paraId="4B6DC37F" w14:textId="77777777" w:rsidR="000C79AC" w:rsidRPr="00F819EB" w:rsidRDefault="000C79AC" w:rsidP="00D263D3">
            <w:pPr>
              <w:rPr>
                <w:b/>
              </w:rPr>
            </w:pPr>
            <w:r w:rsidRPr="00F819EB">
              <w:rPr>
                <w:b/>
              </w:rPr>
              <w:t>Send Specimens To:</w:t>
            </w:r>
          </w:p>
        </w:tc>
      </w:tr>
      <w:tr w:rsidR="000C79AC" w:rsidRPr="000D0BCC" w14:paraId="73FDF38F" w14:textId="77777777" w:rsidTr="007A37DD">
        <w:trPr>
          <w:cantSplit/>
        </w:trPr>
        <w:tc>
          <w:tcPr>
            <w:tcW w:w="9576" w:type="dxa"/>
            <w:gridSpan w:val="3"/>
            <w:shd w:val="clear" w:color="auto" w:fill="BFBFBF" w:themeFill="background1" w:themeFillShade="BF"/>
          </w:tcPr>
          <w:p w14:paraId="7220EBAB" w14:textId="59C29164" w:rsidR="000C79AC" w:rsidRPr="00AA234D" w:rsidRDefault="000C79AC" w:rsidP="00D263D3">
            <w:pPr>
              <w:jc w:val="both"/>
              <w:rPr>
                <w:b/>
                <w:vertAlign w:val="superscript"/>
              </w:rPr>
            </w:pPr>
            <w:r w:rsidRPr="00ED1C7C">
              <w:rPr>
                <w:b/>
              </w:rPr>
              <w:t>Archival</w:t>
            </w:r>
            <w:r w:rsidR="00AA234D">
              <w:rPr>
                <w:b/>
                <w:vertAlign w:val="superscript"/>
              </w:rPr>
              <w:t>1, 2</w:t>
            </w:r>
          </w:p>
        </w:tc>
      </w:tr>
      <w:tr w:rsidR="00BF5426" w:rsidRPr="000D0BCC" w14:paraId="0BA01A64" w14:textId="77777777" w:rsidTr="007A37DD">
        <w:trPr>
          <w:cantSplit/>
        </w:trPr>
        <w:tc>
          <w:tcPr>
            <w:tcW w:w="2425" w:type="dxa"/>
          </w:tcPr>
          <w:p w14:paraId="70759947" w14:textId="0AC35AFA" w:rsidR="00BF5426" w:rsidRPr="00ED1C7C" w:rsidRDefault="00BF5426" w:rsidP="005530C4">
            <w:r w:rsidRPr="0069141F">
              <w:rPr>
                <w:rFonts w:eastAsia="SimSun"/>
              </w:rPr>
              <w:t>All Patients</w:t>
            </w:r>
            <w:r w:rsidR="003A6FF0">
              <w:rPr>
                <w:rFonts w:eastAsia="SimSun"/>
              </w:rPr>
              <w:t xml:space="preserve"> on the treatment portion of the study</w:t>
            </w:r>
          </w:p>
        </w:tc>
        <w:tc>
          <w:tcPr>
            <w:tcW w:w="4590" w:type="dxa"/>
          </w:tcPr>
          <w:p w14:paraId="55F7B4D8" w14:textId="64E4C380" w:rsidR="00BF5426" w:rsidRPr="007B0751" w:rsidRDefault="00BF5426" w:rsidP="007B0751">
            <w:pPr>
              <w:numPr>
                <w:ilvl w:val="0"/>
                <w:numId w:val="76"/>
              </w:numPr>
              <w:rPr>
                <w:color w:val="auto"/>
              </w:rPr>
            </w:pPr>
            <w:r w:rsidRPr="007B0751">
              <w:rPr>
                <w:color w:val="auto"/>
              </w:rPr>
              <w:t>Formalin-fixed paraffin-embedded (FFPE) tumor tissue block (preferred) (optional)</w:t>
            </w:r>
            <w:r w:rsidR="00AA234D" w:rsidRPr="007B0751">
              <w:rPr>
                <w:color w:val="auto"/>
                <w:vertAlign w:val="superscript"/>
              </w:rPr>
              <w:t>3</w:t>
            </w:r>
            <w:r w:rsidR="003C136A" w:rsidRPr="007B0751">
              <w:rPr>
                <w:color w:val="auto"/>
                <w:vertAlign w:val="superscript"/>
              </w:rPr>
              <w:t>, 4</w:t>
            </w:r>
            <w:r w:rsidRPr="007B0751">
              <w:rPr>
                <w:color w:val="auto"/>
              </w:rPr>
              <w:t xml:space="preserve"> </w:t>
            </w:r>
          </w:p>
          <w:p w14:paraId="1AE1AD05" w14:textId="77777777" w:rsidR="00BF5426" w:rsidRPr="0069141F" w:rsidRDefault="00BF5426" w:rsidP="00BF5426">
            <w:pPr>
              <w:pStyle w:val="ListParagraph"/>
              <w:ind w:left="157"/>
              <w:rPr>
                <w:iCs/>
              </w:rPr>
            </w:pPr>
          </w:p>
          <w:p w14:paraId="5EB75788" w14:textId="77777777" w:rsidR="00BF5426" w:rsidRPr="0069141F" w:rsidRDefault="00BF5426" w:rsidP="00BF5426">
            <w:pPr>
              <w:ind w:left="157"/>
              <w:rPr>
                <w:iCs/>
              </w:rPr>
            </w:pPr>
            <w:r w:rsidRPr="0069141F">
              <w:rPr>
                <w:iCs/>
              </w:rPr>
              <w:t>If a block is not available, then submit:</w:t>
            </w:r>
          </w:p>
          <w:p w14:paraId="3AA5D785" w14:textId="77777777" w:rsidR="00BF5426" w:rsidRPr="0069141F" w:rsidRDefault="00BF5426" w:rsidP="00562B10">
            <w:pPr>
              <w:pStyle w:val="ListParagraph"/>
              <w:widowControl/>
              <w:numPr>
                <w:ilvl w:val="0"/>
                <w:numId w:val="38"/>
              </w:numPr>
              <w:spacing w:after="200"/>
              <w:rPr>
                <w:iCs/>
              </w:rPr>
            </w:pPr>
            <w:r w:rsidRPr="0069141F">
              <w:rPr>
                <w:iCs/>
              </w:rPr>
              <w:t>1 H&amp;E stained slide (3-5 µm)</w:t>
            </w:r>
          </w:p>
          <w:p w14:paraId="70A449DE" w14:textId="59D06062" w:rsidR="00BF5426" w:rsidRPr="00ED1C7C" w:rsidRDefault="00BF5426" w:rsidP="00562B10">
            <w:pPr>
              <w:pStyle w:val="ListParagraph"/>
              <w:numPr>
                <w:ilvl w:val="0"/>
                <w:numId w:val="38"/>
              </w:numPr>
            </w:pPr>
            <w:r w:rsidRPr="0069141F">
              <w:rPr>
                <w:iCs/>
              </w:rPr>
              <w:t>30-50 unstained, uncharged, air-dried slides (10 µm)</w:t>
            </w:r>
            <w:r w:rsidRPr="0069141F">
              <w:rPr>
                <w:iCs/>
                <w:u w:color="0B4CB4"/>
              </w:rPr>
              <w:t>.  If not feasible, then a minimum of 20 unstained air-dried uncharged slides (10 µm) should be submitted with a minimum tumor content of 30-40%</w:t>
            </w:r>
            <w:r w:rsidRPr="007834F3">
              <w:rPr>
                <w:iCs/>
                <w:u w:color="0B4CB4"/>
              </w:rPr>
              <w:t>.</w:t>
            </w:r>
            <w:r w:rsidR="003C136A">
              <w:rPr>
                <w:iCs/>
                <w:u w:color="0B4CB4"/>
                <w:vertAlign w:val="superscript"/>
              </w:rPr>
              <w:t>5</w:t>
            </w:r>
          </w:p>
        </w:tc>
        <w:tc>
          <w:tcPr>
            <w:tcW w:w="2561" w:type="dxa"/>
          </w:tcPr>
          <w:p w14:paraId="4A1A0A78" w14:textId="77777777" w:rsidR="00BF5426" w:rsidRDefault="00BF5426" w:rsidP="00BF5426">
            <w:pPr>
              <w:rPr>
                <w:rFonts w:eastAsia="Arial Unicode MS"/>
              </w:rPr>
            </w:pPr>
            <w:r w:rsidRPr="0069141F">
              <w:rPr>
                <w:rFonts w:eastAsia="Arial Unicode MS"/>
              </w:rPr>
              <w:t>EET Biobank</w:t>
            </w:r>
          </w:p>
          <w:p w14:paraId="08BA4ED9" w14:textId="77777777" w:rsidR="008C091D" w:rsidRDefault="008C091D" w:rsidP="00BF5426">
            <w:pPr>
              <w:rPr>
                <w:rFonts w:eastAsia="Arial Unicode MS"/>
                <w:i/>
              </w:rPr>
            </w:pPr>
          </w:p>
          <w:p w14:paraId="69B2CE45" w14:textId="21434393" w:rsidR="008C091D" w:rsidRPr="00976784" w:rsidRDefault="008C091D" w:rsidP="00BF5426">
            <w:pPr>
              <w:rPr>
                <w:i/>
              </w:rPr>
            </w:pPr>
            <w:r w:rsidRPr="005530C4">
              <w:rPr>
                <w:rFonts w:eastAsia="SimSun"/>
                <w:u w:val="single"/>
              </w:rPr>
              <w:t>Note</w:t>
            </w:r>
            <w:r w:rsidRPr="005530C4">
              <w:rPr>
                <w:rFonts w:eastAsia="SimSun"/>
              </w:rPr>
              <w:t>: for patients at City of Hope on the window-of- opportunity PK sub-study, tissue should not be submitted to the EET Biobank unless they continue onto the treatment portion of the study.</w:t>
            </w:r>
          </w:p>
        </w:tc>
      </w:tr>
      <w:tr w:rsidR="00594685" w:rsidRPr="000D0BCC" w14:paraId="4A2ECC9A" w14:textId="77777777" w:rsidTr="007A37DD">
        <w:trPr>
          <w:cantSplit/>
        </w:trPr>
        <w:tc>
          <w:tcPr>
            <w:tcW w:w="9576" w:type="dxa"/>
            <w:gridSpan w:val="3"/>
            <w:shd w:val="clear" w:color="auto" w:fill="BFBFBF" w:themeFill="background1" w:themeFillShade="BF"/>
            <w:vAlign w:val="center"/>
          </w:tcPr>
          <w:p w14:paraId="18212255" w14:textId="66FCB794" w:rsidR="00594685" w:rsidRPr="00ED1C7C" w:rsidRDefault="00594685" w:rsidP="00594685">
            <w:pPr>
              <w:jc w:val="both"/>
              <w:rPr>
                <w:b/>
              </w:rPr>
            </w:pPr>
            <w:r w:rsidRPr="00E53293">
              <w:rPr>
                <w:rFonts w:eastAsia="SimSun"/>
                <w:b/>
                <w:bCs/>
              </w:rPr>
              <w:t>At least 24 h after surgery</w:t>
            </w:r>
            <w:r w:rsidR="004839AB">
              <w:rPr>
                <w:rFonts w:eastAsia="SimSun"/>
                <w:b/>
                <w:bCs/>
              </w:rPr>
              <w:t xml:space="preserve"> during window-of-opportunity </w:t>
            </w:r>
            <w:r w:rsidR="00292609">
              <w:rPr>
                <w:rFonts w:eastAsia="SimSun"/>
                <w:b/>
                <w:bCs/>
              </w:rPr>
              <w:t xml:space="preserve">PK </w:t>
            </w:r>
            <w:r w:rsidR="004839AB">
              <w:rPr>
                <w:rFonts w:eastAsia="SimSun"/>
                <w:b/>
                <w:bCs/>
              </w:rPr>
              <w:t>sub-study</w:t>
            </w:r>
          </w:p>
        </w:tc>
      </w:tr>
      <w:tr w:rsidR="002E5BB3" w:rsidRPr="000D0BCC" w14:paraId="09D5C2A9" w14:textId="77777777" w:rsidTr="007A37DD">
        <w:trPr>
          <w:cantSplit/>
        </w:trPr>
        <w:tc>
          <w:tcPr>
            <w:tcW w:w="2425" w:type="dxa"/>
          </w:tcPr>
          <w:p w14:paraId="180A2ED8" w14:textId="26AA2A96" w:rsidR="002E5BB3" w:rsidRPr="00334105" w:rsidRDefault="002E5BB3" w:rsidP="002E5BB3">
            <w:pPr>
              <w:contextualSpacing/>
              <w:rPr>
                <w:rFonts w:eastAsia="SimSun"/>
              </w:rPr>
            </w:pPr>
            <w:r w:rsidRPr="00334105">
              <w:rPr>
                <w:rFonts w:eastAsia="SimSun"/>
              </w:rPr>
              <w:t xml:space="preserve">Only for </w:t>
            </w:r>
            <w:r w:rsidRPr="003D33E8">
              <w:rPr>
                <w:rFonts w:eastAsia="SimSun"/>
              </w:rPr>
              <w:t>select patients</w:t>
            </w:r>
            <w:r w:rsidRPr="00334105">
              <w:rPr>
                <w:rFonts w:eastAsia="SimSun"/>
              </w:rPr>
              <w:t xml:space="preserve"> at City of Hope </w:t>
            </w:r>
            <w:r w:rsidR="00CF6D6D">
              <w:rPr>
                <w:rFonts w:eastAsia="SimSun"/>
              </w:rPr>
              <w:t>on the window-of-opportunity PK sub-study</w:t>
            </w:r>
            <w:r w:rsidRPr="00334105">
              <w:rPr>
                <w:rFonts w:eastAsia="SimSun"/>
              </w:rPr>
              <w:t>:</w:t>
            </w:r>
          </w:p>
          <w:p w14:paraId="006C12DB" w14:textId="59B3C3E6" w:rsidR="002E5BB3" w:rsidRPr="00334105" w:rsidRDefault="002E5BB3" w:rsidP="00562B10">
            <w:pPr>
              <w:pStyle w:val="ListParagraph"/>
              <w:numPr>
                <w:ilvl w:val="0"/>
                <w:numId w:val="77"/>
              </w:numPr>
              <w:jc w:val="both"/>
            </w:pPr>
            <w:r w:rsidRPr="00334105">
              <w:rPr>
                <w:rFonts w:eastAsia="SimSun"/>
              </w:rPr>
              <w:t>Pre-dose &amp; 0.5, 1, 1.5, 2, 3, 4, 6, and 8 h post-dose</w:t>
            </w:r>
          </w:p>
        </w:tc>
        <w:tc>
          <w:tcPr>
            <w:tcW w:w="4590" w:type="dxa"/>
          </w:tcPr>
          <w:p w14:paraId="4D4092A7" w14:textId="1D888ADB" w:rsidR="002E5BB3" w:rsidRDefault="002E5BB3" w:rsidP="00562B10">
            <w:pPr>
              <w:numPr>
                <w:ilvl w:val="0"/>
                <w:numId w:val="76"/>
              </w:numPr>
            </w:pPr>
            <w:r w:rsidRPr="00E53293">
              <w:t xml:space="preserve">3-5 mL blood in </w:t>
            </w:r>
            <w:r w:rsidR="004202FC" w:rsidRPr="00682B30">
              <w:rPr>
                <w:color w:val="auto"/>
              </w:rPr>
              <w:t>a purple-top</w:t>
            </w:r>
            <w:r w:rsidR="004202FC" w:rsidRPr="00C651C5">
              <w:rPr>
                <w:color w:val="auto"/>
              </w:rPr>
              <w:t xml:space="preserve"> </w:t>
            </w:r>
            <w:r w:rsidRPr="00E23DC6">
              <w:t>EDTA</w:t>
            </w:r>
            <w:r w:rsidRPr="00054C53">
              <w:t xml:space="preserve"> tube, processed to plasma, and frozen</w:t>
            </w:r>
            <w:r w:rsidRPr="00E53293">
              <w:t xml:space="preserve"> </w:t>
            </w:r>
            <w:r>
              <w:t>per time point</w:t>
            </w:r>
            <w:r w:rsidRPr="00054C53">
              <w:t xml:space="preserve"> </w:t>
            </w:r>
            <w:r w:rsidRPr="00E53293">
              <w:t>(mandatory)</w:t>
            </w:r>
          </w:p>
          <w:p w14:paraId="4720AD76" w14:textId="0942BC44" w:rsidR="00D14CFA" w:rsidRPr="00B46025" w:rsidRDefault="00D14CFA" w:rsidP="00D14CFA">
            <w:pPr>
              <w:rPr>
                <w:u w:val="single"/>
              </w:rPr>
            </w:pPr>
          </w:p>
        </w:tc>
        <w:tc>
          <w:tcPr>
            <w:tcW w:w="2561" w:type="dxa"/>
          </w:tcPr>
          <w:p w14:paraId="4BAB6886" w14:textId="5C0A9D9D" w:rsidR="002E5BB3" w:rsidRPr="00FD2DC9" w:rsidRDefault="00A41631" w:rsidP="002E5BB3">
            <w:pPr>
              <w:rPr>
                <w:i/>
              </w:rPr>
            </w:pPr>
            <w:r>
              <w:rPr>
                <w:rFonts w:eastAsia="SimSun"/>
              </w:rPr>
              <w:t>Analytical Pharmacology Core, City of Hope</w:t>
            </w:r>
          </w:p>
        </w:tc>
      </w:tr>
      <w:tr w:rsidR="002E5BB3" w:rsidRPr="000D0BCC" w14:paraId="61261E0E" w14:textId="77777777" w:rsidTr="007A37DD">
        <w:trPr>
          <w:cantSplit/>
        </w:trPr>
        <w:tc>
          <w:tcPr>
            <w:tcW w:w="2425" w:type="dxa"/>
          </w:tcPr>
          <w:p w14:paraId="606F2791" w14:textId="50303BB2" w:rsidR="002E5BB3" w:rsidRPr="00334105" w:rsidRDefault="002E5BB3" w:rsidP="002E5BB3">
            <w:pPr>
              <w:contextualSpacing/>
              <w:rPr>
                <w:rFonts w:eastAsia="SimSun"/>
              </w:rPr>
            </w:pPr>
            <w:r w:rsidRPr="00334105">
              <w:rPr>
                <w:rFonts w:eastAsia="SimSun"/>
              </w:rPr>
              <w:t xml:space="preserve">Only for </w:t>
            </w:r>
            <w:r w:rsidRPr="003D33E8">
              <w:rPr>
                <w:rFonts w:eastAsia="SimSun"/>
              </w:rPr>
              <w:t>select patients</w:t>
            </w:r>
            <w:r w:rsidRPr="00334105">
              <w:rPr>
                <w:rFonts w:eastAsia="SimSun"/>
              </w:rPr>
              <w:t xml:space="preserve"> at City of Hope </w:t>
            </w:r>
            <w:r w:rsidR="004D15AA">
              <w:rPr>
                <w:rFonts w:eastAsia="SimSun"/>
              </w:rPr>
              <w:t>on the window-of-opportunity PK sub-study</w:t>
            </w:r>
            <w:r w:rsidRPr="00334105">
              <w:rPr>
                <w:rFonts w:eastAsia="SimSun"/>
              </w:rPr>
              <w:t>:</w:t>
            </w:r>
          </w:p>
          <w:p w14:paraId="68998909" w14:textId="1E4D7B8F" w:rsidR="002E5BB3" w:rsidRPr="00334105" w:rsidRDefault="002E5BB3" w:rsidP="00562B10">
            <w:pPr>
              <w:pStyle w:val="ListParagraph"/>
              <w:numPr>
                <w:ilvl w:val="0"/>
                <w:numId w:val="39"/>
              </w:numPr>
              <w:jc w:val="both"/>
            </w:pPr>
            <w:r w:rsidRPr="00334105">
              <w:rPr>
                <w:rFonts w:eastAsia="SimSun"/>
              </w:rPr>
              <w:t>Pre-dose &amp; every hour up to 24 h post-dose</w:t>
            </w:r>
          </w:p>
        </w:tc>
        <w:tc>
          <w:tcPr>
            <w:tcW w:w="4590" w:type="dxa"/>
          </w:tcPr>
          <w:p w14:paraId="709F9852" w14:textId="0553B5FC" w:rsidR="002E5BB3" w:rsidRDefault="00180F84" w:rsidP="00562B10">
            <w:pPr>
              <w:numPr>
                <w:ilvl w:val="0"/>
                <w:numId w:val="76"/>
              </w:numPr>
            </w:pPr>
            <w:r w:rsidRPr="00C651C5">
              <w:rPr>
                <w:color w:val="auto"/>
              </w:rPr>
              <w:t xml:space="preserve">At least 15 </w:t>
            </w:r>
            <w:proofErr w:type="spellStart"/>
            <w:r w:rsidRPr="00C651C5">
              <w:rPr>
                <w:color w:val="auto"/>
              </w:rPr>
              <w:t>mcL</w:t>
            </w:r>
            <w:proofErr w:type="spellEnd"/>
            <w:r w:rsidR="002E5BB3" w:rsidRPr="00C651C5">
              <w:rPr>
                <w:color w:val="auto"/>
              </w:rPr>
              <w:t xml:space="preserve"> CSF in</w:t>
            </w:r>
            <w:r w:rsidRPr="00C651C5">
              <w:rPr>
                <w:color w:val="auto"/>
              </w:rPr>
              <w:t xml:space="preserve"> a microvial (Ref # P00001, M Dialysis, Stockholm, Sweden)</w:t>
            </w:r>
            <w:r w:rsidR="00FF5880" w:rsidRPr="00C651C5">
              <w:rPr>
                <w:color w:val="auto"/>
              </w:rPr>
              <w:t xml:space="preserve"> will be continuously collected at each</w:t>
            </w:r>
            <w:r w:rsidR="002E5BB3" w:rsidRPr="00C651C5">
              <w:rPr>
                <w:color w:val="auto"/>
              </w:rPr>
              <w:t xml:space="preserve"> time point</w:t>
            </w:r>
            <w:r w:rsidR="00D07447" w:rsidRPr="00C651C5">
              <w:rPr>
                <w:color w:val="auto"/>
              </w:rPr>
              <w:t xml:space="preserve"> and frozen</w:t>
            </w:r>
            <w:r w:rsidR="002E5BB3" w:rsidRPr="00C651C5">
              <w:rPr>
                <w:color w:val="auto"/>
              </w:rPr>
              <w:t xml:space="preserve"> (mandatory</w:t>
            </w:r>
            <w:r w:rsidR="002E5BB3" w:rsidRPr="00E53293">
              <w:t>)</w:t>
            </w:r>
          </w:p>
          <w:p w14:paraId="652B0E96" w14:textId="5ADFE6B2" w:rsidR="00B11F8A" w:rsidRPr="00B11F8A" w:rsidRDefault="00B11F8A" w:rsidP="002132B1">
            <w:pPr>
              <w:rPr>
                <w:color w:val="FF0000"/>
                <w:u w:val="single"/>
              </w:rPr>
            </w:pPr>
          </w:p>
        </w:tc>
        <w:tc>
          <w:tcPr>
            <w:tcW w:w="2561" w:type="dxa"/>
          </w:tcPr>
          <w:p w14:paraId="3FDB750C" w14:textId="4B6769A8" w:rsidR="00D21243" w:rsidRPr="00F911D4" w:rsidRDefault="00C0503F" w:rsidP="002E5BB3">
            <w:pPr>
              <w:rPr>
                <w:i/>
              </w:rPr>
            </w:pPr>
            <w:r>
              <w:rPr>
                <w:rFonts w:eastAsia="SimSun"/>
              </w:rPr>
              <w:t>Analytical Pharmacology Core, City of Hope</w:t>
            </w:r>
          </w:p>
        </w:tc>
      </w:tr>
      <w:tr w:rsidR="002E5BB3" w:rsidRPr="000D0BCC" w14:paraId="78388441" w14:textId="77777777" w:rsidTr="007A37DD">
        <w:trPr>
          <w:cantSplit/>
        </w:trPr>
        <w:tc>
          <w:tcPr>
            <w:tcW w:w="9576" w:type="dxa"/>
            <w:gridSpan w:val="3"/>
            <w:shd w:val="clear" w:color="auto" w:fill="BFBFBF" w:themeFill="background1" w:themeFillShade="BF"/>
          </w:tcPr>
          <w:p w14:paraId="0E5BF0FB" w14:textId="505D7FB6" w:rsidR="002E5BB3" w:rsidRPr="00EF08F2" w:rsidRDefault="002E5BB3" w:rsidP="002E5BB3">
            <w:pPr>
              <w:jc w:val="both"/>
              <w:rPr>
                <w:b/>
                <w:i/>
              </w:rPr>
            </w:pPr>
            <w:r>
              <w:rPr>
                <w:rFonts w:eastAsia="SimSun"/>
                <w:b/>
                <w:bCs/>
              </w:rPr>
              <w:t>Baseline</w:t>
            </w:r>
          </w:p>
        </w:tc>
      </w:tr>
      <w:tr w:rsidR="002E5BB3" w:rsidRPr="000D0BCC" w14:paraId="1DCA5961" w14:textId="77777777" w:rsidTr="007A37DD">
        <w:trPr>
          <w:cantSplit/>
        </w:trPr>
        <w:tc>
          <w:tcPr>
            <w:tcW w:w="2425" w:type="dxa"/>
          </w:tcPr>
          <w:p w14:paraId="457C282C" w14:textId="72D2A2E8" w:rsidR="002E5BB3" w:rsidRDefault="002E5BB3" w:rsidP="002E5BB3">
            <w:pPr>
              <w:contextualSpacing/>
              <w:rPr>
                <w:rFonts w:eastAsia="SimSun"/>
              </w:rPr>
            </w:pPr>
            <w:r>
              <w:rPr>
                <w:rFonts w:eastAsia="SimSun"/>
              </w:rPr>
              <w:lastRenderedPageBreak/>
              <w:t>All Patients</w:t>
            </w:r>
            <w:r w:rsidR="00854FBD">
              <w:rPr>
                <w:rFonts w:eastAsia="SimSun"/>
              </w:rPr>
              <w:t xml:space="preserve"> on the treatment portion of the study</w:t>
            </w:r>
          </w:p>
          <w:p w14:paraId="2B369EDC" w14:textId="471DEF7C" w:rsidR="002E5BB3" w:rsidRPr="00ED1C7C" w:rsidRDefault="002E5BB3" w:rsidP="00285E36">
            <w:pPr>
              <w:pStyle w:val="ListParagraph"/>
              <w:numPr>
                <w:ilvl w:val="0"/>
                <w:numId w:val="76"/>
              </w:numPr>
            </w:pPr>
            <w:r w:rsidRPr="00285E36">
              <w:rPr>
                <w:rFonts w:eastAsia="SimSun"/>
                <w:szCs w:val="28"/>
              </w:rPr>
              <w:t>Pre-dose</w:t>
            </w:r>
          </w:p>
        </w:tc>
        <w:tc>
          <w:tcPr>
            <w:tcW w:w="4590" w:type="dxa"/>
          </w:tcPr>
          <w:p w14:paraId="696B905F" w14:textId="5F4665A1" w:rsidR="002E5BB3" w:rsidRPr="00ED1C7C" w:rsidRDefault="002E5BB3" w:rsidP="00562B10">
            <w:pPr>
              <w:pStyle w:val="ListParagraph"/>
              <w:numPr>
                <w:ilvl w:val="0"/>
                <w:numId w:val="37"/>
              </w:numPr>
            </w:pPr>
            <w:r>
              <w:t>10</w:t>
            </w:r>
            <w:r w:rsidRPr="009B0F87">
              <w:t xml:space="preserve"> mL blood in </w:t>
            </w:r>
            <w:r>
              <w:t xml:space="preserve">K2 </w:t>
            </w:r>
            <w:r w:rsidRPr="009B0F87">
              <w:t>EDTA tube</w:t>
            </w:r>
            <w:r>
              <w:t>, shipped ambient (mandatory, if tissue submitted for WES)</w:t>
            </w:r>
          </w:p>
        </w:tc>
        <w:tc>
          <w:tcPr>
            <w:tcW w:w="2561" w:type="dxa"/>
          </w:tcPr>
          <w:p w14:paraId="67D0E992" w14:textId="77777777" w:rsidR="002E5BB3" w:rsidRDefault="002E5BB3" w:rsidP="002E5BB3">
            <w:pPr>
              <w:rPr>
                <w:rFonts w:eastAsia="SimSun"/>
              </w:rPr>
            </w:pPr>
            <w:r w:rsidRPr="009B0F87">
              <w:rPr>
                <w:rFonts w:eastAsia="SimSun"/>
              </w:rPr>
              <w:t>EET Biobank</w:t>
            </w:r>
          </w:p>
          <w:p w14:paraId="343FED36" w14:textId="77777777" w:rsidR="007070B5" w:rsidRDefault="007070B5" w:rsidP="002E5BB3">
            <w:pPr>
              <w:rPr>
                <w:i/>
              </w:rPr>
            </w:pPr>
          </w:p>
          <w:p w14:paraId="5E8E8D29" w14:textId="5D98FD3D" w:rsidR="007070B5" w:rsidRPr="007070B5" w:rsidRDefault="007070B5" w:rsidP="002E5BB3">
            <w:pPr>
              <w:rPr>
                <w:i/>
              </w:rPr>
            </w:pPr>
            <w:r w:rsidRPr="00F3267F">
              <w:rPr>
                <w:rFonts w:eastAsia="SimSun"/>
                <w:u w:val="single"/>
              </w:rPr>
              <w:t>Note</w:t>
            </w:r>
            <w:r w:rsidRPr="00F3267F">
              <w:rPr>
                <w:rFonts w:eastAsia="SimSun"/>
              </w:rPr>
              <w:t>: for patients at City of Hope on the window-of- opportunity PK sub-study, blood should not be submitted to the EET Biobank unless they continue onto the treatment portion of the study.</w:t>
            </w:r>
          </w:p>
        </w:tc>
      </w:tr>
      <w:tr w:rsidR="002E5BB3" w:rsidRPr="00B31C23" w14:paraId="0C8A9F1B" w14:textId="77777777" w:rsidTr="007A37DD">
        <w:trPr>
          <w:cantSplit/>
        </w:trPr>
        <w:tc>
          <w:tcPr>
            <w:tcW w:w="9576" w:type="dxa"/>
            <w:gridSpan w:val="3"/>
            <w:shd w:val="clear" w:color="auto" w:fill="BFBFBF" w:themeFill="background1" w:themeFillShade="BF"/>
          </w:tcPr>
          <w:p w14:paraId="682FCAF9" w14:textId="7B6142DD" w:rsidR="002E5BB3" w:rsidRPr="00EF08F2" w:rsidRDefault="002E5BB3" w:rsidP="002E5BB3">
            <w:pPr>
              <w:jc w:val="both"/>
              <w:rPr>
                <w:b/>
                <w:i/>
              </w:rPr>
            </w:pPr>
            <w:r>
              <w:rPr>
                <w:rFonts w:eastAsia="SimSun"/>
                <w:b/>
                <w:bCs/>
              </w:rPr>
              <w:t>Week 1 Day 1</w:t>
            </w:r>
          </w:p>
        </w:tc>
      </w:tr>
      <w:tr w:rsidR="002E5BB3" w:rsidRPr="000D0BCC" w14:paraId="5C9340E1" w14:textId="77777777" w:rsidTr="007A37DD">
        <w:trPr>
          <w:cantSplit/>
        </w:trPr>
        <w:tc>
          <w:tcPr>
            <w:tcW w:w="2425" w:type="dxa"/>
          </w:tcPr>
          <w:p w14:paraId="163397AF" w14:textId="7DFC3FCB" w:rsidR="002E5BB3" w:rsidRDefault="002E5BB3" w:rsidP="002E5BB3">
            <w:pPr>
              <w:contextualSpacing/>
              <w:rPr>
                <w:rFonts w:eastAsia="SimSun"/>
              </w:rPr>
            </w:pPr>
            <w:r>
              <w:rPr>
                <w:rFonts w:eastAsia="SimSun"/>
              </w:rPr>
              <w:t>All Patients</w:t>
            </w:r>
            <w:r w:rsidR="00854FBD">
              <w:rPr>
                <w:rFonts w:eastAsia="SimSun"/>
              </w:rPr>
              <w:t xml:space="preserve"> on the treatment portion of the study</w:t>
            </w:r>
          </w:p>
          <w:p w14:paraId="3D0690D2" w14:textId="3C6966A2" w:rsidR="002E5BB3" w:rsidRPr="00ED1C7C" w:rsidRDefault="002E5BB3" w:rsidP="00CE1D05">
            <w:pPr>
              <w:numPr>
                <w:ilvl w:val="0"/>
                <w:numId w:val="75"/>
              </w:numPr>
              <w:ind w:left="427" w:hanging="270"/>
              <w:contextualSpacing/>
            </w:pPr>
            <w:r>
              <w:rPr>
                <w:rFonts w:eastAsia="SimSun"/>
              </w:rPr>
              <w:t>1-3 h</w:t>
            </w:r>
            <w:r w:rsidRPr="00E53293">
              <w:rPr>
                <w:rFonts w:eastAsia="SimSun"/>
              </w:rPr>
              <w:t xml:space="preserve"> post</w:t>
            </w:r>
            <w:r>
              <w:rPr>
                <w:rFonts w:eastAsia="SimSun"/>
              </w:rPr>
              <w:t>-</w:t>
            </w:r>
            <w:r w:rsidRPr="00E53293">
              <w:rPr>
                <w:rFonts w:eastAsia="SimSun"/>
              </w:rPr>
              <w:t xml:space="preserve">dose </w:t>
            </w:r>
          </w:p>
        </w:tc>
        <w:tc>
          <w:tcPr>
            <w:tcW w:w="4590" w:type="dxa"/>
          </w:tcPr>
          <w:p w14:paraId="4B827A62" w14:textId="6637A3EB" w:rsidR="002E5BB3" w:rsidRDefault="002E5BB3" w:rsidP="00562B10">
            <w:pPr>
              <w:numPr>
                <w:ilvl w:val="0"/>
                <w:numId w:val="76"/>
              </w:numPr>
            </w:pPr>
            <w:r w:rsidRPr="00E53293">
              <w:t xml:space="preserve">3-5 mL blood in </w:t>
            </w:r>
            <w:r w:rsidR="00D21243" w:rsidRPr="00F3267F">
              <w:rPr>
                <w:color w:val="auto"/>
              </w:rPr>
              <w:t>a purple-top</w:t>
            </w:r>
            <w:r w:rsidR="00D21243" w:rsidRPr="00C651C5">
              <w:rPr>
                <w:color w:val="auto"/>
              </w:rPr>
              <w:t xml:space="preserve"> </w:t>
            </w:r>
            <w:r w:rsidRPr="00C651C5">
              <w:rPr>
                <w:color w:val="auto"/>
              </w:rPr>
              <w:t xml:space="preserve">EDTA </w:t>
            </w:r>
            <w:r w:rsidRPr="00144F9A">
              <w:t>tube,</w:t>
            </w:r>
            <w:r w:rsidRPr="00054C53">
              <w:t xml:space="preserve"> </w:t>
            </w:r>
            <w:r w:rsidRPr="007834F3">
              <w:t>processed to plasma, and frozen</w:t>
            </w:r>
            <w:r w:rsidRPr="00054C53">
              <w:t xml:space="preserve"> (mandatory)</w:t>
            </w:r>
          </w:p>
          <w:p w14:paraId="40F3FBFB" w14:textId="715F40C7" w:rsidR="002E5BB3" w:rsidRPr="00ED1C7C" w:rsidRDefault="002E5BB3" w:rsidP="005B28E7"/>
        </w:tc>
        <w:tc>
          <w:tcPr>
            <w:tcW w:w="2561" w:type="dxa"/>
          </w:tcPr>
          <w:p w14:paraId="6B16965C" w14:textId="32933297" w:rsidR="002E5BB3" w:rsidRPr="00FD2DC9" w:rsidRDefault="00637272" w:rsidP="002E5BB3">
            <w:pPr>
              <w:rPr>
                <w:i/>
              </w:rPr>
            </w:pPr>
            <w:r>
              <w:rPr>
                <w:rFonts w:eastAsia="SimSun"/>
              </w:rPr>
              <w:t xml:space="preserve">Analytical Pharmacology </w:t>
            </w:r>
            <w:r w:rsidR="003C4FE2">
              <w:rPr>
                <w:rFonts w:eastAsia="SimSun"/>
              </w:rPr>
              <w:t>Core, City of Hope</w:t>
            </w:r>
          </w:p>
        </w:tc>
      </w:tr>
      <w:tr w:rsidR="002E5BB3" w:rsidRPr="000D0BCC" w14:paraId="19A1D2E2" w14:textId="77777777" w:rsidTr="007A37DD">
        <w:trPr>
          <w:cantSplit/>
        </w:trPr>
        <w:tc>
          <w:tcPr>
            <w:tcW w:w="9576" w:type="dxa"/>
            <w:gridSpan w:val="3"/>
            <w:shd w:val="clear" w:color="auto" w:fill="BFBFBF" w:themeFill="background1" w:themeFillShade="BF"/>
          </w:tcPr>
          <w:p w14:paraId="1BBC15ED" w14:textId="3B5B0867" w:rsidR="002E5BB3" w:rsidRPr="00ED1C7C" w:rsidRDefault="002E5BB3" w:rsidP="002E5BB3">
            <w:pPr>
              <w:jc w:val="both"/>
              <w:rPr>
                <w:b/>
              </w:rPr>
            </w:pPr>
            <w:r w:rsidRPr="001B26FF">
              <w:rPr>
                <w:rFonts w:eastAsia="SimSun"/>
                <w:b/>
                <w:bCs/>
              </w:rPr>
              <w:t xml:space="preserve">Week 1 Day 2 (Alternative </w:t>
            </w:r>
            <w:r w:rsidR="001D2D45">
              <w:rPr>
                <w:rFonts w:eastAsia="SimSun"/>
                <w:b/>
                <w:bCs/>
              </w:rPr>
              <w:t xml:space="preserve">radiation </w:t>
            </w:r>
            <w:r w:rsidRPr="001B26FF">
              <w:rPr>
                <w:rFonts w:eastAsia="SimSun"/>
                <w:b/>
                <w:bCs/>
              </w:rPr>
              <w:t>treatment days acceptable)</w:t>
            </w:r>
          </w:p>
        </w:tc>
      </w:tr>
      <w:tr w:rsidR="002E5BB3" w:rsidRPr="000D0BCC" w14:paraId="6A11F618" w14:textId="77777777" w:rsidTr="007A37DD">
        <w:trPr>
          <w:cantSplit/>
        </w:trPr>
        <w:tc>
          <w:tcPr>
            <w:tcW w:w="2425" w:type="dxa"/>
          </w:tcPr>
          <w:p w14:paraId="73898700" w14:textId="21BA244C" w:rsidR="002E5BB3" w:rsidRDefault="002E5BB3" w:rsidP="002E5BB3">
            <w:pPr>
              <w:contextualSpacing/>
              <w:rPr>
                <w:rFonts w:eastAsia="SimSun"/>
              </w:rPr>
            </w:pPr>
            <w:r>
              <w:rPr>
                <w:rFonts w:eastAsia="SimSun"/>
              </w:rPr>
              <w:t>All Patients</w:t>
            </w:r>
            <w:r w:rsidR="00854FBD">
              <w:rPr>
                <w:rFonts w:eastAsia="SimSun"/>
              </w:rPr>
              <w:t xml:space="preserve"> on the treatment portion of the study</w:t>
            </w:r>
          </w:p>
          <w:p w14:paraId="7023DAE6" w14:textId="7E0D135E" w:rsidR="002E5BB3" w:rsidRPr="00ED1C7C" w:rsidRDefault="002E5BB3" w:rsidP="00562B10">
            <w:pPr>
              <w:pStyle w:val="ListParagraph"/>
              <w:numPr>
                <w:ilvl w:val="0"/>
                <w:numId w:val="37"/>
              </w:numPr>
              <w:jc w:val="both"/>
            </w:pPr>
            <w:r w:rsidRPr="00C006F1">
              <w:rPr>
                <w:rFonts w:eastAsia="SimSun"/>
              </w:rPr>
              <w:t xml:space="preserve">Pre-dose &amp; 0.5, 1, 1.5, 2, 3, 4, 6, and 8 h post-dose </w:t>
            </w:r>
          </w:p>
        </w:tc>
        <w:tc>
          <w:tcPr>
            <w:tcW w:w="4590" w:type="dxa"/>
          </w:tcPr>
          <w:p w14:paraId="431ED2DC" w14:textId="3B7B201D" w:rsidR="002E5BB3" w:rsidRDefault="002E5BB3" w:rsidP="00562B10">
            <w:pPr>
              <w:numPr>
                <w:ilvl w:val="0"/>
                <w:numId w:val="76"/>
              </w:numPr>
            </w:pPr>
            <w:r w:rsidRPr="00054C53">
              <w:t xml:space="preserve">3-5 mL </w:t>
            </w:r>
            <w:r w:rsidRPr="00C651C5">
              <w:rPr>
                <w:color w:val="auto"/>
              </w:rPr>
              <w:t xml:space="preserve">blood </w:t>
            </w:r>
            <w:r w:rsidRPr="003719EC">
              <w:rPr>
                <w:color w:val="auto"/>
              </w:rPr>
              <w:t xml:space="preserve">in </w:t>
            </w:r>
            <w:r w:rsidR="00D21243" w:rsidRPr="00F3267F">
              <w:rPr>
                <w:color w:val="auto"/>
              </w:rPr>
              <w:t>a purple-top</w:t>
            </w:r>
            <w:r w:rsidR="00D21243" w:rsidRPr="00C651C5">
              <w:rPr>
                <w:color w:val="auto"/>
              </w:rPr>
              <w:t xml:space="preserve"> </w:t>
            </w:r>
            <w:r w:rsidRPr="00C651C5">
              <w:rPr>
                <w:color w:val="auto"/>
              </w:rPr>
              <w:t xml:space="preserve">EDTA </w:t>
            </w:r>
            <w:r w:rsidRPr="00144F9A">
              <w:t>tube,</w:t>
            </w:r>
            <w:r w:rsidRPr="00054C53">
              <w:t xml:space="preserve"> </w:t>
            </w:r>
            <w:r w:rsidRPr="007834F3">
              <w:t>processed to plasma, and frozen</w:t>
            </w:r>
            <w:r w:rsidRPr="008D7019">
              <w:t xml:space="preserve"> per time</w:t>
            </w:r>
            <w:r>
              <w:t xml:space="preserve"> point</w:t>
            </w:r>
            <w:r w:rsidRPr="00054C53">
              <w:t xml:space="preserve"> (mandatory)</w:t>
            </w:r>
          </w:p>
          <w:p w14:paraId="320A7F23" w14:textId="2013E1BE" w:rsidR="005B28E7" w:rsidRPr="00ED1C7C" w:rsidRDefault="005B28E7" w:rsidP="002E5BB3"/>
        </w:tc>
        <w:tc>
          <w:tcPr>
            <w:tcW w:w="2561" w:type="dxa"/>
          </w:tcPr>
          <w:p w14:paraId="57BC3389" w14:textId="5408873F" w:rsidR="002E5BB3" w:rsidRPr="00FD2DC9" w:rsidRDefault="00E32DF0" w:rsidP="002E5BB3">
            <w:pPr>
              <w:rPr>
                <w:i/>
              </w:rPr>
            </w:pPr>
            <w:r>
              <w:rPr>
                <w:rFonts w:eastAsia="SimSun"/>
              </w:rPr>
              <w:t>Analytical Pharmacology Core, City of Hope</w:t>
            </w:r>
          </w:p>
        </w:tc>
      </w:tr>
      <w:tr w:rsidR="002E5BB3" w:rsidRPr="000D0BCC" w14:paraId="2535FC5D" w14:textId="77777777" w:rsidTr="007A37DD">
        <w:trPr>
          <w:cantSplit/>
          <w:trHeight w:val="368"/>
        </w:trPr>
        <w:tc>
          <w:tcPr>
            <w:tcW w:w="9576" w:type="dxa"/>
            <w:gridSpan w:val="3"/>
            <w:vAlign w:val="center"/>
          </w:tcPr>
          <w:p w14:paraId="1C373D75" w14:textId="1B9918E7" w:rsidR="009C114C" w:rsidRPr="005C2A2A" w:rsidRDefault="009C114C" w:rsidP="009C114C">
            <w:r w:rsidRPr="005C2A2A">
              <w:rPr>
                <w:vertAlign w:val="superscript"/>
              </w:rPr>
              <w:t>1</w:t>
            </w:r>
            <w:r w:rsidRPr="005C2A2A">
              <w:t xml:space="preserve">Archival tumor </w:t>
            </w:r>
            <w:r w:rsidR="00CE3C2A">
              <w:t>tissue</w:t>
            </w:r>
            <w:r w:rsidR="00CE3C2A" w:rsidRPr="005C2A2A">
              <w:t xml:space="preserve"> </w:t>
            </w:r>
            <w:r w:rsidRPr="005C2A2A">
              <w:t>from initial diagnosis or recurrence are allowed. No re-biopsies planned/allowed.</w:t>
            </w:r>
          </w:p>
          <w:p w14:paraId="0E3D7072" w14:textId="77777777" w:rsidR="009C114C" w:rsidRPr="005C2A2A" w:rsidRDefault="009C114C" w:rsidP="009C114C">
            <w:r w:rsidRPr="005C2A2A">
              <w:rPr>
                <w:vertAlign w:val="superscript"/>
              </w:rPr>
              <w:t>2</w:t>
            </w:r>
            <w:r w:rsidRPr="005C2A2A">
              <w:t>For City of Hope patients scheduled for surgery, FFPE surgical tissue may be submitted instead of archival tissue.</w:t>
            </w:r>
          </w:p>
          <w:p w14:paraId="660F8F11" w14:textId="77777777" w:rsidR="009C114C" w:rsidRDefault="009C114C" w:rsidP="009C114C">
            <w:r w:rsidRPr="00EF6C48">
              <w:rPr>
                <w:vertAlign w:val="superscript"/>
              </w:rPr>
              <w:t>3</w:t>
            </w:r>
            <w:r w:rsidRPr="00EF6C48">
              <w:t xml:space="preserve">For archival </w:t>
            </w:r>
            <w:r>
              <w:t xml:space="preserve">biopsy </w:t>
            </w:r>
            <w:r w:rsidRPr="00EF6C48">
              <w:t xml:space="preserve">tissue, </w:t>
            </w:r>
            <w:r w:rsidRPr="00EF6C48">
              <w:rPr>
                <w:b/>
                <w:bCs/>
              </w:rPr>
              <w:t>a copy of the anatomic pathology report corresponding to the tissue collection procedure must be sent with the tissue and uploaded to Rave</w:t>
            </w:r>
            <w:r w:rsidRPr="00EF6C48">
              <w:t xml:space="preserve">.  </w:t>
            </w:r>
            <w:proofErr w:type="gramStart"/>
            <w:r w:rsidRPr="00EF6C48">
              <w:t>If</w:t>
            </w:r>
            <w:proofErr w:type="gramEnd"/>
            <w:r w:rsidRPr="00EF6C48">
              <w:t xml:space="preserve"> submitting slides, then slides must be processed in order, and numbered sequentially (</w:t>
            </w:r>
            <w:r w:rsidRPr="00EF6C48">
              <w:rPr>
                <w:i/>
                <w:iCs/>
              </w:rPr>
              <w:t>e.g</w:t>
            </w:r>
            <w:r w:rsidRPr="00EF6C48">
              <w:t>., H&amp;</w:t>
            </w:r>
            <w:proofErr w:type="gramStart"/>
            <w:r w:rsidRPr="00EF6C48">
              <w:t>E stained</w:t>
            </w:r>
            <w:proofErr w:type="gramEnd"/>
            <w:r w:rsidRPr="00EF6C48">
              <w:t xml:space="preserve"> slide is created first and labeled 1, unstained slides are then created and numbered 2 – 51).</w:t>
            </w:r>
          </w:p>
          <w:p w14:paraId="7DF06E37" w14:textId="77777777" w:rsidR="009C114C" w:rsidRPr="00EF6C48" w:rsidRDefault="009C114C" w:rsidP="009C114C">
            <w:r w:rsidRPr="00B21411">
              <w:rPr>
                <w:vertAlign w:val="superscript"/>
              </w:rPr>
              <w:t>4</w:t>
            </w:r>
            <w:r w:rsidRPr="00D5639F">
              <w:t xml:space="preserve">For </w:t>
            </w:r>
            <w:r>
              <w:t>FFPE surgical tissue</w:t>
            </w:r>
            <w:r w:rsidRPr="00D5639F">
              <w:t xml:space="preserve">, </w:t>
            </w:r>
            <w:r>
              <w:rPr>
                <w:b/>
                <w:bCs/>
              </w:rPr>
              <w:t>upload the Corresponding Pathology Report from the surgery to Rave and send a copy to the EET Biobank</w:t>
            </w:r>
            <w:r>
              <w:t xml:space="preserve"> with the tissue</w:t>
            </w:r>
            <w:r>
              <w:rPr>
                <w:b/>
                <w:bCs/>
              </w:rPr>
              <w:t xml:space="preserve">. </w:t>
            </w:r>
            <w:r>
              <w:t xml:space="preserve"> Please hold submission of the FFPE surgical tissue to the EET Biobank until the Corresponding Pathology Report is available.</w:t>
            </w:r>
          </w:p>
          <w:p w14:paraId="48349B48" w14:textId="1464F4C6" w:rsidR="002E5BB3" w:rsidRPr="00FB7C8B" w:rsidRDefault="007B6B62" w:rsidP="002E5BB3">
            <w:r>
              <w:rPr>
                <w:b/>
                <w:bCs/>
                <w:u w:color="0B4CB4"/>
                <w:vertAlign w:val="superscript"/>
              </w:rPr>
              <w:t>5</w:t>
            </w:r>
            <w:r w:rsidR="009C114C" w:rsidRPr="00EF6C48">
              <w:rPr>
                <w:b/>
                <w:bCs/>
                <w:u w:color="0B4CB4"/>
              </w:rPr>
              <w:t>Submission of specimens with &lt;30% tumor content may not provide sufficient material for analysis.</w:t>
            </w:r>
          </w:p>
        </w:tc>
      </w:tr>
    </w:tbl>
    <w:p w14:paraId="231F4225" w14:textId="77777777" w:rsidR="000C79AC" w:rsidRDefault="000C79AC" w:rsidP="003C59A4"/>
    <w:p w14:paraId="01394E6D" w14:textId="56957F72" w:rsidR="003C59A4" w:rsidRDefault="008C5B67" w:rsidP="00C94562">
      <w:pPr>
        <w:pStyle w:val="Heading2"/>
      </w:pPr>
      <w:bookmarkStart w:id="53" w:name="_Toc176419905"/>
      <w:r>
        <w:t xml:space="preserve">Summary Table(s) for </w:t>
      </w:r>
      <w:r w:rsidR="00874D3E">
        <w:t xml:space="preserve">Interventional Radiologist for </w:t>
      </w:r>
      <w:r>
        <w:t>Research Biopsies</w:t>
      </w:r>
      <w:bookmarkEnd w:id="53"/>
    </w:p>
    <w:p w14:paraId="0E825BEE" w14:textId="77777777" w:rsidR="003C59A4" w:rsidRDefault="003C59A4" w:rsidP="003C59A4"/>
    <w:p w14:paraId="1FEE12C3" w14:textId="15449AFD" w:rsidR="006575EA" w:rsidRPr="00F5678F" w:rsidRDefault="006575EA" w:rsidP="00BB4EBE">
      <w:pPr>
        <w:rPr>
          <w:iCs/>
        </w:rPr>
      </w:pPr>
      <w:r w:rsidRPr="00F5678F">
        <w:rPr>
          <w:iCs/>
        </w:rPr>
        <w:t>Not applicable.</w:t>
      </w:r>
    </w:p>
    <w:p w14:paraId="131489A3" w14:textId="77777777" w:rsidR="003C59A4" w:rsidRDefault="003C59A4" w:rsidP="003C59A4"/>
    <w:p w14:paraId="15F0EBD6" w14:textId="77777777" w:rsidR="003C59A4" w:rsidRDefault="003C59A4" w:rsidP="00C94562">
      <w:pPr>
        <w:pStyle w:val="Heading2"/>
      </w:pPr>
      <w:bookmarkStart w:id="54" w:name="_Toc176419906"/>
      <w:r>
        <w:t>Specimen Procurement Kits and Scheduling</w:t>
      </w:r>
      <w:bookmarkEnd w:id="54"/>
    </w:p>
    <w:p w14:paraId="488B1D28" w14:textId="77777777" w:rsidR="00E002F6" w:rsidRDefault="00E002F6" w:rsidP="009B2D17">
      <w:pPr>
        <w:rPr>
          <w:i/>
        </w:rPr>
      </w:pPr>
    </w:p>
    <w:p w14:paraId="1BEA5BFA" w14:textId="77777777" w:rsidR="00E002F6" w:rsidRPr="00C312CF" w:rsidRDefault="00E002F6" w:rsidP="00C312CF">
      <w:pPr>
        <w:pStyle w:val="Level3Heading"/>
        <w:rPr>
          <w:u w:val="single"/>
        </w:rPr>
      </w:pPr>
      <w:r w:rsidRPr="00C312CF">
        <w:rPr>
          <w:u w:val="single"/>
        </w:rPr>
        <w:lastRenderedPageBreak/>
        <w:t xml:space="preserve">Specimen Procurement Kits </w:t>
      </w:r>
    </w:p>
    <w:p w14:paraId="47D15B56" w14:textId="77777777" w:rsidR="00E002F6" w:rsidRDefault="00E002F6"/>
    <w:p w14:paraId="3A1A079F" w14:textId="087F7727" w:rsidR="009B2D17" w:rsidRPr="00FB625E" w:rsidRDefault="009B2D17" w:rsidP="000074D8">
      <w:r w:rsidRPr="00FB625E">
        <w:t xml:space="preserve">Kits for the collection and </w:t>
      </w:r>
      <w:r w:rsidR="00E002F6" w:rsidRPr="00FB625E">
        <w:t>shipment of select specimens</w:t>
      </w:r>
      <w:r w:rsidR="00D26C79" w:rsidRPr="00FB625E">
        <w:t xml:space="preserve"> </w:t>
      </w:r>
      <w:r w:rsidRPr="00FB625E">
        <w:t xml:space="preserve">to the </w:t>
      </w:r>
      <w:r w:rsidR="008C3318" w:rsidRPr="00FB625E">
        <w:t>EET Biobank</w:t>
      </w:r>
      <w:r w:rsidRPr="00FB625E">
        <w:t xml:space="preserve"> can be ordered online via the Kit Management system: (</w:t>
      </w:r>
      <w:hyperlink r:id="rId46" w:history="1">
        <w:r w:rsidR="002C5EA0" w:rsidRPr="00FB625E">
          <w:rPr>
            <w:rStyle w:val="Hyperlink"/>
          </w:rPr>
          <w:t>https://kits.bpc-apps.nchri.org</w:t>
        </w:r>
      </w:hyperlink>
      <w:r w:rsidRPr="00FB625E">
        <w:t xml:space="preserve">). </w:t>
      </w:r>
    </w:p>
    <w:p w14:paraId="13A32C2A" w14:textId="77777777" w:rsidR="009B2D17" w:rsidRPr="00FB625E" w:rsidRDefault="009B2D17" w:rsidP="009B2D17">
      <w:pPr>
        <w:ind w:left="720"/>
      </w:pPr>
    </w:p>
    <w:p w14:paraId="75E21315" w14:textId="3E590793" w:rsidR="009B2D17" w:rsidRPr="00FB625E" w:rsidRDefault="009B2D17" w:rsidP="000074D8">
      <w:r w:rsidRPr="00FB625E">
        <w:t>Users at the clinical sites will need to set up an account in the Kit Management system and select a specific clinical trial protocol to request a kit.  Please note that protocol may include more than one type of kit.  Each user may order two kit</w:t>
      </w:r>
      <w:r w:rsidR="00E7242C" w:rsidRPr="00FB625E">
        <w:t xml:space="preserve">s per kit </w:t>
      </w:r>
      <w:r w:rsidRPr="00FB625E">
        <w:t>type per day (daily max = 6 kits).  Kits are shipped ground, so please allow 5-7 days for receipt.  A complete list of kit contents for each kit type is located on the Kit Management system website.</w:t>
      </w:r>
    </w:p>
    <w:p w14:paraId="7D0305EF" w14:textId="77777777" w:rsidR="009B2D17" w:rsidRPr="00FB625E" w:rsidRDefault="009B2D17" w:rsidP="009B2D17"/>
    <w:p w14:paraId="7807A505" w14:textId="4E3727E9" w:rsidR="009B2D17" w:rsidRPr="00FB625E" w:rsidRDefault="009B2D17" w:rsidP="000074D8">
      <w:r w:rsidRPr="00FB625E">
        <w:rPr>
          <w:b/>
          <w:u w:val="single"/>
        </w:rPr>
        <w:t>Note</w:t>
      </w:r>
      <w:r w:rsidRPr="00FB625E">
        <w:rPr>
          <w:b/>
        </w:rPr>
        <w:t>:</w:t>
      </w:r>
      <w:r w:rsidRPr="00FB625E">
        <w:t xml:space="preserve">  Kits or supplies are only provided for specimens shipped to the </w:t>
      </w:r>
      <w:r w:rsidR="00C5422B" w:rsidRPr="00FB625E">
        <w:t>EET Biobank</w:t>
      </w:r>
      <w:r w:rsidRPr="00FB625E">
        <w:t xml:space="preserve">. Institutional supplies must be used for all other specimen collection and processing. </w:t>
      </w:r>
    </w:p>
    <w:p w14:paraId="5852B31E" w14:textId="77777777" w:rsidR="009B2D17" w:rsidRPr="007A6D19" w:rsidRDefault="009B2D17" w:rsidP="009B2D17">
      <w:pPr>
        <w:rPr>
          <w:highlight w:val="darkGray"/>
        </w:rPr>
      </w:pPr>
    </w:p>
    <w:p w14:paraId="77AE5AF0" w14:textId="71644FEF" w:rsidR="009B2D17" w:rsidRDefault="009B2D17" w:rsidP="00C312CF">
      <w:pPr>
        <w:pStyle w:val="Level3Heading"/>
        <w:rPr>
          <w:u w:val="single"/>
        </w:rPr>
      </w:pPr>
      <w:r w:rsidRPr="00C312CF">
        <w:rPr>
          <w:u w:val="single"/>
        </w:rPr>
        <w:t>Scheduling of Specimen Collections</w:t>
      </w:r>
    </w:p>
    <w:p w14:paraId="68F5552B" w14:textId="77777777" w:rsidR="009A3A23" w:rsidRDefault="009A3A23" w:rsidP="009A3A23"/>
    <w:p w14:paraId="445B1D3E" w14:textId="4751FAC6" w:rsidR="009A3A23" w:rsidRDefault="009A3A23" w:rsidP="009A3A23">
      <w:pPr>
        <w:pStyle w:val="Level4Heading"/>
      </w:pPr>
      <w:r>
        <w:t>Scheduling of Specimen Collection to the EET Biobank</w:t>
      </w:r>
    </w:p>
    <w:p w14:paraId="22DDB343" w14:textId="77777777" w:rsidR="004B514B" w:rsidRPr="000074D8" w:rsidRDefault="004B514B">
      <w:pPr>
        <w:rPr>
          <w:highlight w:val="lightGray"/>
        </w:rPr>
      </w:pPr>
    </w:p>
    <w:p w14:paraId="2E32E6C2" w14:textId="77777777" w:rsidR="009B2D17" w:rsidRPr="00983A0F" w:rsidRDefault="009B2D17" w:rsidP="000074D8">
      <w:r w:rsidRPr="00983A0F">
        <w:t xml:space="preserve">Please adhere to the following guidelines when scheduling procedures to collect tissue: </w:t>
      </w:r>
    </w:p>
    <w:p w14:paraId="42A8A9E6" w14:textId="77777777" w:rsidR="00331A33" w:rsidRPr="00983A0F" w:rsidRDefault="00331A33" w:rsidP="003F6DEC">
      <w:pPr>
        <w:pStyle w:val="ListParagraph"/>
      </w:pPr>
    </w:p>
    <w:p w14:paraId="47D85DF1" w14:textId="1E45B8D1" w:rsidR="00331A33" w:rsidRPr="00056CFA" w:rsidRDefault="00331A33" w:rsidP="00562B10">
      <w:pPr>
        <w:pStyle w:val="ListParagraph"/>
        <w:numPr>
          <w:ilvl w:val="0"/>
          <w:numId w:val="44"/>
        </w:numPr>
        <w:rPr>
          <w:color w:val="auto"/>
        </w:rPr>
      </w:pPr>
      <w:r w:rsidRPr="00056CFA">
        <w:rPr>
          <w:color w:val="auto"/>
        </w:rPr>
        <w:t xml:space="preserve">Tissue submitted as FFPE (blocks or slides) can be collected on any day but must be shipped to the EET </w:t>
      </w:r>
      <w:r w:rsidR="003F6DEC" w:rsidRPr="00056CFA">
        <w:rPr>
          <w:color w:val="auto"/>
        </w:rPr>
        <w:t>B</w:t>
      </w:r>
      <w:r w:rsidRPr="00056CFA">
        <w:rPr>
          <w:color w:val="auto"/>
        </w:rPr>
        <w:t xml:space="preserve">iobank on Monday through Thursday. </w:t>
      </w:r>
    </w:p>
    <w:p w14:paraId="0D97B709" w14:textId="08DBFA40" w:rsidR="009B2D17" w:rsidRPr="00056CFA" w:rsidRDefault="009B2D17" w:rsidP="00562B10">
      <w:pPr>
        <w:pStyle w:val="ListParagraph"/>
        <w:numPr>
          <w:ilvl w:val="0"/>
          <w:numId w:val="44"/>
        </w:numPr>
        <w:rPr>
          <w:color w:val="auto"/>
        </w:rPr>
      </w:pPr>
      <w:r w:rsidRPr="00056CFA">
        <w:rPr>
          <w:color w:val="auto"/>
        </w:rPr>
        <w:t>Fresh blood</w:t>
      </w:r>
      <w:r w:rsidR="00D83B05" w:rsidRPr="00056CFA">
        <w:rPr>
          <w:color w:val="auto"/>
        </w:rPr>
        <w:t xml:space="preserve"> </w:t>
      </w:r>
      <w:r w:rsidRPr="00056CFA">
        <w:rPr>
          <w:color w:val="auto"/>
        </w:rPr>
        <w:t xml:space="preserve">specimens may be collected and shipped Monday through Friday. </w:t>
      </w:r>
    </w:p>
    <w:p w14:paraId="5B3352D8" w14:textId="71FD88BD" w:rsidR="00DF1412" w:rsidRPr="00056CFA" w:rsidRDefault="00DF1412" w:rsidP="00DF1412">
      <w:pPr>
        <w:rPr>
          <w:color w:val="auto"/>
        </w:rPr>
      </w:pPr>
    </w:p>
    <w:p w14:paraId="41BA77B0" w14:textId="66396529" w:rsidR="00DF1412" w:rsidRPr="00056CFA" w:rsidRDefault="00DF1412" w:rsidP="00DF1412">
      <w:pPr>
        <w:pStyle w:val="Level4Heading"/>
        <w:rPr>
          <w:color w:val="auto"/>
        </w:rPr>
      </w:pPr>
      <w:r w:rsidRPr="00056CFA">
        <w:rPr>
          <w:color w:val="auto"/>
        </w:rPr>
        <w:t xml:space="preserve">Scheduling of Specimen Collection to </w:t>
      </w:r>
      <w:r w:rsidR="003047A8">
        <w:rPr>
          <w:color w:val="auto"/>
        </w:rPr>
        <w:t>A</w:t>
      </w:r>
      <w:r w:rsidR="00EF7BA1">
        <w:rPr>
          <w:color w:val="auto"/>
        </w:rPr>
        <w:t>nalytical Pharmacology Core, City of Hope</w:t>
      </w:r>
    </w:p>
    <w:p w14:paraId="4C8FA764" w14:textId="77777777" w:rsidR="00DF1412" w:rsidRPr="00056CFA" w:rsidRDefault="00DF1412" w:rsidP="00DF1412">
      <w:pPr>
        <w:rPr>
          <w:color w:val="auto"/>
        </w:rPr>
      </w:pPr>
    </w:p>
    <w:p w14:paraId="05D78BAF" w14:textId="29FC0E6C" w:rsidR="00DF1412" w:rsidRPr="00056CFA" w:rsidRDefault="009058CF" w:rsidP="00562B10">
      <w:pPr>
        <w:pStyle w:val="ListParagraph"/>
        <w:numPr>
          <w:ilvl w:val="0"/>
          <w:numId w:val="78"/>
        </w:numPr>
        <w:rPr>
          <w:color w:val="auto"/>
        </w:rPr>
      </w:pPr>
      <w:r>
        <w:rPr>
          <w:color w:val="auto"/>
        </w:rPr>
        <w:t>Plasma</w:t>
      </w:r>
      <w:r w:rsidRPr="00056CFA">
        <w:rPr>
          <w:color w:val="auto"/>
        </w:rPr>
        <w:t xml:space="preserve"> </w:t>
      </w:r>
      <w:r w:rsidR="0059587A" w:rsidRPr="00056CFA">
        <w:rPr>
          <w:color w:val="auto"/>
        </w:rPr>
        <w:t>and CSF</w:t>
      </w:r>
      <w:r w:rsidR="00CF61C6" w:rsidRPr="00056CFA">
        <w:rPr>
          <w:color w:val="auto"/>
        </w:rPr>
        <w:t xml:space="preserve"> specimens are to be shipped on either Monday, Tuesday, or Wednesday. </w:t>
      </w:r>
    </w:p>
    <w:p w14:paraId="10557E75" w14:textId="77777777" w:rsidR="003C59A4" w:rsidRPr="000074D8" w:rsidRDefault="003C59A4" w:rsidP="003C59A4"/>
    <w:p w14:paraId="3AE10C18" w14:textId="404CB031" w:rsidR="007F6A6F" w:rsidRDefault="009B2D17" w:rsidP="00C94562">
      <w:pPr>
        <w:pStyle w:val="Heading2"/>
      </w:pPr>
      <w:bookmarkStart w:id="55" w:name="_Ref4503941"/>
      <w:bookmarkStart w:id="56" w:name="_Toc176419907"/>
      <w:r w:rsidRPr="000074D8">
        <w:t>Specimen Tracking System Instructions</w:t>
      </w:r>
      <w:bookmarkEnd w:id="55"/>
      <w:bookmarkEnd w:id="56"/>
    </w:p>
    <w:p w14:paraId="368C6BFC" w14:textId="77777777" w:rsidR="008F336D" w:rsidRDefault="008F336D" w:rsidP="008F336D"/>
    <w:p w14:paraId="00C6868B" w14:textId="77777777" w:rsidR="008F336D" w:rsidRPr="00A44A69" w:rsidRDefault="008F336D" w:rsidP="008F336D">
      <w:r w:rsidRPr="00A44A69">
        <w:t>This Study will use the ETCTN Specimen Tracking System (STS).</w:t>
      </w:r>
    </w:p>
    <w:p w14:paraId="5B2426D6" w14:textId="77777777" w:rsidR="008F336D" w:rsidRDefault="008F336D" w:rsidP="008F336D">
      <w:pPr>
        <w:rPr>
          <w:highlight w:val="darkGray"/>
        </w:rPr>
      </w:pPr>
    </w:p>
    <w:p w14:paraId="14F2BD42" w14:textId="5A2A567C" w:rsidR="008F336D" w:rsidRDefault="008F336D" w:rsidP="008F336D">
      <w:pPr>
        <w:pStyle w:val="ListParagraph"/>
        <w:numPr>
          <w:ilvl w:val="0"/>
          <w:numId w:val="52"/>
        </w:numPr>
      </w:pPr>
      <w:r w:rsidRPr="000074D8">
        <w:t xml:space="preserve">All </w:t>
      </w:r>
      <w:proofErr w:type="gramStart"/>
      <w:r w:rsidRPr="000074D8">
        <w:t>biospecimens</w:t>
      </w:r>
      <w:proofErr w:type="gramEnd"/>
      <w:r w:rsidRPr="000074D8">
        <w:t xml:space="preserve"> collected for this trial must be submitted using the ETCTN STS unless otherwise noted.</w:t>
      </w:r>
    </w:p>
    <w:p w14:paraId="3F533FEE" w14:textId="0864B321" w:rsidR="008F336D" w:rsidRPr="00A44A69" w:rsidRDefault="008F336D" w:rsidP="008F336D">
      <w:pPr>
        <w:pStyle w:val="ListParagraph"/>
        <w:numPr>
          <w:ilvl w:val="0"/>
          <w:numId w:val="52"/>
        </w:numPr>
      </w:pPr>
      <w:r w:rsidRPr="000074D8">
        <w:t xml:space="preserve">The system is accessed through Rave user roles: </w:t>
      </w:r>
      <w:r w:rsidRPr="00607CCE">
        <w:t xml:space="preserve"> </w:t>
      </w:r>
      <w:r w:rsidRPr="00C53E31">
        <w:t>“</w:t>
      </w:r>
      <w:r w:rsidRPr="004A25CF">
        <w:t>Rave CRA” and “Rave CRA (</w:t>
      </w:r>
      <w:proofErr w:type="spellStart"/>
      <w:r w:rsidRPr="004A25CF">
        <w:t>Labadmin</w:t>
      </w:r>
      <w:proofErr w:type="spellEnd"/>
      <w:r w:rsidRPr="004A25CF">
        <w:t>)</w:t>
      </w:r>
      <w:r w:rsidRPr="00C53E31">
        <w:t>”</w:t>
      </w:r>
      <w:r>
        <w:t xml:space="preserve"> </w:t>
      </w:r>
      <w:r w:rsidRPr="000074D8">
        <w:t xml:space="preserve">for </w:t>
      </w:r>
      <w:r w:rsidRPr="007C718C">
        <w:t>data entry at the treating institutions</w:t>
      </w:r>
      <w:r>
        <w:t>.</w:t>
      </w:r>
      <w:r w:rsidRPr="007C718C">
        <w:t xml:space="preserve"> </w:t>
      </w:r>
      <w:r>
        <w:t>The</w:t>
      </w:r>
      <w:r w:rsidRPr="007C718C">
        <w:t xml:space="preserve"> “Biorepository” </w:t>
      </w:r>
      <w:r>
        <w:t>role is assigned to</w:t>
      </w:r>
      <w:r w:rsidRPr="007C718C">
        <w:t xml:space="preserve"> users receiving the </w:t>
      </w:r>
      <w:r w:rsidRPr="00A44A69">
        <w:t xml:space="preserve">specimens for processing and storage at reference labs and the </w:t>
      </w:r>
      <w:r>
        <w:t xml:space="preserve">NCI </w:t>
      </w:r>
      <w:r w:rsidRPr="007331CC">
        <w:t>Early-Phase and Experimental Clinical Trials Biospecimen Bank (EET Biobank</w:t>
      </w:r>
      <w:r>
        <w:t xml:space="preserve">, formerly known as the ETCTN </w:t>
      </w:r>
      <w:r w:rsidRPr="00A44A69">
        <w:t>Biorepository</w:t>
      </w:r>
      <w:r>
        <w:t>)</w:t>
      </w:r>
      <w:r w:rsidRPr="00A44A69">
        <w:t>.</w:t>
      </w:r>
    </w:p>
    <w:p w14:paraId="5B66E6B7" w14:textId="77777777" w:rsidR="008F336D" w:rsidRDefault="008F336D" w:rsidP="008F336D">
      <w:pPr>
        <w:rPr>
          <w:b/>
        </w:rPr>
      </w:pPr>
    </w:p>
    <w:p w14:paraId="15ADEC99" w14:textId="77777777" w:rsidR="008F336D" w:rsidRDefault="008F336D" w:rsidP="00D20269">
      <w:r w:rsidRPr="005C3611">
        <w:rPr>
          <w:b/>
        </w:rPr>
        <w:t>Important:</w:t>
      </w:r>
      <w:r w:rsidRPr="000074D8">
        <w:t xml:space="preserve">  </w:t>
      </w:r>
      <w:r w:rsidRPr="005C3611">
        <w:rPr>
          <w:b/>
        </w:rPr>
        <w:t>Failure to complete required fields in STS may result in a delay in sample processing.</w:t>
      </w:r>
      <w:r w:rsidRPr="000074D8">
        <w:t xml:space="preserve">  Any case reimbursements associated with sample submissions will not be credited if samples requiring STS submission are not logged into STS.</w:t>
      </w:r>
    </w:p>
    <w:p w14:paraId="4C5A758F" w14:textId="77777777" w:rsidR="008F336D" w:rsidRDefault="008F336D" w:rsidP="008F336D"/>
    <w:p w14:paraId="164A7028" w14:textId="37C3B16E" w:rsidR="008F336D" w:rsidRPr="008F336D" w:rsidRDefault="008F336D" w:rsidP="004E7A71">
      <w:r>
        <w:t>Detailed instructions on use of the STS can be found below.</w:t>
      </w:r>
    </w:p>
    <w:p w14:paraId="30C07EAF" w14:textId="77777777" w:rsidR="007F6A6F" w:rsidRDefault="007F6A6F" w:rsidP="009B2D17"/>
    <w:p w14:paraId="63C8DC7C" w14:textId="77777777" w:rsidR="00A774FF" w:rsidRPr="00C312CF" w:rsidRDefault="00A774FF" w:rsidP="00C312CF">
      <w:pPr>
        <w:pStyle w:val="Level3Heading"/>
        <w:rPr>
          <w:u w:val="single"/>
        </w:rPr>
      </w:pPr>
      <w:r w:rsidRPr="00C312CF">
        <w:rPr>
          <w:u w:val="single"/>
        </w:rPr>
        <w:t>S</w:t>
      </w:r>
      <w:r w:rsidR="00313B09" w:rsidRPr="00C312CF">
        <w:rPr>
          <w:u w:val="single"/>
        </w:rPr>
        <w:t xml:space="preserve">pecimen </w:t>
      </w:r>
      <w:r w:rsidRPr="00C312CF">
        <w:rPr>
          <w:u w:val="single"/>
        </w:rPr>
        <w:t>T</w:t>
      </w:r>
      <w:r w:rsidR="00313B09" w:rsidRPr="00C312CF">
        <w:rPr>
          <w:u w:val="single"/>
        </w:rPr>
        <w:t xml:space="preserve">racking </w:t>
      </w:r>
      <w:r w:rsidRPr="00C312CF">
        <w:rPr>
          <w:u w:val="single"/>
        </w:rPr>
        <w:t>S</w:t>
      </w:r>
      <w:r w:rsidR="00313B09" w:rsidRPr="00C312CF">
        <w:rPr>
          <w:u w:val="single"/>
        </w:rPr>
        <w:t>ystem</w:t>
      </w:r>
      <w:r w:rsidRPr="00C312CF">
        <w:rPr>
          <w:u w:val="single"/>
        </w:rPr>
        <w:t xml:space="preserve"> Overview and Enrollment Instructions</w:t>
      </w:r>
    </w:p>
    <w:p w14:paraId="2BBF63E1" w14:textId="77777777" w:rsidR="00A774FF" w:rsidRDefault="00A774FF" w:rsidP="009B2D17"/>
    <w:p w14:paraId="0663CB4E" w14:textId="77777777" w:rsidR="009A4F87" w:rsidRPr="000074D8" w:rsidRDefault="009A4F87" w:rsidP="009A4F87">
      <w:r w:rsidRPr="000074D8">
        <w:t xml:space="preserve">For the ETCTN </w:t>
      </w:r>
      <w:r w:rsidR="00944841">
        <w:t>STS</w:t>
      </w:r>
      <w:r w:rsidRPr="000074D8">
        <w:t>, the following information will be requested:</w:t>
      </w:r>
    </w:p>
    <w:p w14:paraId="3D7B29EE" w14:textId="77777777" w:rsidR="009A4F87" w:rsidRPr="000074D8" w:rsidRDefault="009A4F87" w:rsidP="00562B10">
      <w:pPr>
        <w:pStyle w:val="ListParagraph"/>
        <w:numPr>
          <w:ilvl w:val="0"/>
          <w:numId w:val="34"/>
        </w:numPr>
      </w:pPr>
      <w:r w:rsidRPr="000074D8">
        <w:rPr>
          <w:bCs/>
        </w:rPr>
        <w:t>Protocol Number</w:t>
      </w:r>
    </w:p>
    <w:p w14:paraId="39046AF3" w14:textId="77777777" w:rsidR="009A4F87" w:rsidRPr="000074D8" w:rsidRDefault="009A4F87" w:rsidP="00562B10">
      <w:pPr>
        <w:pStyle w:val="ListParagraph"/>
        <w:numPr>
          <w:ilvl w:val="2"/>
          <w:numId w:val="31"/>
        </w:numPr>
        <w:ind w:left="720" w:hanging="360"/>
        <w:rPr>
          <w:bCs/>
        </w:rPr>
      </w:pPr>
      <w:r w:rsidRPr="000074D8">
        <w:rPr>
          <w:bCs/>
        </w:rPr>
        <w:t xml:space="preserve">Investigator Identification </w:t>
      </w:r>
    </w:p>
    <w:p w14:paraId="7987BDCC" w14:textId="77777777" w:rsidR="009A4F87" w:rsidRPr="000074D8" w:rsidRDefault="009A4F87" w:rsidP="00562B10">
      <w:pPr>
        <w:pStyle w:val="ListParagraph"/>
        <w:numPr>
          <w:ilvl w:val="1"/>
          <w:numId w:val="30"/>
        </w:numPr>
        <w:ind w:left="1080" w:hanging="360"/>
      </w:pPr>
      <w:r w:rsidRPr="000074D8">
        <w:t>Institution and affiliate name</w:t>
      </w:r>
    </w:p>
    <w:p w14:paraId="67892CEC" w14:textId="77777777" w:rsidR="009A4F87" w:rsidRPr="000074D8" w:rsidRDefault="009A4F87" w:rsidP="00562B10">
      <w:pPr>
        <w:pStyle w:val="ListParagraph"/>
        <w:numPr>
          <w:ilvl w:val="1"/>
          <w:numId w:val="30"/>
        </w:numPr>
        <w:ind w:left="1080" w:hanging="360"/>
      </w:pPr>
      <w:r w:rsidRPr="000074D8">
        <w:t>Investigator’s name</w:t>
      </w:r>
    </w:p>
    <w:p w14:paraId="148D56A5" w14:textId="2362F97B" w:rsidR="009A4F87" w:rsidRPr="000074D8" w:rsidRDefault="009A4F87" w:rsidP="00562B10">
      <w:pPr>
        <w:pStyle w:val="ListParagraph"/>
        <w:numPr>
          <w:ilvl w:val="0"/>
          <w:numId w:val="32"/>
        </w:numPr>
        <w:ind w:left="720"/>
        <w:rPr>
          <w:iCs/>
        </w:rPr>
      </w:pPr>
      <w:r w:rsidRPr="000074D8">
        <w:rPr>
          <w:bCs/>
        </w:rPr>
        <w:t xml:space="preserve">Eligibility Verification:  </w:t>
      </w:r>
      <w:r w:rsidRPr="000074D8">
        <w:rPr>
          <w:iCs/>
        </w:rPr>
        <w:t xml:space="preserve">Patients must meet all the eligibility requirements listed in Section </w:t>
      </w:r>
      <w:r w:rsidRPr="000074D8">
        <w:rPr>
          <w:iCs/>
        </w:rPr>
        <w:fldChar w:fldCharType="begin"/>
      </w:r>
      <w:r w:rsidRPr="000074D8">
        <w:rPr>
          <w:iCs/>
        </w:rPr>
        <w:instrText xml:space="preserve"> REF _Ref484789911 \r \h  \* MERGEFORMAT </w:instrText>
      </w:r>
      <w:r w:rsidRPr="000074D8">
        <w:rPr>
          <w:iCs/>
        </w:rPr>
      </w:r>
      <w:r w:rsidRPr="000074D8">
        <w:rPr>
          <w:iCs/>
        </w:rPr>
        <w:fldChar w:fldCharType="separate"/>
      </w:r>
      <w:r w:rsidR="009C0D42">
        <w:rPr>
          <w:iCs/>
        </w:rPr>
        <w:t>3</w:t>
      </w:r>
      <w:r w:rsidRPr="000074D8">
        <w:rPr>
          <w:iCs/>
        </w:rPr>
        <w:fldChar w:fldCharType="end"/>
      </w:r>
      <w:r w:rsidRPr="000074D8">
        <w:rPr>
          <w:iCs/>
        </w:rPr>
        <w:t>.</w:t>
      </w:r>
    </w:p>
    <w:p w14:paraId="0D41A38E" w14:textId="77777777" w:rsidR="009A4F87" w:rsidRPr="000074D8" w:rsidRDefault="009A4F87" w:rsidP="00562B10">
      <w:pPr>
        <w:pStyle w:val="ListParagraph"/>
        <w:numPr>
          <w:ilvl w:val="0"/>
          <w:numId w:val="32"/>
        </w:numPr>
        <w:ind w:left="720"/>
        <w:rPr>
          <w:bCs/>
        </w:rPr>
      </w:pPr>
      <w:r w:rsidRPr="000074D8">
        <w:rPr>
          <w:bCs/>
        </w:rPr>
        <w:t>Additional Requirements:</w:t>
      </w:r>
    </w:p>
    <w:p w14:paraId="2A2C2720" w14:textId="77777777" w:rsidR="009A4F87" w:rsidRPr="000074D8" w:rsidRDefault="009A4F87" w:rsidP="00562B10">
      <w:pPr>
        <w:pStyle w:val="ListParagraph"/>
        <w:numPr>
          <w:ilvl w:val="0"/>
          <w:numId w:val="33"/>
        </w:numPr>
        <w:ind w:left="1080"/>
      </w:pPr>
      <w:r w:rsidRPr="000074D8">
        <w:t>Patients must provide a signed and dated, written informed consent form.</w:t>
      </w:r>
    </w:p>
    <w:p w14:paraId="7AE5B45D" w14:textId="77777777" w:rsidR="009A4F87" w:rsidRPr="000074D8" w:rsidRDefault="009A4F87" w:rsidP="009A4F87">
      <w:pPr>
        <w:ind w:left="720"/>
      </w:pPr>
    </w:p>
    <w:p w14:paraId="59454766" w14:textId="5CF577B9" w:rsidR="009A4F87" w:rsidRPr="000074D8" w:rsidRDefault="009A4F87" w:rsidP="009A4F87">
      <w:r w:rsidRPr="000074D8">
        <w:t xml:space="preserve">Upon enrolling a patient, IWRS will communicate with OPEN, assigning two separate and unique identification numbers to the patient, a Universal patient ID (UPID) and a Treatment patient ID.  The UPID is associated with the patient and used each and every time the patient engages with the portion of this </w:t>
      </w:r>
      <w:r w:rsidR="0086437B">
        <w:t xml:space="preserve">or any other </w:t>
      </w:r>
      <w:r w:rsidRPr="000074D8">
        <w:t>protocol</w:t>
      </w:r>
      <w:r w:rsidRPr="00010CCF">
        <w:t xml:space="preserve"> </w:t>
      </w:r>
      <w:r>
        <w:t xml:space="preserve">that uses the </w:t>
      </w:r>
      <w:r w:rsidRPr="0021256E">
        <w:t xml:space="preserve">ETCTN </w:t>
      </w:r>
      <w:r>
        <w:t>Specimen Tracking System</w:t>
      </w:r>
      <w:r w:rsidRPr="000074D8">
        <w:t xml:space="preserve">.  The UPID contains no information or link to the treatment protocol.  IWRS will maintain an association between the UPID for ETCTN biobanking and molecular characterization and any treatment protocols the patient participates in, thereby allowing analysis of the molecular characterization results with the clinical data. </w:t>
      </w:r>
      <w:r w:rsidRPr="000074D8" w:rsidDel="0083360F">
        <w:t xml:space="preserve"> </w:t>
      </w:r>
    </w:p>
    <w:p w14:paraId="51D0F862" w14:textId="77777777" w:rsidR="009A4F87" w:rsidRPr="000074D8" w:rsidRDefault="009A4F87" w:rsidP="009A4F87"/>
    <w:p w14:paraId="58D5A9C2" w14:textId="3F7974E5" w:rsidR="009A4F87" w:rsidRPr="00E8473C" w:rsidRDefault="009A4F87" w:rsidP="009A4F87">
      <w:r w:rsidRPr="000074D8">
        <w:t>Immediately following enrollment, the institutional anatomical pathology report for the diagnosis under which the patient is being enrolled must be uploaded into Rave.  The report must include the surgical pathology ID (SPID)</w:t>
      </w:r>
      <w:r w:rsidR="00874D3E">
        <w:t>, collection date, block number,</w:t>
      </w:r>
      <w:r w:rsidRPr="000074D8">
        <w:t xml:space="preserve"> and the IWRS-assigned UPID </w:t>
      </w:r>
      <w:r w:rsidR="00874D3E">
        <w:t xml:space="preserve">and patient study ID </w:t>
      </w:r>
      <w:r w:rsidRPr="000074D8">
        <w:t>for this trial.</w:t>
      </w:r>
      <w:r w:rsidR="00874D3E">
        <w:t xml:space="preserve">  For newly acquired biopsies</w:t>
      </w:r>
      <w:r w:rsidR="00D4297B">
        <w:t xml:space="preserve"> without a corresponding pathology report</w:t>
      </w:r>
      <w:r w:rsidR="00874D3E">
        <w:t>, the radiology and operative report(s) must also be uploaded into Rave</w:t>
      </w:r>
      <w:r w:rsidR="00D4297B">
        <w:t>, when available</w:t>
      </w:r>
      <w:r w:rsidR="00874D3E">
        <w:t>.</w:t>
      </w:r>
      <w:r w:rsidRPr="000074D8">
        <w:t xml:space="preserve">  </w:t>
      </w:r>
      <w:r w:rsidRPr="000074D8">
        <w:rPr>
          <w:b/>
          <w:u w:val="single"/>
        </w:rPr>
        <w:t>Important</w:t>
      </w:r>
      <w:r w:rsidRPr="000074D8">
        <w:rPr>
          <w:b/>
        </w:rPr>
        <w:t>:  Remove any personally identifying information, including, but not limited to, the patient’s name,</w:t>
      </w:r>
      <w:r w:rsidR="00537F59">
        <w:rPr>
          <w:b/>
        </w:rPr>
        <w:t xml:space="preserve"> date of birth,</w:t>
      </w:r>
      <w:r w:rsidRPr="000074D8">
        <w:rPr>
          <w:b/>
        </w:rPr>
        <w:t xml:space="preserve"> initials, </w:t>
      </w:r>
      <w:r w:rsidR="00874D3E">
        <w:rPr>
          <w:b/>
        </w:rPr>
        <w:t>medical record number, and patient contact information</w:t>
      </w:r>
      <w:r w:rsidRPr="000074D8">
        <w:rPr>
          <w:b/>
        </w:rPr>
        <w:t xml:space="preserve"> from the institutional pathology report prior to submission.</w:t>
      </w:r>
    </w:p>
    <w:p w14:paraId="17DE4F5F" w14:textId="77777777" w:rsidR="009B2D17" w:rsidRPr="000074D8" w:rsidRDefault="009B2D17" w:rsidP="009B2D17"/>
    <w:p w14:paraId="4697A576" w14:textId="77777777" w:rsidR="009B2D17" w:rsidRPr="000074D8" w:rsidRDefault="009B2D17" w:rsidP="009B2D17">
      <w:r w:rsidRPr="000074D8">
        <w:t xml:space="preserve">Additionally, please note that the STS software creates pop-up windows when reports are generated, so you will need to enable pop-ups within your web browser while using the software.  </w:t>
      </w:r>
    </w:p>
    <w:p w14:paraId="42B37150" w14:textId="77777777" w:rsidR="009B2D17" w:rsidRPr="000074D8" w:rsidRDefault="009B2D17" w:rsidP="009B2D17"/>
    <w:p w14:paraId="790EF4E8" w14:textId="15D9E1F8" w:rsidR="009B2D17" w:rsidRPr="000074D8" w:rsidRDefault="009B2D17" w:rsidP="009B2D17">
      <w:pPr>
        <w:rPr>
          <w:color w:val="1F497D"/>
        </w:rPr>
      </w:pPr>
      <w:r w:rsidRPr="000074D8">
        <w:t xml:space="preserve">For questions regarding the Specimen Tracking System, please contact </w:t>
      </w:r>
      <w:bookmarkStart w:id="57" w:name="_Hlk27550191"/>
      <w:r w:rsidR="007E15E4">
        <w:t>STS Support at</w:t>
      </w:r>
      <w:r w:rsidR="007E15E4">
        <w:rPr>
          <w:color w:val="1F497D"/>
        </w:rPr>
        <w:t xml:space="preserve"> </w:t>
      </w:r>
      <w:hyperlink r:id="rId47" w:history="1">
        <w:r w:rsidR="002C5EA0" w:rsidRPr="007E15E4">
          <w:rPr>
            <w:rStyle w:val="Hyperlink"/>
          </w:rPr>
          <w:t>STS.Support@theradex.com</w:t>
        </w:r>
      </w:hyperlink>
      <w:r w:rsidR="007E15E4">
        <w:rPr>
          <w:color w:val="1F497D"/>
        </w:rPr>
        <w:t>.</w:t>
      </w:r>
      <w:bookmarkEnd w:id="57"/>
    </w:p>
    <w:p w14:paraId="4DD6693B" w14:textId="77777777" w:rsidR="009B2D17" w:rsidRPr="000074D8" w:rsidRDefault="009B2D17" w:rsidP="009B2D17"/>
    <w:p w14:paraId="358FED80" w14:textId="1E4747BA" w:rsidR="009B2D17" w:rsidRPr="000074D8" w:rsidRDefault="00D103E8" w:rsidP="009B2D17">
      <w:r>
        <w:t>The</w:t>
      </w:r>
      <w:r w:rsidR="009B2D17" w:rsidRPr="000074D8">
        <w:t xml:space="preserve"> </w:t>
      </w:r>
      <w:r>
        <w:t>S</w:t>
      </w:r>
      <w:r w:rsidR="009B2D17" w:rsidRPr="000074D8">
        <w:t xml:space="preserve">hipping </w:t>
      </w:r>
      <w:r>
        <w:t>List report</w:t>
      </w:r>
      <w:r w:rsidR="009B2D17" w:rsidRPr="000074D8">
        <w:t xml:space="preserve"> </w:t>
      </w:r>
      <w:r w:rsidR="009B2D17" w:rsidRPr="000074D8">
        <w:rPr>
          <w:b/>
          <w:u w:val="single"/>
        </w:rPr>
        <w:t>must</w:t>
      </w:r>
      <w:r w:rsidR="009B2D17" w:rsidRPr="000074D8">
        <w:t xml:space="preserve"> be included with all sample submissions.</w:t>
      </w:r>
    </w:p>
    <w:p w14:paraId="237E39E7" w14:textId="77777777" w:rsidR="009A4F87" w:rsidRPr="000074D8" w:rsidRDefault="009A4F87" w:rsidP="009B2D17"/>
    <w:p w14:paraId="3C80141B" w14:textId="77777777" w:rsidR="009B2D17" w:rsidRPr="00C312CF" w:rsidRDefault="009B2D17" w:rsidP="00C312CF">
      <w:pPr>
        <w:pStyle w:val="Level3Heading"/>
        <w:rPr>
          <w:u w:val="single"/>
        </w:rPr>
      </w:pPr>
      <w:r w:rsidRPr="00C312CF">
        <w:rPr>
          <w:u w:val="single"/>
        </w:rPr>
        <w:t>Specimen Labeling</w:t>
      </w:r>
    </w:p>
    <w:p w14:paraId="18902AB3" w14:textId="77777777" w:rsidR="009B2D17" w:rsidRPr="000074D8" w:rsidRDefault="009B2D17" w:rsidP="009B2D17"/>
    <w:p w14:paraId="6DC2D52A" w14:textId="31FBBA68" w:rsidR="009B2D17" w:rsidRPr="000074D8" w:rsidRDefault="009B2D17" w:rsidP="00BC7C83">
      <w:pPr>
        <w:pStyle w:val="Level4Heading"/>
      </w:pPr>
      <w:r w:rsidRPr="000074D8">
        <w:t>Blood</w:t>
      </w:r>
      <w:r w:rsidR="00DD3938">
        <w:t xml:space="preserve"> and CSF</w:t>
      </w:r>
      <w:r w:rsidR="000602FC">
        <w:t xml:space="preserve"> </w:t>
      </w:r>
      <w:r w:rsidRPr="000074D8">
        <w:t>Specimen Labels</w:t>
      </w:r>
    </w:p>
    <w:p w14:paraId="667898AD" w14:textId="77777777" w:rsidR="009B2D17" w:rsidRPr="000074D8" w:rsidRDefault="009B2D17" w:rsidP="009B2D17">
      <w:pPr>
        <w:ind w:left="720"/>
      </w:pPr>
    </w:p>
    <w:p w14:paraId="3B861EC2" w14:textId="3EB7EE56" w:rsidR="009B2D17" w:rsidRPr="000074D8" w:rsidRDefault="009B2D17" w:rsidP="009B2D17">
      <w:r w:rsidRPr="000074D8">
        <w:t>Include the following on blood</w:t>
      </w:r>
      <w:r w:rsidR="00845D21">
        <w:t xml:space="preserve"> and CSF </w:t>
      </w:r>
      <w:r w:rsidRPr="000074D8">
        <w:t>specimens (including whole blood and frozen, processed blood products – like plasma):</w:t>
      </w:r>
    </w:p>
    <w:p w14:paraId="2356C043" w14:textId="77777777" w:rsidR="009B2D17" w:rsidRPr="000074D8" w:rsidRDefault="009B2D17" w:rsidP="00562B10">
      <w:pPr>
        <w:pStyle w:val="ListParagraph"/>
        <w:numPr>
          <w:ilvl w:val="0"/>
          <w:numId w:val="41"/>
        </w:numPr>
        <w:ind w:left="1080"/>
      </w:pPr>
      <w:r w:rsidRPr="000074D8">
        <w:lastRenderedPageBreak/>
        <w:t>Patient Study ID</w:t>
      </w:r>
    </w:p>
    <w:p w14:paraId="521A7E44" w14:textId="77777777" w:rsidR="009B2D17" w:rsidRPr="000074D8" w:rsidRDefault="009B2D17" w:rsidP="00562B10">
      <w:pPr>
        <w:pStyle w:val="ListParagraph"/>
        <w:numPr>
          <w:ilvl w:val="0"/>
          <w:numId w:val="41"/>
        </w:numPr>
        <w:ind w:left="1080"/>
      </w:pPr>
      <w:r w:rsidRPr="000074D8">
        <w:t>Universal Patient ID (UPID)</w:t>
      </w:r>
    </w:p>
    <w:p w14:paraId="5D6ACBD2" w14:textId="77777777" w:rsidR="009B2D17" w:rsidRPr="000074D8" w:rsidRDefault="009B2D17" w:rsidP="00562B10">
      <w:pPr>
        <w:pStyle w:val="ListParagraph"/>
        <w:numPr>
          <w:ilvl w:val="0"/>
          <w:numId w:val="41"/>
        </w:numPr>
        <w:ind w:left="1080"/>
      </w:pPr>
      <w:r w:rsidRPr="000074D8">
        <w:rPr>
          <w:iCs/>
        </w:rPr>
        <w:t>Specimen ID (automatically generated by Rave</w:t>
      </w:r>
      <w:r w:rsidRPr="000074D8">
        <w:t>)</w:t>
      </w:r>
    </w:p>
    <w:p w14:paraId="651A1E50" w14:textId="77777777" w:rsidR="009B2D17" w:rsidRPr="000074D8" w:rsidRDefault="009B2D17" w:rsidP="00562B10">
      <w:pPr>
        <w:pStyle w:val="ListParagraph"/>
        <w:numPr>
          <w:ilvl w:val="0"/>
          <w:numId w:val="41"/>
        </w:numPr>
        <w:ind w:left="1080"/>
        <w:rPr>
          <w:iCs/>
        </w:rPr>
      </w:pPr>
      <w:r w:rsidRPr="000074D8">
        <w:rPr>
          <w:iCs/>
        </w:rPr>
        <w:t>Time point</w:t>
      </w:r>
    </w:p>
    <w:p w14:paraId="3609D9E6" w14:textId="6ACBAD5A" w:rsidR="009B2D17" w:rsidRDefault="009B2D17" w:rsidP="00562B10">
      <w:pPr>
        <w:pStyle w:val="ListParagraph"/>
        <w:numPr>
          <w:ilvl w:val="0"/>
          <w:numId w:val="41"/>
        </w:numPr>
        <w:ind w:left="1080"/>
        <w:rPr>
          <w:iCs/>
        </w:rPr>
      </w:pPr>
      <w:r w:rsidRPr="000074D8">
        <w:rPr>
          <w:iCs/>
        </w:rPr>
        <w:t>Specimen type (</w:t>
      </w:r>
      <w:r w:rsidRPr="000074D8">
        <w:rPr>
          <w:i/>
          <w:iCs/>
        </w:rPr>
        <w:t>e.g.</w:t>
      </w:r>
      <w:r w:rsidRPr="000074D8">
        <w:rPr>
          <w:iCs/>
        </w:rPr>
        <w:t xml:space="preserve">, blood, </w:t>
      </w:r>
      <w:r w:rsidR="004465E5">
        <w:rPr>
          <w:iCs/>
        </w:rPr>
        <w:t>plasma, CSF</w:t>
      </w:r>
      <w:r w:rsidRPr="000074D8">
        <w:rPr>
          <w:iCs/>
        </w:rPr>
        <w:t>)</w:t>
      </w:r>
    </w:p>
    <w:p w14:paraId="32F9298B" w14:textId="61A3F4DB" w:rsidR="009B2D17" w:rsidRPr="00056CFA" w:rsidRDefault="009B2D17" w:rsidP="00562B10">
      <w:pPr>
        <w:pStyle w:val="ListParagraph"/>
        <w:numPr>
          <w:ilvl w:val="0"/>
          <w:numId w:val="41"/>
        </w:numPr>
        <w:ind w:left="1080"/>
        <w:rPr>
          <w:iCs/>
          <w:color w:val="auto"/>
        </w:rPr>
      </w:pPr>
      <w:r w:rsidRPr="00056CFA">
        <w:rPr>
          <w:iCs/>
          <w:color w:val="auto"/>
        </w:rPr>
        <w:t>Collection date</w:t>
      </w:r>
      <w:r w:rsidR="004465E5" w:rsidRPr="00056CFA">
        <w:rPr>
          <w:iCs/>
          <w:color w:val="auto"/>
        </w:rPr>
        <w:t xml:space="preserve"> (all</w:t>
      </w:r>
      <w:r w:rsidR="009A3BFA" w:rsidRPr="00056CFA">
        <w:rPr>
          <w:iCs/>
          <w:color w:val="auto"/>
        </w:rPr>
        <w:t xml:space="preserve"> specimens</w:t>
      </w:r>
      <w:r w:rsidR="004465E5" w:rsidRPr="00056CFA">
        <w:rPr>
          <w:iCs/>
          <w:color w:val="auto"/>
        </w:rPr>
        <w:t xml:space="preserve">) and time </w:t>
      </w:r>
      <w:r w:rsidR="0082793A" w:rsidRPr="00056CFA">
        <w:rPr>
          <w:iCs/>
          <w:color w:val="auto"/>
        </w:rPr>
        <w:t>[for PK plasma and CSF specimens only</w:t>
      </w:r>
      <w:r w:rsidR="0082793A" w:rsidRPr="00056CFA">
        <w:rPr>
          <w:i/>
          <w:iCs/>
          <w:color w:val="auto"/>
        </w:rPr>
        <w:t xml:space="preserve"> </w:t>
      </w:r>
      <w:r w:rsidR="0082793A" w:rsidRPr="00056CFA">
        <w:rPr>
          <w:iCs/>
          <w:color w:val="auto"/>
        </w:rPr>
        <w:t>(to be added by hand)].  Note: the time should be recorded using a 24 hour clock (HH:MM).</w:t>
      </w:r>
    </w:p>
    <w:p w14:paraId="1BBB7CEF" w14:textId="77777777" w:rsidR="009B2D17" w:rsidRPr="000074D8" w:rsidRDefault="009B2D17" w:rsidP="009B2D17"/>
    <w:p w14:paraId="02B4A296" w14:textId="79529905" w:rsidR="009B2D17" w:rsidRPr="000074D8" w:rsidRDefault="009B2D17" w:rsidP="00BC7C83">
      <w:pPr>
        <w:pStyle w:val="Level4Heading"/>
      </w:pPr>
      <w:r w:rsidRPr="000074D8">
        <w:t>Tissue Specimen Labels</w:t>
      </w:r>
    </w:p>
    <w:p w14:paraId="66CE0C16" w14:textId="77777777" w:rsidR="009B2D17" w:rsidRPr="000074D8" w:rsidRDefault="009B2D17" w:rsidP="009B2D17"/>
    <w:p w14:paraId="09B29FA9" w14:textId="76A0DFA6" w:rsidR="009B2D17" w:rsidRPr="000074D8" w:rsidRDefault="009B2D17" w:rsidP="009B2D17">
      <w:r w:rsidRPr="000074D8">
        <w:t xml:space="preserve">Include the following on all tissue specimens </w:t>
      </w:r>
      <w:r w:rsidR="001B7722">
        <w:t>(</w:t>
      </w:r>
      <w:r w:rsidR="001B7722" w:rsidRPr="00D15854">
        <w:rPr>
          <w:i/>
          <w:iCs/>
        </w:rPr>
        <w:t>e.g.</w:t>
      </w:r>
      <w:r w:rsidR="001B7722">
        <w:t xml:space="preserve">, FFPE block, slides, or frozen tissue) </w:t>
      </w:r>
      <w:r w:rsidRPr="000074D8">
        <w:t>or containers (</w:t>
      </w:r>
      <w:r w:rsidRPr="000074D8">
        <w:rPr>
          <w:i/>
        </w:rPr>
        <w:t>e.g.</w:t>
      </w:r>
      <w:r w:rsidRPr="000074D8">
        <w:t xml:space="preserve">, formalin jar): </w:t>
      </w:r>
    </w:p>
    <w:p w14:paraId="24A3BD96" w14:textId="77777777" w:rsidR="009B2D17" w:rsidRPr="000074D8" w:rsidRDefault="009B2D17" w:rsidP="00562B10">
      <w:pPr>
        <w:pStyle w:val="ListParagraph"/>
        <w:numPr>
          <w:ilvl w:val="0"/>
          <w:numId w:val="41"/>
        </w:numPr>
        <w:ind w:left="1080"/>
      </w:pPr>
      <w:r w:rsidRPr="000074D8">
        <w:t>Patient Study ID</w:t>
      </w:r>
    </w:p>
    <w:p w14:paraId="38ACD6E5" w14:textId="77777777" w:rsidR="009B2D17" w:rsidRPr="000074D8" w:rsidRDefault="009B2D17" w:rsidP="00562B10">
      <w:pPr>
        <w:pStyle w:val="ListParagraph"/>
        <w:numPr>
          <w:ilvl w:val="0"/>
          <w:numId w:val="41"/>
        </w:numPr>
        <w:ind w:left="1080"/>
      </w:pPr>
      <w:r w:rsidRPr="000074D8">
        <w:t>Universal Patient ID (UPID)</w:t>
      </w:r>
    </w:p>
    <w:p w14:paraId="59BCD9E5" w14:textId="77777777" w:rsidR="009B2D17" w:rsidRPr="000074D8" w:rsidRDefault="009B2D17" w:rsidP="00562B10">
      <w:pPr>
        <w:pStyle w:val="ListParagraph"/>
        <w:numPr>
          <w:ilvl w:val="0"/>
          <w:numId w:val="41"/>
        </w:numPr>
        <w:ind w:left="1080"/>
        <w:rPr>
          <w:iCs/>
        </w:rPr>
      </w:pPr>
      <w:r w:rsidRPr="000074D8">
        <w:rPr>
          <w:iCs/>
        </w:rPr>
        <w:t>Specimen ID (automatically generated by Rave)</w:t>
      </w:r>
    </w:p>
    <w:p w14:paraId="3D0003B4" w14:textId="77777777" w:rsidR="009B2D17" w:rsidRPr="000074D8" w:rsidRDefault="009B2D17" w:rsidP="00562B10">
      <w:pPr>
        <w:pStyle w:val="ListParagraph"/>
        <w:numPr>
          <w:ilvl w:val="0"/>
          <w:numId w:val="41"/>
        </w:numPr>
        <w:ind w:left="1080"/>
        <w:rPr>
          <w:iCs/>
        </w:rPr>
      </w:pPr>
      <w:r w:rsidRPr="000074D8">
        <w:rPr>
          <w:iCs/>
        </w:rPr>
        <w:t>Time point</w:t>
      </w:r>
    </w:p>
    <w:p w14:paraId="449ADE3E" w14:textId="77777777" w:rsidR="009B2D17" w:rsidRPr="000074D8" w:rsidRDefault="009B2D17" w:rsidP="00562B10">
      <w:pPr>
        <w:pStyle w:val="ListParagraph"/>
        <w:numPr>
          <w:ilvl w:val="0"/>
          <w:numId w:val="41"/>
        </w:numPr>
        <w:ind w:left="1080"/>
        <w:rPr>
          <w:iCs/>
        </w:rPr>
      </w:pPr>
      <w:r w:rsidRPr="000074D8">
        <w:rPr>
          <w:iCs/>
        </w:rPr>
        <w:t>Specimen type (</w:t>
      </w:r>
      <w:r w:rsidRPr="000074D8">
        <w:rPr>
          <w:i/>
          <w:iCs/>
        </w:rPr>
        <w:t>e.g.</w:t>
      </w:r>
      <w:r w:rsidRPr="000074D8">
        <w:rPr>
          <w:iCs/>
        </w:rPr>
        <w:t xml:space="preserve">, </w:t>
      </w:r>
      <w:r w:rsidR="003C6502" w:rsidRPr="000074D8">
        <w:rPr>
          <w:iCs/>
        </w:rPr>
        <w:t>formalin-fixed paraffin-embedded [</w:t>
      </w:r>
      <w:r w:rsidRPr="000074D8">
        <w:rPr>
          <w:iCs/>
        </w:rPr>
        <w:t>FFPE</w:t>
      </w:r>
      <w:r w:rsidR="003C6502" w:rsidRPr="000074D8">
        <w:rPr>
          <w:iCs/>
        </w:rPr>
        <w:t>]</w:t>
      </w:r>
      <w:r w:rsidRPr="000074D8">
        <w:rPr>
          <w:iCs/>
        </w:rPr>
        <w:t xml:space="preserve"> Block, Formalin Fixed Tissue, Fresh Tissue in Media, </w:t>
      </w:r>
      <w:r w:rsidRPr="000074D8">
        <w:rPr>
          <w:i/>
          <w:iCs/>
        </w:rPr>
        <w:t>etc.</w:t>
      </w:r>
      <w:r w:rsidRPr="000074D8">
        <w:rPr>
          <w:iCs/>
        </w:rPr>
        <w:t>)</w:t>
      </w:r>
    </w:p>
    <w:p w14:paraId="044CBFCD" w14:textId="77777777" w:rsidR="009B2D17" w:rsidRPr="000074D8" w:rsidRDefault="009B2D17" w:rsidP="00562B10">
      <w:pPr>
        <w:pStyle w:val="ListParagraph"/>
        <w:numPr>
          <w:ilvl w:val="0"/>
          <w:numId w:val="41"/>
        </w:numPr>
        <w:ind w:left="1080"/>
        <w:rPr>
          <w:iCs/>
        </w:rPr>
      </w:pPr>
      <w:r w:rsidRPr="000074D8">
        <w:rPr>
          <w:iCs/>
        </w:rPr>
        <w:t>Tissue type (P for primary, M for metastatic or N for normal)</w:t>
      </w:r>
    </w:p>
    <w:p w14:paraId="0F66D5B2" w14:textId="5F4469E8" w:rsidR="009B2D17" w:rsidRPr="000074D8" w:rsidRDefault="009B2D17" w:rsidP="00562B10">
      <w:pPr>
        <w:pStyle w:val="ListParagraph"/>
        <w:numPr>
          <w:ilvl w:val="0"/>
          <w:numId w:val="41"/>
        </w:numPr>
        <w:ind w:left="1080"/>
        <w:rPr>
          <w:iCs/>
        </w:rPr>
      </w:pPr>
      <w:r w:rsidRPr="000074D8">
        <w:rPr>
          <w:iCs/>
        </w:rPr>
        <w:t xml:space="preserve">Surgical pathology ID (SPID) number </w:t>
      </w:r>
      <w:r w:rsidR="00354E68" w:rsidRPr="001171B8">
        <w:rPr>
          <w:iCs/>
        </w:rPr>
        <w:t>(when applicable)</w:t>
      </w:r>
    </w:p>
    <w:p w14:paraId="7720C64F" w14:textId="4B6E5270" w:rsidR="009B2D17" w:rsidRPr="000074D8" w:rsidRDefault="009B2D17" w:rsidP="00562B10">
      <w:pPr>
        <w:pStyle w:val="ListParagraph"/>
        <w:numPr>
          <w:ilvl w:val="0"/>
          <w:numId w:val="41"/>
        </w:numPr>
        <w:ind w:left="1080"/>
        <w:rPr>
          <w:iCs/>
        </w:rPr>
      </w:pPr>
      <w:r w:rsidRPr="000074D8">
        <w:rPr>
          <w:iCs/>
        </w:rPr>
        <w:t>Block number from the corresponding pathology report (</w:t>
      </w:r>
      <w:r w:rsidR="00136EA9">
        <w:rPr>
          <w:iCs/>
        </w:rPr>
        <w:t>FF</w:t>
      </w:r>
      <w:r w:rsidR="00CA7540">
        <w:rPr>
          <w:iCs/>
        </w:rPr>
        <w:t>PE</w:t>
      </w:r>
      <w:r w:rsidR="00136EA9" w:rsidRPr="000074D8">
        <w:rPr>
          <w:iCs/>
        </w:rPr>
        <w:t xml:space="preserve"> </w:t>
      </w:r>
      <w:r w:rsidR="00B46205">
        <w:rPr>
          <w:iCs/>
        </w:rPr>
        <w:t>tissue, when applicable</w:t>
      </w:r>
      <w:r w:rsidRPr="000074D8">
        <w:rPr>
          <w:iCs/>
        </w:rPr>
        <w:t>)</w:t>
      </w:r>
    </w:p>
    <w:p w14:paraId="71A67A30" w14:textId="6C4083C0" w:rsidR="00DF6E9D" w:rsidRDefault="009B2D17" w:rsidP="00562B10">
      <w:pPr>
        <w:pStyle w:val="ListParagraph"/>
        <w:numPr>
          <w:ilvl w:val="0"/>
          <w:numId w:val="41"/>
        </w:numPr>
        <w:ind w:left="1080"/>
        <w:rPr>
          <w:iCs/>
        </w:rPr>
      </w:pPr>
      <w:r w:rsidRPr="000074D8">
        <w:rPr>
          <w:iCs/>
        </w:rPr>
        <w:t>Collection date (to be added by hand)</w:t>
      </w:r>
      <w:r w:rsidR="00DF6E9D" w:rsidRPr="00DF6E9D">
        <w:rPr>
          <w:iCs/>
        </w:rPr>
        <w:t xml:space="preserve"> </w:t>
      </w:r>
    </w:p>
    <w:p w14:paraId="1AAA764E" w14:textId="3C4374DC" w:rsidR="00DF6E9D" w:rsidRPr="000074D8" w:rsidRDefault="00DF6E9D" w:rsidP="00562B10">
      <w:pPr>
        <w:pStyle w:val="ListParagraph"/>
        <w:numPr>
          <w:ilvl w:val="0"/>
          <w:numId w:val="41"/>
        </w:numPr>
        <w:ind w:left="1080"/>
        <w:rPr>
          <w:iCs/>
        </w:rPr>
      </w:pPr>
      <w:r>
        <w:rPr>
          <w:iCs/>
        </w:rPr>
        <w:t>Slide section number (only if archival tissue is submitted as slides) (to be added by hand)</w:t>
      </w:r>
    </w:p>
    <w:p w14:paraId="13FA50AC" w14:textId="77777777" w:rsidR="009B2D17" w:rsidRPr="000074D8" w:rsidRDefault="009B2D17" w:rsidP="009B2D17"/>
    <w:p w14:paraId="04F59F2B" w14:textId="5E9FCE35" w:rsidR="009B2D17" w:rsidRPr="000074D8" w:rsidRDefault="009B2D17" w:rsidP="00BC7C83">
      <w:pPr>
        <w:pStyle w:val="Level4Heading"/>
      </w:pPr>
      <w:r w:rsidRPr="000074D8">
        <w:t>Example of Specimen Label</w:t>
      </w:r>
      <w:r w:rsidR="007B23F6">
        <w:t xml:space="preserve"> </w:t>
      </w:r>
      <w:r w:rsidR="008668B7">
        <w:t>G</w:t>
      </w:r>
      <w:r w:rsidR="007B23F6">
        <w:t>enerated by STS</w:t>
      </w:r>
    </w:p>
    <w:p w14:paraId="5DE7EF70" w14:textId="67AD30EF" w:rsidR="009B2D17" w:rsidRDefault="009B2D17" w:rsidP="009B2D17"/>
    <w:p w14:paraId="5A55457C" w14:textId="77777777" w:rsidR="007B23F6" w:rsidRDefault="007B23F6" w:rsidP="007B23F6">
      <w:r>
        <w:t xml:space="preserve">STS includes a label printing facility, accessed via the Print Label CRF in the All Specimens folder. A generated PDF is emailed to the user as a result of saving that form. </w:t>
      </w:r>
    </w:p>
    <w:p w14:paraId="7A3B3BC7" w14:textId="77777777" w:rsidR="007B23F6" w:rsidRPr="000074D8" w:rsidRDefault="007B23F6" w:rsidP="009B2D17"/>
    <w:p w14:paraId="25D98C15" w14:textId="0428DB09" w:rsidR="009B2D17" w:rsidRPr="000074D8" w:rsidRDefault="009B2D17" w:rsidP="009B2D17">
      <w:r w:rsidRPr="000074D8">
        <w:t xml:space="preserve">The following image is an example of a tissue specimen label printed on a label that is </w:t>
      </w:r>
      <w:r w:rsidR="00572649">
        <w:t>0.5</w:t>
      </w:r>
      <w:r w:rsidR="00572649" w:rsidRPr="000074D8">
        <w:t xml:space="preserve">” high and </w:t>
      </w:r>
      <w:r w:rsidR="00572649">
        <w:t>1.28</w:t>
      </w:r>
      <w:r w:rsidR="00572649" w:rsidRPr="000074D8">
        <w:t>” wide</w:t>
      </w:r>
      <w:r w:rsidRPr="000074D8">
        <w:t>.</w:t>
      </w:r>
    </w:p>
    <w:p w14:paraId="25DFC6CA" w14:textId="77777777" w:rsidR="009B2D17" w:rsidRPr="000074D8" w:rsidRDefault="009B2D17" w:rsidP="009B2D17"/>
    <w:p w14:paraId="5825B0C7" w14:textId="2E67A137" w:rsidR="00822AAC" w:rsidRDefault="00822AAC" w:rsidP="009B2D17">
      <w:pPr>
        <w:rPr>
          <w:noProof/>
          <w:snapToGrid/>
        </w:rPr>
      </w:pPr>
    </w:p>
    <w:p w14:paraId="14D9FFF6" w14:textId="3994624A" w:rsidR="009B2D17" w:rsidRPr="000074D8" w:rsidRDefault="00822AAC" w:rsidP="009B2D17">
      <w:r>
        <w:rPr>
          <w:noProof/>
        </w:rPr>
        <w:drawing>
          <wp:inline distT="0" distB="0" distL="0" distR="0" wp14:anchorId="0C8B85A1" wp14:editId="5F9235AC">
            <wp:extent cx="3778250" cy="1600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778250" cy="1600200"/>
                    </a:xfrm>
                    <a:prstGeom prst="rect">
                      <a:avLst/>
                    </a:prstGeom>
                    <a:noFill/>
                    <a:ln>
                      <a:noFill/>
                    </a:ln>
                  </pic:spPr>
                </pic:pic>
              </a:graphicData>
            </a:graphic>
          </wp:inline>
        </w:drawing>
      </w:r>
      <w:r w:rsidR="009B2D17" w:rsidRPr="000074D8" w:rsidDel="00A608FF">
        <w:rPr>
          <w:noProof/>
          <w:snapToGrid/>
        </w:rPr>
        <w:t xml:space="preserve"> </w:t>
      </w:r>
    </w:p>
    <w:p w14:paraId="0A3D4C46" w14:textId="77777777" w:rsidR="009B2D17" w:rsidRPr="000074D8" w:rsidRDefault="009B2D17" w:rsidP="009B2D17"/>
    <w:p w14:paraId="6CA3CCFA" w14:textId="77777777" w:rsidR="009B2D17" w:rsidRPr="000074D8" w:rsidRDefault="009B2D17" w:rsidP="009B2D17">
      <w:r w:rsidRPr="000074D8">
        <w:t xml:space="preserve">The QR code in the above example is for the Specimen ID shown on the second line.  </w:t>
      </w:r>
    </w:p>
    <w:p w14:paraId="55417BCD" w14:textId="77777777" w:rsidR="00822AAC" w:rsidRDefault="00822AAC" w:rsidP="009B2D17">
      <w:pPr>
        <w:rPr>
          <w:b/>
        </w:rPr>
      </w:pPr>
    </w:p>
    <w:p w14:paraId="298344A9" w14:textId="46399955" w:rsidR="00822AAC" w:rsidRPr="000074D8" w:rsidRDefault="00822AAC" w:rsidP="00822AAC">
      <w:r>
        <w:t xml:space="preserve">Labels may be printed on a special purpose label printer, one label at a time, or on a standard laser printer, multiple labels per page. Theradex recommends the use of these low temperature waterproof labels for standard laser printers: </w:t>
      </w:r>
      <w:hyperlink r:id="rId49" w:history="1">
        <w:r w:rsidR="002C5EA0">
          <w:rPr>
            <w:rStyle w:val="Hyperlink"/>
          </w:rPr>
          <w:t>https://www.labtag.com/shop/product/cryo-laser-labels-1-28-x-0-5-cl-23-colors-available/</w:t>
        </w:r>
      </w:hyperlink>
    </w:p>
    <w:p w14:paraId="4A39D2F8" w14:textId="77777777" w:rsidR="00822AAC" w:rsidRDefault="00822AAC" w:rsidP="009B2D17">
      <w:pPr>
        <w:rPr>
          <w:b/>
        </w:rPr>
      </w:pPr>
    </w:p>
    <w:p w14:paraId="681620FE" w14:textId="77777777" w:rsidR="009B2D17" w:rsidRPr="000074D8" w:rsidRDefault="009B2D17" w:rsidP="009B2D17"/>
    <w:p w14:paraId="33FCAC35" w14:textId="69A27CFF" w:rsidR="009B2D17" w:rsidRPr="000074D8" w:rsidRDefault="009B2D17" w:rsidP="009B2D17">
      <w:r w:rsidRPr="000074D8">
        <w:t xml:space="preserve">The </w:t>
      </w:r>
      <w:r w:rsidR="00822AAC">
        <w:t>last</w:t>
      </w:r>
      <w:r w:rsidR="00822AAC" w:rsidRPr="000074D8">
        <w:t xml:space="preserve"> </w:t>
      </w:r>
      <w:r w:rsidRPr="000074D8">
        <w:t xml:space="preserve">line item </w:t>
      </w:r>
      <w:r w:rsidR="00822AAC">
        <w:t>on the label</w:t>
      </w:r>
      <w:r w:rsidRPr="000074D8">
        <w:t xml:space="preserve"> includes </w:t>
      </w:r>
      <w:r w:rsidR="00822AAC">
        <w:t>the following</w:t>
      </w:r>
      <w:r w:rsidR="00822AAC" w:rsidRPr="000074D8">
        <w:t xml:space="preserve"> </w:t>
      </w:r>
      <w:r w:rsidRPr="000074D8">
        <w:t>data points joined together:</w:t>
      </w:r>
    </w:p>
    <w:p w14:paraId="7F67315C" w14:textId="77777777" w:rsidR="009B2D17" w:rsidRPr="000074D8" w:rsidRDefault="009B2D17" w:rsidP="00562B10">
      <w:pPr>
        <w:numPr>
          <w:ilvl w:val="0"/>
          <w:numId w:val="42"/>
        </w:numPr>
      </w:pPr>
      <w:r w:rsidRPr="000074D8">
        <w:t>Tissue only: Primary (P), Metastatic (M), Normal (N) tissue indicated at the beginning of the specimen ID; this field is blank if not relevant (</w:t>
      </w:r>
      <w:r w:rsidRPr="000074D8">
        <w:rPr>
          <w:i/>
        </w:rPr>
        <w:t>e</w:t>
      </w:r>
      <w:r w:rsidRPr="000074D8">
        <w:t>.</w:t>
      </w:r>
      <w:r w:rsidRPr="000074D8">
        <w:rPr>
          <w:i/>
        </w:rPr>
        <w:t>g</w:t>
      </w:r>
      <w:r w:rsidRPr="000074D8">
        <w:t>., for blood)</w:t>
      </w:r>
    </w:p>
    <w:p w14:paraId="34DD9AE5" w14:textId="77777777" w:rsidR="009B2D17" w:rsidRPr="000074D8" w:rsidRDefault="009B2D17" w:rsidP="00562B10">
      <w:pPr>
        <w:numPr>
          <w:ilvl w:val="0"/>
          <w:numId w:val="42"/>
        </w:numPr>
      </w:pPr>
      <w:r w:rsidRPr="000074D8">
        <w:t>Block ID or blank if not relevant</w:t>
      </w:r>
    </w:p>
    <w:p w14:paraId="348C226D" w14:textId="77777777" w:rsidR="009B2D17" w:rsidRPr="000074D8" w:rsidRDefault="009B2D17" w:rsidP="00562B10">
      <w:pPr>
        <w:numPr>
          <w:ilvl w:val="0"/>
          <w:numId w:val="42"/>
        </w:numPr>
      </w:pPr>
      <w:r w:rsidRPr="000074D8">
        <w:t>SPID (Surgical Pathology ID) or blank if none</w:t>
      </w:r>
    </w:p>
    <w:p w14:paraId="7F118443" w14:textId="19A2392D" w:rsidR="009B2D17" w:rsidRPr="000074D8" w:rsidRDefault="00822AAC" w:rsidP="00562B10">
      <w:pPr>
        <w:numPr>
          <w:ilvl w:val="0"/>
          <w:numId w:val="42"/>
        </w:numPr>
      </w:pPr>
      <w:r>
        <w:t>An optional</w:t>
      </w:r>
      <w:r w:rsidRPr="000074D8">
        <w:t xml:space="preserve"> </w:t>
      </w:r>
      <w:r w:rsidR="009B2D17" w:rsidRPr="000074D8">
        <w:t xml:space="preserve">alpha-numeric code </w:t>
      </w:r>
      <w:r>
        <w:t xml:space="preserve">that </w:t>
      </w:r>
      <w:r w:rsidR="009B2D17" w:rsidRPr="000074D8">
        <w:t>is protocol specific and is only included if the protocol requires an additional special code classification</w:t>
      </w:r>
    </w:p>
    <w:p w14:paraId="5E0C0848" w14:textId="77777777" w:rsidR="009B2D17" w:rsidRPr="000074D8" w:rsidRDefault="009B2D17" w:rsidP="009B2D17"/>
    <w:p w14:paraId="0EA69B6F" w14:textId="4A921F63" w:rsidR="009B2D17" w:rsidRPr="000074D8" w:rsidRDefault="00822AAC" w:rsidP="009B2D17">
      <w:r w:rsidRPr="00F725FF">
        <w:rPr>
          <w:b/>
          <w:bCs/>
        </w:rPr>
        <w:t>Space is provided at the bottom of the label for the handwritten date and optional time</w:t>
      </w:r>
      <w:r>
        <w:rPr>
          <w:b/>
          <w:bCs/>
        </w:rPr>
        <w:t xml:space="preserve">.  </w:t>
      </w:r>
      <w:r w:rsidR="009B2D17" w:rsidRPr="000074D8">
        <w:t>The last line on the example label is for the handwritten date and optional time.</w:t>
      </w:r>
    </w:p>
    <w:p w14:paraId="28A5ACAB" w14:textId="77777777" w:rsidR="009B2D17" w:rsidRPr="000074D8" w:rsidRDefault="009B2D17" w:rsidP="009B2D17"/>
    <w:p w14:paraId="76DDF090" w14:textId="77777777" w:rsidR="009B2D17" w:rsidRPr="00C312CF" w:rsidRDefault="009B2D17" w:rsidP="00C312CF">
      <w:pPr>
        <w:pStyle w:val="Level3Heading"/>
        <w:rPr>
          <w:u w:val="single"/>
        </w:rPr>
      </w:pPr>
      <w:r w:rsidRPr="00C312CF">
        <w:rPr>
          <w:u w:val="single"/>
        </w:rPr>
        <w:t>Overview of Process at Treating Site</w:t>
      </w:r>
    </w:p>
    <w:p w14:paraId="3B62B95A" w14:textId="77777777" w:rsidR="009B2D17" w:rsidRPr="000074D8" w:rsidRDefault="009B2D17" w:rsidP="009B2D17"/>
    <w:p w14:paraId="556D810B" w14:textId="77777777" w:rsidR="009B2D17" w:rsidRPr="000074D8" w:rsidRDefault="009B2D17" w:rsidP="00BC7C83">
      <w:pPr>
        <w:pStyle w:val="Level4Heading"/>
      </w:pPr>
      <w:r w:rsidRPr="000074D8">
        <w:t>OPEN Registration</w:t>
      </w:r>
    </w:p>
    <w:p w14:paraId="64FC6A8C" w14:textId="77777777" w:rsidR="009B2D17" w:rsidRPr="000074D8" w:rsidRDefault="009B2D17" w:rsidP="009B2D17"/>
    <w:p w14:paraId="429057BF" w14:textId="77777777" w:rsidR="009B2D17" w:rsidRPr="000074D8" w:rsidRDefault="009B2D17" w:rsidP="009B2D17">
      <w:r w:rsidRPr="000074D8">
        <w:t xml:space="preserve">All registrations will be performed using the Oncology Patient Enrollment Network (OPEN) system. </w:t>
      </w:r>
      <w:r w:rsidR="00C82C7C" w:rsidRPr="000074D8">
        <w:t xml:space="preserve"> </w:t>
      </w:r>
      <w:r w:rsidRPr="000074D8">
        <w:t>OPEN communicates automatically with the Interactive Web Response System (IWRS) which handles identifier assignments, any study randomization</w:t>
      </w:r>
      <w:r w:rsidR="00C82C7C" w:rsidRPr="000074D8">
        <w:t>,</w:t>
      </w:r>
      <w:r w:rsidRPr="000074D8">
        <w:t xml:space="preserve"> and any prescribed slot assignments. </w:t>
      </w:r>
      <w:r w:rsidR="00C82C7C" w:rsidRPr="000074D8">
        <w:t xml:space="preserve"> </w:t>
      </w:r>
      <w:r w:rsidRPr="000074D8">
        <w:t xml:space="preserve">If specimen analysis is required to determine eligibility, the protocol will be </w:t>
      </w:r>
      <w:proofErr w:type="gramStart"/>
      <w:r w:rsidRPr="000074D8">
        <w:t>setup</w:t>
      </w:r>
      <w:proofErr w:type="gramEnd"/>
      <w:r w:rsidRPr="000074D8">
        <w:t xml:space="preserve"> with multi-step registration.</w:t>
      </w:r>
    </w:p>
    <w:p w14:paraId="6E7027EF" w14:textId="77777777" w:rsidR="009B2D17" w:rsidRPr="000074D8" w:rsidRDefault="009B2D17" w:rsidP="000074D8"/>
    <w:p w14:paraId="5FB8E300" w14:textId="77777777" w:rsidR="009B2D17" w:rsidRDefault="009B2D17" w:rsidP="00A86C53">
      <w:r w:rsidRPr="000074D8">
        <w:t xml:space="preserve">Registration without eligibility specimen analysis: </w:t>
      </w:r>
    </w:p>
    <w:p w14:paraId="52E9557C" w14:textId="77777777" w:rsidR="00A86C53" w:rsidRPr="000074D8" w:rsidRDefault="00A86C53" w:rsidP="000074D8"/>
    <w:p w14:paraId="5C8151C2" w14:textId="77777777" w:rsidR="009B2D17" w:rsidRPr="000074D8" w:rsidRDefault="009B2D17" w:rsidP="00562B10">
      <w:pPr>
        <w:pStyle w:val="ListParagraph"/>
        <w:numPr>
          <w:ilvl w:val="0"/>
          <w:numId w:val="45"/>
        </w:numPr>
      </w:pPr>
      <w:r w:rsidRPr="000074D8">
        <w:t>Site enters registration data into OPEN during one or more steps.</w:t>
      </w:r>
    </w:p>
    <w:p w14:paraId="682A65E7" w14:textId="77777777" w:rsidR="009B2D17" w:rsidRPr="000074D8" w:rsidRDefault="009B2D17" w:rsidP="00562B10">
      <w:pPr>
        <w:pStyle w:val="ListParagraph"/>
        <w:numPr>
          <w:ilvl w:val="0"/>
          <w:numId w:val="45"/>
        </w:numPr>
      </w:pPr>
      <w:r w:rsidRPr="000074D8">
        <w:t>IWRS receives data from OPEN, generates the Patient Study ID and the Universal Patient ID, both of which are sent back to OPEN.</w:t>
      </w:r>
    </w:p>
    <w:p w14:paraId="3D94345F" w14:textId="77777777" w:rsidR="009B2D17" w:rsidRPr="000074D8" w:rsidRDefault="009B2D17" w:rsidP="00562B10">
      <w:pPr>
        <w:pStyle w:val="ListParagraph"/>
        <w:numPr>
          <w:ilvl w:val="0"/>
          <w:numId w:val="45"/>
        </w:numPr>
      </w:pPr>
      <w:r w:rsidRPr="000074D8">
        <w:t>IWRS sends all applicable registration data directly to Rave at the end of the final registration step.</w:t>
      </w:r>
    </w:p>
    <w:p w14:paraId="02D5289E" w14:textId="77777777" w:rsidR="009B2D17" w:rsidRPr="000074D8" w:rsidRDefault="009B2D17" w:rsidP="008A40F5"/>
    <w:p w14:paraId="4683E893" w14:textId="77777777" w:rsidR="009B2D17" w:rsidRPr="000074D8" w:rsidRDefault="009B2D17" w:rsidP="000074D8">
      <w:r w:rsidRPr="000074D8">
        <w:t>Any data entry errors made during enrollment should be corrected in Rave.</w:t>
      </w:r>
    </w:p>
    <w:p w14:paraId="4D7E2B91" w14:textId="77777777" w:rsidR="009B2D17" w:rsidRPr="000074D8" w:rsidRDefault="009B2D17" w:rsidP="009B2D17">
      <w:pPr>
        <w:ind w:left="720"/>
        <w:rPr>
          <w:b/>
        </w:rPr>
      </w:pPr>
    </w:p>
    <w:p w14:paraId="7C5A3430" w14:textId="77777777" w:rsidR="009B2D17" w:rsidRPr="000074D8" w:rsidRDefault="009B2D17" w:rsidP="00BC7C83">
      <w:pPr>
        <w:pStyle w:val="Level4Heading"/>
      </w:pPr>
      <w:r w:rsidRPr="000074D8">
        <w:t>Rave Specimen Tracking Process Steps</w:t>
      </w:r>
    </w:p>
    <w:p w14:paraId="2B90FF76" w14:textId="77777777" w:rsidR="009B2D17" w:rsidRPr="000074D8" w:rsidRDefault="009B2D17" w:rsidP="009B2D17">
      <w:pPr>
        <w:ind w:left="720"/>
        <w:rPr>
          <w:b/>
        </w:rPr>
      </w:pPr>
    </w:p>
    <w:p w14:paraId="1FFC7AF0" w14:textId="77777777" w:rsidR="00822AAC" w:rsidRPr="00F725FF" w:rsidRDefault="00822AAC" w:rsidP="005B2EDC">
      <w:pPr>
        <w:rPr>
          <w:bCs/>
        </w:rPr>
      </w:pPr>
      <w:r w:rsidRPr="00F725FF">
        <w:rPr>
          <w:b/>
        </w:rPr>
        <w:t>Step 0</w:t>
      </w:r>
      <w:r>
        <w:rPr>
          <w:bCs/>
        </w:rPr>
        <w:t>: Log into Rave via your CTEP-IAM account, then navigate to the appropriate participant.</w:t>
      </w:r>
    </w:p>
    <w:p w14:paraId="34050AFA" w14:textId="77777777" w:rsidR="00822AAC" w:rsidRDefault="00822AAC" w:rsidP="00822AAC">
      <w:pPr>
        <w:rPr>
          <w:b/>
        </w:rPr>
      </w:pPr>
    </w:p>
    <w:p w14:paraId="74A52C9A" w14:textId="74DD130E" w:rsidR="009B2D17" w:rsidRPr="000074D8" w:rsidRDefault="009B2D17" w:rsidP="000074D8">
      <w:r w:rsidRPr="000074D8">
        <w:rPr>
          <w:b/>
        </w:rPr>
        <w:t>Step 1</w:t>
      </w:r>
      <w:r w:rsidRPr="000074D8">
        <w:t xml:space="preserve">:  Complete the </w:t>
      </w:r>
      <w:r w:rsidRPr="000074D8">
        <w:rPr>
          <w:b/>
        </w:rPr>
        <w:t>Histology and Disease</w:t>
      </w:r>
      <w:r w:rsidRPr="000074D8">
        <w:t xml:space="preserve"> form (but do not upload reports until a specimen label can be applied to them) and the Baseline forms regarding </w:t>
      </w:r>
      <w:r w:rsidRPr="000074D8">
        <w:rPr>
          <w:b/>
        </w:rPr>
        <w:t>Prior Therapies</w:t>
      </w:r>
      <w:r w:rsidRPr="000074D8">
        <w:t xml:space="preserve">. </w:t>
      </w:r>
      <w:r w:rsidR="00C82C7C" w:rsidRPr="000074D8">
        <w:t xml:space="preserve"> </w:t>
      </w:r>
      <w:r w:rsidRPr="000074D8">
        <w:t xml:space="preserve">Enter the </w:t>
      </w:r>
      <w:r w:rsidRPr="000074D8">
        <w:lastRenderedPageBreak/>
        <w:t xml:space="preserve">initial clinical specimen data: </w:t>
      </w:r>
    </w:p>
    <w:p w14:paraId="7FAD0EDF" w14:textId="77777777" w:rsidR="009B2D17" w:rsidRPr="000074D8" w:rsidRDefault="009B2D17" w:rsidP="00562B10">
      <w:pPr>
        <w:pStyle w:val="ListParagraph"/>
        <w:numPr>
          <w:ilvl w:val="0"/>
          <w:numId w:val="46"/>
        </w:numPr>
      </w:pPr>
      <w:r w:rsidRPr="000074D8">
        <w:rPr>
          <w:b/>
          <w:bCs/>
        </w:rPr>
        <w:t xml:space="preserve">Specimen Tracking Enrollment </w:t>
      </w:r>
      <w:r w:rsidRPr="000074D8">
        <w:rPr>
          <w:bCs/>
        </w:rPr>
        <w:t xml:space="preserve">CRF:  Enter Time Point, Specimen Category, Specimen Type, Block number, Tissue type, Surgical Path ID, </w:t>
      </w:r>
      <w:r w:rsidR="00A86C53">
        <w:rPr>
          <w:bCs/>
        </w:rPr>
        <w:t xml:space="preserve">and </w:t>
      </w:r>
      <w:r w:rsidRPr="000074D8">
        <w:rPr>
          <w:bCs/>
        </w:rPr>
        <w:t xml:space="preserve">number of labels needed (include extra labels to apply to reports to be uploaded). </w:t>
      </w:r>
      <w:r w:rsidR="00C82C7C" w:rsidRPr="000074D8">
        <w:rPr>
          <w:bCs/>
        </w:rPr>
        <w:t xml:space="preserve"> </w:t>
      </w:r>
      <w:r w:rsidRPr="000074D8">
        <w:t xml:space="preserve">CRF generates unique Specimen ID. </w:t>
      </w:r>
    </w:p>
    <w:p w14:paraId="2D2075D4" w14:textId="77777777" w:rsidR="009B2D17" w:rsidRPr="000074D8" w:rsidRDefault="009B2D17" w:rsidP="009B2D17"/>
    <w:p w14:paraId="51550062" w14:textId="7F783475" w:rsidR="009B2D17" w:rsidRPr="000074D8" w:rsidRDefault="009B2D17" w:rsidP="000074D8">
      <w:r w:rsidRPr="000074D8">
        <w:rPr>
          <w:b/>
        </w:rPr>
        <w:t>Step 2</w:t>
      </w:r>
      <w:r w:rsidRPr="000074D8">
        <w:t xml:space="preserve">:  Print labels using </w:t>
      </w:r>
      <w:r w:rsidR="0008204A">
        <w:t xml:space="preserve">the </w:t>
      </w:r>
      <w:r w:rsidR="0008204A" w:rsidRPr="000320FE">
        <w:rPr>
          <w:b/>
          <w:bCs/>
        </w:rPr>
        <w:t>Print Labels</w:t>
      </w:r>
      <w:r w:rsidR="0008204A">
        <w:t xml:space="preserve"> CRF located in the All Specimens folder, then </w:t>
      </w:r>
      <w:r w:rsidRPr="000074D8">
        <w:t>collect specimen.</w:t>
      </w:r>
    </w:p>
    <w:p w14:paraId="2A0E84BF" w14:textId="17FD0D68" w:rsidR="009B2D17" w:rsidRPr="00DF6E9D" w:rsidRDefault="009B2D17" w:rsidP="00562B10">
      <w:pPr>
        <w:pStyle w:val="ListParagraph"/>
        <w:numPr>
          <w:ilvl w:val="0"/>
          <w:numId w:val="46"/>
        </w:numPr>
        <w:rPr>
          <w:b/>
          <w:bCs/>
        </w:rPr>
      </w:pPr>
      <w:r w:rsidRPr="00DF6E9D">
        <w:rPr>
          <w:bCs/>
        </w:rPr>
        <w:t xml:space="preserve">Label specimen containers and write </w:t>
      </w:r>
      <w:r w:rsidRPr="00056CFA">
        <w:rPr>
          <w:bCs/>
          <w:color w:val="auto"/>
        </w:rPr>
        <w:t>collection date</w:t>
      </w:r>
      <w:r w:rsidR="00463276" w:rsidRPr="00056CFA">
        <w:rPr>
          <w:bCs/>
          <w:color w:val="auto"/>
        </w:rPr>
        <w:t xml:space="preserve"> (all specimens)</w:t>
      </w:r>
      <w:r w:rsidR="00C037E0" w:rsidRPr="00056CFA">
        <w:rPr>
          <w:bCs/>
          <w:color w:val="auto"/>
        </w:rPr>
        <w:t xml:space="preserve"> and time (</w:t>
      </w:r>
      <w:r w:rsidR="003856A0" w:rsidRPr="00056CFA">
        <w:rPr>
          <w:bCs/>
          <w:color w:val="auto"/>
        </w:rPr>
        <w:t xml:space="preserve">for </w:t>
      </w:r>
      <w:r w:rsidR="00463276" w:rsidRPr="00056CFA">
        <w:rPr>
          <w:bCs/>
          <w:color w:val="auto"/>
        </w:rPr>
        <w:t>PK plasma and CSF specimens</w:t>
      </w:r>
      <w:r w:rsidR="003856A0" w:rsidRPr="00056CFA">
        <w:rPr>
          <w:bCs/>
          <w:color w:val="auto"/>
        </w:rPr>
        <w:t xml:space="preserve"> only</w:t>
      </w:r>
      <w:r w:rsidR="00463276" w:rsidRPr="00056CFA">
        <w:rPr>
          <w:bCs/>
          <w:color w:val="auto"/>
        </w:rPr>
        <w:t>)</w:t>
      </w:r>
      <w:r w:rsidRPr="00056CFA">
        <w:rPr>
          <w:i/>
          <w:iCs/>
          <w:color w:val="auto"/>
        </w:rPr>
        <w:t xml:space="preserve"> </w:t>
      </w:r>
      <w:r w:rsidRPr="00056CFA">
        <w:rPr>
          <w:bCs/>
          <w:color w:val="auto"/>
        </w:rPr>
        <w:t xml:space="preserve">on each </w:t>
      </w:r>
      <w:r w:rsidRPr="00DF6E9D">
        <w:rPr>
          <w:bCs/>
        </w:rPr>
        <w:t>label.</w:t>
      </w:r>
      <w:r w:rsidR="00DF6E9D" w:rsidRPr="00DF6E9D" w:rsidDel="00941103">
        <w:rPr>
          <w:bCs/>
        </w:rPr>
        <w:t xml:space="preserve"> </w:t>
      </w:r>
      <w:r w:rsidR="00DF6E9D">
        <w:rPr>
          <w:bCs/>
        </w:rPr>
        <w:t xml:space="preserve"> </w:t>
      </w:r>
      <w:r w:rsidRPr="000074D8">
        <w:t>After collection, store labeled specimens</w:t>
      </w:r>
      <w:r w:rsidRPr="00DF6E9D">
        <w:rPr>
          <w:b/>
          <w:bCs/>
        </w:rPr>
        <w:t xml:space="preserve"> </w:t>
      </w:r>
      <w:r w:rsidRPr="00DF6E9D">
        <w:rPr>
          <w:bCs/>
        </w:rPr>
        <w:t>as described in Section 5.</w:t>
      </w:r>
      <w:r w:rsidR="009C1DFB">
        <w:rPr>
          <w:bCs/>
        </w:rPr>
        <w:t>5</w:t>
      </w:r>
      <w:r w:rsidRPr="00DF6E9D">
        <w:rPr>
          <w:bCs/>
        </w:rPr>
        <w:t>.</w:t>
      </w:r>
    </w:p>
    <w:p w14:paraId="0A075DB8" w14:textId="56009970" w:rsidR="009B2D17" w:rsidRPr="00B168A0" w:rsidRDefault="009B2D17" w:rsidP="00562B10">
      <w:pPr>
        <w:pStyle w:val="ListParagraph"/>
        <w:numPr>
          <w:ilvl w:val="0"/>
          <w:numId w:val="46"/>
        </w:numPr>
        <w:rPr>
          <w:b/>
        </w:rPr>
      </w:pPr>
      <w:r w:rsidRPr="000074D8">
        <w:rPr>
          <w:bCs/>
        </w:rPr>
        <w:t xml:space="preserve">Apply an extra specimen label to </w:t>
      </w:r>
      <w:r w:rsidRPr="000074D8">
        <w:rPr>
          <w:bCs/>
          <w:i/>
          <w:u w:val="single"/>
        </w:rPr>
        <w:t>each</w:t>
      </w:r>
      <w:r w:rsidRPr="000074D8">
        <w:rPr>
          <w:bCs/>
        </w:rPr>
        <w:t xml:space="preserve"> report before scanning. </w:t>
      </w:r>
      <w:r w:rsidR="00C82C7C" w:rsidRPr="000074D8">
        <w:rPr>
          <w:bCs/>
        </w:rPr>
        <w:t xml:space="preserve"> </w:t>
      </w:r>
      <w:r w:rsidRPr="000074D8">
        <w:rPr>
          <w:bCs/>
        </w:rPr>
        <w:t xml:space="preserve">Return to the </w:t>
      </w:r>
      <w:r w:rsidRPr="000074D8">
        <w:rPr>
          <w:b/>
          <w:bCs/>
        </w:rPr>
        <w:t>Histology and Disease</w:t>
      </w:r>
      <w:r w:rsidRPr="000074D8">
        <w:rPr>
          <w:bCs/>
        </w:rPr>
        <w:t xml:space="preserve"> form to </w:t>
      </w:r>
      <w:r w:rsidRPr="000074D8">
        <w:t>upload any initial Pathology, Radiology,</w:t>
      </w:r>
      <w:r w:rsidR="002E0A9A">
        <w:t xml:space="preserve"> </w:t>
      </w:r>
      <w:r w:rsidRPr="000074D8">
        <w:t xml:space="preserve">Molecular Reports (up to 4), </w:t>
      </w:r>
      <w:r w:rsidR="00EA07D6">
        <w:t xml:space="preserve">and </w:t>
      </w:r>
      <w:r w:rsidRPr="000074D8">
        <w:t xml:space="preserve">Surgical </w:t>
      </w:r>
      <w:r w:rsidR="00874D3E">
        <w:t xml:space="preserve">(or Operative) </w:t>
      </w:r>
      <w:r w:rsidRPr="000074D8">
        <w:t xml:space="preserve">reports. </w:t>
      </w:r>
      <w:r w:rsidR="00C82C7C" w:rsidRPr="000074D8">
        <w:t xml:space="preserve"> </w:t>
      </w:r>
      <w:r w:rsidRPr="000074D8">
        <w:t xml:space="preserve">Return to </w:t>
      </w:r>
      <w:r w:rsidRPr="000074D8">
        <w:rPr>
          <w:b/>
        </w:rPr>
        <w:t>Specimen Tracking Enrollment</w:t>
      </w:r>
      <w:r w:rsidRPr="000074D8">
        <w:t xml:space="preserve"> CRF to upload </w:t>
      </w:r>
      <w:r w:rsidRPr="000074D8">
        <w:rPr>
          <w:bCs/>
        </w:rPr>
        <w:t>any molecular report (one per specimen) and/or specimen specific pathology or related report (one per specimen)</w:t>
      </w:r>
      <w:r w:rsidR="00EA07D6">
        <w:rPr>
          <w:bCs/>
        </w:rPr>
        <w:t xml:space="preserve"> and/or the Tissue Biopsy Verification form (when applicable)</w:t>
      </w:r>
      <w:r w:rsidRPr="000074D8">
        <w:rPr>
          <w:bCs/>
        </w:rPr>
        <w:t>.  Uploaded reports should have</w:t>
      </w:r>
      <w:r w:rsidR="00C82C7C" w:rsidRPr="000074D8">
        <w:rPr>
          <w:bCs/>
        </w:rPr>
        <w:t xml:space="preserve"> protected health information</w:t>
      </w:r>
      <w:r w:rsidRPr="000074D8">
        <w:rPr>
          <w:bCs/>
        </w:rPr>
        <w:t xml:space="preserve"> </w:t>
      </w:r>
      <w:r w:rsidR="00C82C7C" w:rsidRPr="000074D8">
        <w:rPr>
          <w:bCs/>
        </w:rPr>
        <w:t>(</w:t>
      </w:r>
      <w:r w:rsidRPr="000074D8">
        <w:rPr>
          <w:bCs/>
        </w:rPr>
        <w:t>PHI</w:t>
      </w:r>
      <w:r w:rsidR="00C82C7C" w:rsidRPr="000074D8">
        <w:rPr>
          <w:bCs/>
        </w:rPr>
        <w:t>)</w:t>
      </w:r>
      <w:r w:rsidRPr="000074D8">
        <w:rPr>
          <w:bCs/>
        </w:rPr>
        <w:t xml:space="preserve"> data, like name, </w:t>
      </w:r>
      <w:r w:rsidR="00DF7E08">
        <w:rPr>
          <w:bCs/>
        </w:rPr>
        <w:t xml:space="preserve">date of birth, </w:t>
      </w:r>
      <w:r w:rsidRPr="000074D8">
        <w:rPr>
          <w:bCs/>
        </w:rPr>
        <w:t xml:space="preserve">mailing address, medical record number or </w:t>
      </w:r>
      <w:r w:rsidR="00C82C7C" w:rsidRPr="000074D8">
        <w:rPr>
          <w:bCs/>
        </w:rPr>
        <w:t>social security number (</w:t>
      </w:r>
      <w:r w:rsidRPr="000074D8">
        <w:rPr>
          <w:bCs/>
        </w:rPr>
        <w:t>SSN</w:t>
      </w:r>
      <w:r w:rsidR="00C82C7C" w:rsidRPr="000074D8">
        <w:rPr>
          <w:bCs/>
        </w:rPr>
        <w:t>)</w:t>
      </w:r>
      <w:r w:rsidRPr="000074D8">
        <w:rPr>
          <w:bCs/>
        </w:rPr>
        <w:t>, redacted</w:t>
      </w:r>
      <w:r w:rsidRPr="00D15854">
        <w:rPr>
          <w:b/>
        </w:rPr>
        <w:t xml:space="preserve">. </w:t>
      </w:r>
      <w:r w:rsidR="00C82C7C" w:rsidRPr="00D15854">
        <w:rPr>
          <w:b/>
        </w:rPr>
        <w:t xml:space="preserve"> </w:t>
      </w:r>
      <w:r w:rsidRPr="00D15854">
        <w:rPr>
          <w:b/>
        </w:rPr>
        <w:t>Do not redact SPID, block number</w:t>
      </w:r>
      <w:r w:rsidR="004B00F8" w:rsidRPr="00D15854">
        <w:rPr>
          <w:b/>
        </w:rPr>
        <w:t>, diagnosis</w:t>
      </w:r>
      <w:r w:rsidRPr="00D15854">
        <w:rPr>
          <w:b/>
        </w:rPr>
        <w:t xml:space="preserve"> or relevant </w:t>
      </w:r>
      <w:r w:rsidR="00DF6E9D" w:rsidRPr="00D15854">
        <w:rPr>
          <w:b/>
        </w:rPr>
        <w:t xml:space="preserve">dates (such as collection date), </w:t>
      </w:r>
      <w:r w:rsidR="00874D3E" w:rsidRPr="00D15854">
        <w:rPr>
          <w:b/>
        </w:rPr>
        <w:t>and include the UPID and patient study ID on each document</w:t>
      </w:r>
      <w:r w:rsidR="00210CA0">
        <w:rPr>
          <w:bCs/>
        </w:rPr>
        <w:t xml:space="preserve"> (either by adding a label or </w:t>
      </w:r>
      <w:proofErr w:type="gramStart"/>
      <w:r w:rsidR="00210CA0">
        <w:rPr>
          <w:bCs/>
        </w:rPr>
        <w:t>hand writing</w:t>
      </w:r>
      <w:proofErr w:type="gramEnd"/>
      <w:r w:rsidR="00210CA0">
        <w:rPr>
          <w:bCs/>
        </w:rPr>
        <w:t>)</w:t>
      </w:r>
      <w:r w:rsidRPr="00210CA0">
        <w:rPr>
          <w:bCs/>
        </w:rPr>
        <w:t xml:space="preserve">. </w:t>
      </w:r>
    </w:p>
    <w:p w14:paraId="57A31683" w14:textId="77777777" w:rsidR="009B2D17" w:rsidRPr="000074D8" w:rsidRDefault="009B2D17" w:rsidP="000074D8"/>
    <w:p w14:paraId="26A3820C" w14:textId="77777777" w:rsidR="009B2D17" w:rsidRPr="000074D8" w:rsidRDefault="009B2D17" w:rsidP="000074D8">
      <w:r w:rsidRPr="000074D8">
        <w:rPr>
          <w:b/>
        </w:rPr>
        <w:t>Step 3</w:t>
      </w:r>
      <w:r w:rsidRPr="000074D8">
        <w:t>:  Complete specimen data entry.</w:t>
      </w:r>
    </w:p>
    <w:p w14:paraId="66A892FC" w14:textId="6C7A92A7" w:rsidR="002856D0" w:rsidRPr="000074D8" w:rsidRDefault="009B2D17" w:rsidP="00562B10">
      <w:pPr>
        <w:pStyle w:val="ListParagraph"/>
        <w:numPr>
          <w:ilvl w:val="0"/>
          <w:numId w:val="47"/>
        </w:numPr>
      </w:pPr>
      <w:r w:rsidRPr="000074D8">
        <w:rPr>
          <w:b/>
        </w:rPr>
        <w:t xml:space="preserve">Specimen Transmittal </w:t>
      </w:r>
      <w:r w:rsidRPr="000074D8">
        <w:t xml:space="preserve">Form: </w:t>
      </w:r>
      <w:r w:rsidR="00C82C7C" w:rsidRPr="000074D8">
        <w:t xml:space="preserve"> </w:t>
      </w:r>
      <w:r w:rsidRPr="000074D8">
        <w:t xml:space="preserve">Enter </w:t>
      </w:r>
      <w:r w:rsidR="00C82C7C" w:rsidRPr="000074D8">
        <w:t>c</w:t>
      </w:r>
      <w:r w:rsidRPr="000074D8">
        <w:t>ollection date and time and other required specimen details.</w:t>
      </w:r>
    </w:p>
    <w:p w14:paraId="2588ABAB" w14:textId="77777777" w:rsidR="009B2D17" w:rsidRPr="000074D8" w:rsidRDefault="009B2D17" w:rsidP="000074D8"/>
    <w:p w14:paraId="072E9212" w14:textId="77777777" w:rsidR="009B2D17" w:rsidRPr="000074D8" w:rsidRDefault="009B2D17" w:rsidP="000074D8">
      <w:r w:rsidRPr="000074D8">
        <w:rPr>
          <w:b/>
        </w:rPr>
        <w:t>Step 4</w:t>
      </w:r>
      <w:r w:rsidRPr="000074D8">
        <w:t>:  When ready to ship, enter shipment information.</w:t>
      </w:r>
    </w:p>
    <w:p w14:paraId="20A672F0" w14:textId="40E1FAAB" w:rsidR="009B2D17" w:rsidRPr="000074D8" w:rsidRDefault="009B2D17" w:rsidP="00562B10">
      <w:pPr>
        <w:pStyle w:val="ListParagraph"/>
        <w:numPr>
          <w:ilvl w:val="0"/>
          <w:numId w:val="47"/>
        </w:numPr>
      </w:pPr>
      <w:r w:rsidRPr="000074D8">
        <w:rPr>
          <w:b/>
          <w:bCs/>
        </w:rPr>
        <w:t xml:space="preserve">Shipping Status </w:t>
      </w:r>
      <w:r w:rsidRPr="000074D8">
        <w:rPr>
          <w:bCs/>
        </w:rPr>
        <w:t xml:space="preserve">CRF:  </w:t>
      </w:r>
      <w:r w:rsidRPr="000074D8">
        <w:t xml:space="preserve">Enter tracking number, your contact information, recipient, number of </w:t>
      </w:r>
      <w:r w:rsidR="0016000B">
        <w:t xml:space="preserve">sample </w:t>
      </w:r>
      <w:r w:rsidRPr="000074D8">
        <w:t xml:space="preserve">containers and ship date once for the </w:t>
      </w:r>
      <w:r w:rsidR="00A86C53">
        <w:t>first</w:t>
      </w:r>
      <w:r w:rsidRPr="000074D8">
        <w:t xml:space="preserve"> specimen in a shipment.</w:t>
      </w:r>
    </w:p>
    <w:p w14:paraId="4CEB95C0" w14:textId="31864D24" w:rsidR="009B2D17" w:rsidRPr="00D4297B" w:rsidRDefault="009B2D17" w:rsidP="00562B10">
      <w:pPr>
        <w:pStyle w:val="ListParagraph"/>
        <w:numPr>
          <w:ilvl w:val="0"/>
          <w:numId w:val="47"/>
        </w:numPr>
      </w:pPr>
      <w:r w:rsidRPr="0016000B">
        <w:rPr>
          <w:b/>
          <w:bCs/>
        </w:rPr>
        <w:t xml:space="preserve">Copy Shipping </w:t>
      </w:r>
      <w:r w:rsidRPr="0016000B">
        <w:rPr>
          <w:bCs/>
        </w:rPr>
        <w:t xml:space="preserve">CRF:  </w:t>
      </w:r>
      <w:r w:rsidR="0016000B">
        <w:t>In the specimen folders for</w:t>
      </w:r>
      <w:r w:rsidR="0016000B" w:rsidRPr="0065733D">
        <w:t xml:space="preserve"> additional specimens</w:t>
      </w:r>
      <w:r w:rsidR="0016000B">
        <w:t xml:space="preserve"> (if any) that will be shipped with the initial specimen, please use the </w:t>
      </w:r>
      <w:r w:rsidR="0016000B" w:rsidRPr="0016000B">
        <w:rPr>
          <w:b/>
          <w:bCs/>
        </w:rPr>
        <w:t>Copy Shipping</w:t>
      </w:r>
      <w:r w:rsidR="0016000B">
        <w:t xml:space="preserve"> form</w:t>
      </w:r>
      <w:r w:rsidR="0016000B" w:rsidRPr="0065733D">
        <w:t xml:space="preserve"> to </w:t>
      </w:r>
      <w:r w:rsidR="0016000B">
        <w:t xml:space="preserve">derive common data into additional </w:t>
      </w:r>
      <w:r w:rsidR="0016000B" w:rsidRPr="0016000B">
        <w:rPr>
          <w:b/>
          <w:bCs/>
        </w:rPr>
        <w:t>Shipping Status</w:t>
      </w:r>
      <w:r w:rsidR="0016000B">
        <w:t xml:space="preserve"> forms. A few unique fields will still need to be entered in </w:t>
      </w:r>
      <w:r w:rsidR="0016000B" w:rsidRPr="0016000B">
        <w:rPr>
          <w:b/>
          <w:bCs/>
        </w:rPr>
        <w:t xml:space="preserve">Shipping Status.  </w:t>
      </w:r>
    </w:p>
    <w:p w14:paraId="084A22DE" w14:textId="77777777" w:rsidR="00D4297B" w:rsidRPr="000074D8" w:rsidRDefault="00D4297B" w:rsidP="00D4297B">
      <w:pPr>
        <w:pStyle w:val="ListParagraph"/>
      </w:pPr>
    </w:p>
    <w:p w14:paraId="04DCC397" w14:textId="77777777" w:rsidR="009B2D17" w:rsidRPr="000074D8" w:rsidRDefault="009B2D17" w:rsidP="000074D8">
      <w:r w:rsidRPr="000074D8">
        <w:rPr>
          <w:b/>
        </w:rPr>
        <w:t>Step 5</w:t>
      </w:r>
      <w:r w:rsidRPr="000074D8">
        <w:t xml:space="preserve">:  Print shipping list report and prepare to ship. </w:t>
      </w:r>
    </w:p>
    <w:p w14:paraId="7305C867" w14:textId="77777777" w:rsidR="0016000B" w:rsidRDefault="0016000B" w:rsidP="00562B10">
      <w:pPr>
        <w:pStyle w:val="ListParagraph"/>
        <w:numPr>
          <w:ilvl w:val="0"/>
          <w:numId w:val="48"/>
        </w:numPr>
      </w:pPr>
      <w:r w:rsidRPr="00AF0B1B">
        <w:t>Shipping List report is available at the site level.</w:t>
      </w:r>
    </w:p>
    <w:p w14:paraId="24482D5B" w14:textId="457F0831" w:rsidR="009B2D17" w:rsidRPr="000074D8" w:rsidRDefault="009B2D17" w:rsidP="00562B10">
      <w:pPr>
        <w:pStyle w:val="ListParagraph"/>
        <w:numPr>
          <w:ilvl w:val="0"/>
          <w:numId w:val="48"/>
        </w:numPr>
      </w:pPr>
      <w:r w:rsidRPr="000074D8">
        <w:t>Print two copies of the shipping list, one to provide in the box, the other for your own records.</w:t>
      </w:r>
    </w:p>
    <w:p w14:paraId="0000CA10" w14:textId="77777777" w:rsidR="009B2D17" w:rsidRPr="000074D8" w:rsidRDefault="009B2D17" w:rsidP="00562B10">
      <w:pPr>
        <w:pStyle w:val="ListParagraph"/>
        <w:numPr>
          <w:ilvl w:val="0"/>
          <w:numId w:val="48"/>
        </w:numPr>
      </w:pPr>
      <w:r w:rsidRPr="000074D8">
        <w:t xml:space="preserve">Print pathology or other required reports to include in the box. </w:t>
      </w:r>
      <w:r w:rsidR="00C82C7C" w:rsidRPr="000074D8">
        <w:t xml:space="preserve"> </w:t>
      </w:r>
      <w:r w:rsidRPr="000074D8">
        <w:t>Be sure the printed copy includes the specimen label.</w:t>
      </w:r>
    </w:p>
    <w:p w14:paraId="39547EA9" w14:textId="77777777" w:rsidR="009B2D17" w:rsidRPr="000074D8" w:rsidRDefault="009B2D17" w:rsidP="000074D8"/>
    <w:p w14:paraId="798BF1BC" w14:textId="77777777" w:rsidR="009B2D17" w:rsidRPr="000074D8" w:rsidRDefault="009B2D17" w:rsidP="000074D8">
      <w:r w:rsidRPr="000074D8">
        <w:rPr>
          <w:b/>
        </w:rPr>
        <w:t>Step 6</w:t>
      </w:r>
      <w:r w:rsidRPr="000074D8">
        <w:t xml:space="preserve">: </w:t>
      </w:r>
      <w:proofErr w:type="gramStart"/>
      <w:r w:rsidRPr="000074D8">
        <w:t xml:space="preserve"> Send</w:t>
      </w:r>
      <w:proofErr w:type="gramEnd"/>
      <w:r w:rsidRPr="000074D8">
        <w:t xml:space="preserve"> email notification. </w:t>
      </w:r>
    </w:p>
    <w:p w14:paraId="08C5A6D9" w14:textId="77777777" w:rsidR="009B2D17" w:rsidRPr="000074D8" w:rsidRDefault="009B2D17" w:rsidP="00562B10">
      <w:pPr>
        <w:pStyle w:val="ListParagraph"/>
        <w:numPr>
          <w:ilvl w:val="0"/>
          <w:numId w:val="49"/>
        </w:numPr>
      </w:pPr>
      <w:r w:rsidRPr="000074D8">
        <w:t xml:space="preserve">For only one of the specimens in the shipment, click “Send Email Alert” checkbox on the </w:t>
      </w:r>
      <w:r w:rsidRPr="000074D8">
        <w:rPr>
          <w:b/>
          <w:bCs/>
        </w:rPr>
        <w:t xml:space="preserve">Shipping Status </w:t>
      </w:r>
      <w:r w:rsidRPr="000074D8">
        <w:rPr>
          <w:bCs/>
        </w:rPr>
        <w:t>CRF</w:t>
      </w:r>
      <w:r w:rsidRPr="000074D8">
        <w:rPr>
          <w:b/>
          <w:bCs/>
        </w:rPr>
        <w:t xml:space="preserve"> </w:t>
      </w:r>
      <w:r w:rsidRPr="000074D8">
        <w:t>to email recipient.</w:t>
      </w:r>
    </w:p>
    <w:p w14:paraId="219E7587" w14:textId="77777777" w:rsidR="009B2D17" w:rsidRPr="000074D8" w:rsidRDefault="009B2D17" w:rsidP="0054278E"/>
    <w:p w14:paraId="570F7357" w14:textId="7CCBFAE7" w:rsidR="009B2D17" w:rsidRDefault="009B2D17" w:rsidP="000074D8">
      <w:r w:rsidRPr="000074D8">
        <w:rPr>
          <w:b/>
        </w:rPr>
        <w:lastRenderedPageBreak/>
        <w:t>Step 7:</w:t>
      </w:r>
      <w:r w:rsidRPr="000074D8">
        <w:t xml:space="preserve">  Ship the specimen(s).</w:t>
      </w:r>
    </w:p>
    <w:p w14:paraId="3865664E" w14:textId="269F7C2E" w:rsidR="0016000B" w:rsidRDefault="0016000B" w:rsidP="000074D8"/>
    <w:p w14:paraId="657293B0" w14:textId="77777777" w:rsidR="0016000B" w:rsidRPr="0065733D" w:rsidRDefault="0016000B" w:rsidP="005B2EDC">
      <w:r w:rsidRPr="00AC2922">
        <w:rPr>
          <w:b/>
          <w:bCs/>
        </w:rPr>
        <w:t>Step 8</w:t>
      </w:r>
      <w:r>
        <w:t>: Monitor the Receiving Status form located in each specimen folder for acknowledgment of receipt and adequacy.</w:t>
      </w:r>
    </w:p>
    <w:p w14:paraId="06C8AC65" w14:textId="77777777" w:rsidR="003C59A4" w:rsidRDefault="003C59A4" w:rsidP="003C59A4"/>
    <w:p w14:paraId="5B8A65B9" w14:textId="149177B7" w:rsidR="00C82C7C" w:rsidRDefault="00C82C7C" w:rsidP="00C94562">
      <w:pPr>
        <w:pStyle w:val="Heading2"/>
      </w:pPr>
      <w:bookmarkStart w:id="58" w:name="_Toc176419908"/>
      <w:r>
        <w:t>Specimen Collection</w:t>
      </w:r>
      <w:bookmarkEnd w:id="58"/>
      <w:r>
        <w:t xml:space="preserve"> </w:t>
      </w:r>
    </w:p>
    <w:p w14:paraId="5F22620E" w14:textId="77777777" w:rsidR="006561F6" w:rsidRPr="006561F6" w:rsidRDefault="006561F6" w:rsidP="001F52E9">
      <w:pPr>
        <w:rPr>
          <w:bCs/>
          <w:i/>
          <w:color w:val="000000" w:themeColor="text1"/>
          <w:highlight w:val="lightGray"/>
          <w:u w:val="single" w:color="0B4CB4"/>
        </w:rPr>
      </w:pPr>
    </w:p>
    <w:p w14:paraId="1814D1E3" w14:textId="3DCAD25A" w:rsidR="00C82C7C" w:rsidRPr="00995110" w:rsidRDefault="00C82C7C" w:rsidP="00C312CF">
      <w:pPr>
        <w:pStyle w:val="Level3Heading"/>
        <w:rPr>
          <w:u w:val="single"/>
        </w:rPr>
      </w:pPr>
      <w:r w:rsidRPr="00995110">
        <w:rPr>
          <w:u w:val="single"/>
        </w:rPr>
        <w:t xml:space="preserve">Archival or Formalin-Fixed Paraffin-Embedded (FFPE) Tumor Specimen </w:t>
      </w:r>
      <w:r w:rsidR="00EF04D4">
        <w:rPr>
          <w:u w:val="single"/>
        </w:rPr>
        <w:t>(EET Biobank)</w:t>
      </w:r>
    </w:p>
    <w:p w14:paraId="71C49D72" w14:textId="77777777" w:rsidR="00C82C7C" w:rsidRPr="00995110" w:rsidRDefault="00C82C7C" w:rsidP="000074D8">
      <w:pPr>
        <w:ind w:left="720"/>
        <w:rPr>
          <w:rFonts w:cs="Calibri"/>
          <w:bCs/>
          <w:i/>
          <w:iCs/>
          <w:color w:val="000000" w:themeColor="text1"/>
          <w:u w:color="0B4CB4"/>
        </w:rPr>
      </w:pPr>
    </w:p>
    <w:p w14:paraId="1ED91028" w14:textId="77777777" w:rsidR="00C82C7C" w:rsidRPr="00995110" w:rsidRDefault="00C82C7C" w:rsidP="000074D8">
      <w:pPr>
        <w:rPr>
          <w:iCs/>
        </w:rPr>
      </w:pPr>
      <w:r w:rsidRPr="00995110">
        <w:rPr>
          <w:iCs/>
        </w:rPr>
        <w:t>If previously-collected FFPE tissue will be submitted, then the following criteria must be met:</w:t>
      </w:r>
    </w:p>
    <w:p w14:paraId="084D9E2F" w14:textId="77777777" w:rsidR="00C82C7C" w:rsidRPr="00995110" w:rsidRDefault="00C82C7C" w:rsidP="000074D8">
      <w:pPr>
        <w:ind w:left="720"/>
        <w:rPr>
          <w:rFonts w:cs="Calibri"/>
          <w:bCs/>
          <w:iCs/>
          <w:color w:val="000000" w:themeColor="text1"/>
          <w:u w:color="0B4CB4"/>
        </w:rPr>
      </w:pPr>
    </w:p>
    <w:p w14:paraId="24BA27C6" w14:textId="154B5518" w:rsidR="00C82C7C" w:rsidRPr="00995110" w:rsidRDefault="00C82C7C" w:rsidP="00562B10">
      <w:pPr>
        <w:pStyle w:val="ListParagraph"/>
        <w:numPr>
          <w:ilvl w:val="0"/>
          <w:numId w:val="49"/>
        </w:numPr>
        <w:rPr>
          <w:iCs/>
          <w:u w:color="0B4CB4"/>
          <w:lang w:val="de-DE"/>
        </w:rPr>
      </w:pPr>
      <w:r w:rsidRPr="00995110">
        <w:rPr>
          <w:iCs/>
          <w:u w:color="0B4CB4"/>
          <w:lang w:val="de-DE"/>
        </w:rPr>
        <w:t>Tissue</w:t>
      </w:r>
      <w:r w:rsidR="00C111A5">
        <w:rPr>
          <w:iCs/>
          <w:u w:color="0B4CB4"/>
          <w:lang w:val="de-DE"/>
        </w:rPr>
        <w:t xml:space="preserve"> from initial diagnosis or recurrence is acceptable</w:t>
      </w:r>
      <w:r w:rsidR="00064032">
        <w:rPr>
          <w:iCs/>
          <w:u w:color="0B4CB4"/>
          <w:lang w:val="de-DE"/>
        </w:rPr>
        <w:t>. Please submit the most recent archival tissue that is av</w:t>
      </w:r>
      <w:r w:rsidR="00185D05">
        <w:rPr>
          <w:iCs/>
          <w:u w:color="0B4CB4"/>
          <w:lang w:val="de-DE"/>
        </w:rPr>
        <w:t>a</w:t>
      </w:r>
      <w:r w:rsidR="00064032">
        <w:rPr>
          <w:iCs/>
          <w:u w:color="0B4CB4"/>
          <w:lang w:val="de-DE"/>
        </w:rPr>
        <w:t xml:space="preserve">ilable. </w:t>
      </w:r>
      <w:r w:rsidR="00CD15DA">
        <w:rPr>
          <w:iCs/>
          <w:u w:color="0B4CB4"/>
          <w:lang w:val="de-DE"/>
        </w:rPr>
        <w:t xml:space="preserve">While not required, </w:t>
      </w:r>
      <w:r w:rsidR="0085518C">
        <w:rPr>
          <w:iCs/>
          <w:u w:color="0B4CB4"/>
          <w:lang w:val="de-DE"/>
        </w:rPr>
        <w:t>it is preferable if the tissue submitted was collected &lt; 6 months from registration for optimum assay results.</w:t>
      </w:r>
      <w:r w:rsidRPr="00995110">
        <w:rPr>
          <w:iCs/>
          <w:u w:color="0B4CB4"/>
          <w:lang w:val="de-DE"/>
        </w:rPr>
        <w:t xml:space="preserve"> </w:t>
      </w:r>
    </w:p>
    <w:p w14:paraId="1494A156" w14:textId="734E5551" w:rsidR="00C82C7C" w:rsidRPr="00995110" w:rsidRDefault="003C6502" w:rsidP="00562B10">
      <w:pPr>
        <w:pStyle w:val="ListParagraph"/>
        <w:numPr>
          <w:ilvl w:val="0"/>
          <w:numId w:val="49"/>
        </w:numPr>
        <w:rPr>
          <w:lang w:val="de-DE"/>
        </w:rPr>
      </w:pPr>
      <w:r w:rsidRPr="38BD9B94">
        <w:rPr>
          <w:lang w:val="de-DE"/>
        </w:rPr>
        <w:t>FFPE</w:t>
      </w:r>
      <w:r w:rsidR="00C82C7C" w:rsidRPr="38BD9B94">
        <w:rPr>
          <w:lang w:val="de-DE"/>
        </w:rPr>
        <w:t xml:space="preserve"> tumor tissue block(s) must be submitted.  The optimal block is at least 70% tumor.  Specimen size requirement is as follows:</w:t>
      </w:r>
    </w:p>
    <w:p w14:paraId="24FE21E2" w14:textId="77777777" w:rsidR="00C82C7C" w:rsidRPr="00995110" w:rsidRDefault="00C82C7C" w:rsidP="00562B10">
      <w:pPr>
        <w:pStyle w:val="ListParagraph"/>
        <w:numPr>
          <w:ilvl w:val="1"/>
          <w:numId w:val="49"/>
        </w:numPr>
        <w:rPr>
          <w:iCs/>
          <w:u w:color="0B4CB4"/>
          <w:lang w:val="de-DE"/>
        </w:rPr>
      </w:pPr>
      <w:r w:rsidRPr="00995110">
        <w:rPr>
          <w:iCs/>
          <w:u w:color="0B4CB4"/>
          <w:lang w:val="de-DE"/>
        </w:rPr>
        <w:t>Surface area:  25 mm</w:t>
      </w:r>
      <w:r w:rsidRPr="00995110">
        <w:rPr>
          <w:iCs/>
          <w:u w:color="0B4CB4"/>
          <w:vertAlign w:val="superscript"/>
          <w:lang w:val="de-DE"/>
        </w:rPr>
        <w:t>2</w:t>
      </w:r>
      <w:r w:rsidRPr="00995110">
        <w:rPr>
          <w:iCs/>
          <w:u w:color="0B4CB4"/>
          <w:lang w:val="de-DE"/>
        </w:rPr>
        <w:t xml:space="preserve"> is optimal.  Minimum is 5 mm</w:t>
      </w:r>
      <w:r w:rsidRPr="00995110">
        <w:rPr>
          <w:iCs/>
          <w:u w:color="0B4CB4"/>
          <w:vertAlign w:val="superscript"/>
          <w:lang w:val="de-DE"/>
        </w:rPr>
        <w:t>2</w:t>
      </w:r>
      <w:r w:rsidRPr="00995110">
        <w:rPr>
          <w:iCs/>
          <w:u w:color="0B4CB4"/>
          <w:lang w:val="de-DE"/>
        </w:rPr>
        <w:t>.</w:t>
      </w:r>
    </w:p>
    <w:p w14:paraId="44669313" w14:textId="77777777" w:rsidR="00C82C7C" w:rsidRPr="00995110" w:rsidRDefault="00C82C7C" w:rsidP="00562B10">
      <w:pPr>
        <w:pStyle w:val="ListParagraph"/>
        <w:numPr>
          <w:ilvl w:val="1"/>
          <w:numId w:val="49"/>
        </w:numPr>
        <w:rPr>
          <w:iCs/>
          <w:u w:color="0B4CB4"/>
          <w:lang w:val="de-DE"/>
        </w:rPr>
      </w:pPr>
      <w:r w:rsidRPr="00995110">
        <w:rPr>
          <w:iCs/>
          <w:u w:color="0B4CB4"/>
          <w:lang w:val="de-DE"/>
        </w:rPr>
        <w:t>Volume:  1 mm</w:t>
      </w:r>
      <w:r w:rsidRPr="00995110">
        <w:rPr>
          <w:iCs/>
          <w:u w:color="0B4CB4"/>
          <w:vertAlign w:val="superscript"/>
          <w:lang w:val="de-DE"/>
        </w:rPr>
        <w:t>3</w:t>
      </w:r>
      <w:r w:rsidRPr="00995110">
        <w:rPr>
          <w:iCs/>
          <w:u w:color="0B4CB4"/>
          <w:lang w:val="de-DE"/>
        </w:rPr>
        <w:t xml:space="preserve"> optimal.  Minimum volume is 0.2 mm</w:t>
      </w:r>
      <w:r w:rsidRPr="00995110">
        <w:rPr>
          <w:iCs/>
          <w:u w:color="0B4CB4"/>
          <w:vertAlign w:val="superscript"/>
          <w:lang w:val="de-DE"/>
        </w:rPr>
        <w:t>3</w:t>
      </w:r>
      <w:r w:rsidRPr="00995110">
        <w:rPr>
          <w:iCs/>
          <w:u w:color="0B4CB4"/>
          <w:lang w:val="de-DE"/>
        </w:rPr>
        <w:t>, however the success of DNA extraction decreases at suboptimal tissue volume.</w:t>
      </w:r>
    </w:p>
    <w:p w14:paraId="2E250DAE" w14:textId="77777777" w:rsidR="00C82C7C" w:rsidRPr="00995110" w:rsidRDefault="00C82C7C" w:rsidP="000074D8">
      <w:pPr>
        <w:ind w:left="720"/>
        <w:rPr>
          <w:rFonts w:cs="Calibri"/>
          <w:bCs/>
          <w:iCs/>
          <w:color w:val="000000" w:themeColor="text1"/>
          <w:u w:color="0B4CB4"/>
        </w:rPr>
      </w:pPr>
    </w:p>
    <w:p w14:paraId="25B2E59D" w14:textId="2F833477" w:rsidR="00034EA7" w:rsidRPr="00995110" w:rsidRDefault="00034EA7" w:rsidP="00034EA7">
      <w:pPr>
        <w:rPr>
          <w:iCs/>
          <w:u w:color="0B4CB4"/>
        </w:rPr>
      </w:pPr>
      <w:r w:rsidRPr="00995110">
        <w:rPr>
          <w:iCs/>
          <w:u w:color="0B4CB4"/>
        </w:rPr>
        <w:t>If an existing block cannot be submitted, the following are requested, if available:</w:t>
      </w:r>
    </w:p>
    <w:p w14:paraId="5B1F7241" w14:textId="56215C37" w:rsidR="00034EA7" w:rsidRPr="00995110" w:rsidRDefault="00034EA7" w:rsidP="00562B10">
      <w:pPr>
        <w:pStyle w:val="ListParagraph"/>
        <w:numPr>
          <w:ilvl w:val="0"/>
          <w:numId w:val="50"/>
        </w:numPr>
        <w:rPr>
          <w:iCs/>
          <w:u w:color="0B4CB4"/>
        </w:rPr>
      </w:pPr>
      <w:r w:rsidRPr="00995110">
        <w:rPr>
          <w:iCs/>
          <w:u w:color="0B4CB4"/>
        </w:rPr>
        <w:t xml:space="preserve">One (1) H&amp;E slide (3-5 </w:t>
      </w:r>
      <w:r w:rsidRPr="00995110">
        <w:rPr>
          <w:iCs/>
        </w:rPr>
        <w:t>µm)</w:t>
      </w:r>
    </w:p>
    <w:p w14:paraId="1E5DE7E4" w14:textId="04EB2F01" w:rsidR="00034EA7" w:rsidRPr="00995110" w:rsidRDefault="00034EA7" w:rsidP="00562B10">
      <w:pPr>
        <w:pStyle w:val="ListParagraph"/>
        <w:numPr>
          <w:ilvl w:val="0"/>
          <w:numId w:val="50"/>
        </w:numPr>
        <w:rPr>
          <w:i/>
          <w:u w:color="0B4CB4"/>
        </w:rPr>
      </w:pPr>
      <w:r w:rsidRPr="00995110">
        <w:rPr>
          <w:iCs/>
          <w:u w:color="0B4CB4"/>
        </w:rPr>
        <w:t>Thirty to fifty (30 – 50) 10 µm unstained air-dried uncharged slides</w:t>
      </w:r>
      <w:r w:rsidR="00B61C45" w:rsidRPr="00995110">
        <w:rPr>
          <w:iCs/>
          <w:u w:color="0B4CB4"/>
        </w:rPr>
        <w:t xml:space="preserve"> </w:t>
      </w:r>
      <w:r w:rsidR="00D4297B" w:rsidRPr="00995110">
        <w:rPr>
          <w:iCs/>
          <w:u w:color="0B4CB4"/>
        </w:rPr>
        <w:t xml:space="preserve">(preferred).  If not feasible, then a minimum of twenty (20) 10 µm unstained air-dried uncharged slides should be submitted with a minimum tumor content of at least 30%.  </w:t>
      </w:r>
      <w:r w:rsidR="00D4297B" w:rsidRPr="00995110">
        <w:rPr>
          <w:b/>
          <w:bCs/>
          <w:iCs/>
          <w:u w:color="0B4CB4"/>
        </w:rPr>
        <w:t>Submission of specimens with &lt;30% tumor content may not provide sufficient material for analysis</w:t>
      </w:r>
      <w:r w:rsidR="00D4297B" w:rsidRPr="00995110">
        <w:rPr>
          <w:iCs/>
          <w:u w:color="0B4CB4"/>
        </w:rPr>
        <w:t xml:space="preserve"> </w:t>
      </w:r>
    </w:p>
    <w:p w14:paraId="1395DF69" w14:textId="77777777" w:rsidR="00034EA7" w:rsidRPr="00995110" w:rsidRDefault="00034EA7" w:rsidP="00034EA7">
      <w:pPr>
        <w:rPr>
          <w:i/>
          <w:u w:color="0B4CB4"/>
        </w:rPr>
      </w:pPr>
    </w:p>
    <w:p w14:paraId="77A880DB" w14:textId="5538605A" w:rsidR="00034EA7" w:rsidRPr="00995110" w:rsidRDefault="00034EA7" w:rsidP="00034EA7">
      <w:pPr>
        <w:rPr>
          <w:iCs/>
          <w:u w:color="0B4CB4"/>
        </w:rPr>
      </w:pPr>
      <w:r w:rsidRPr="00995110">
        <w:rPr>
          <w:iCs/>
          <w:u w:color="0B4CB4"/>
        </w:rPr>
        <w:t xml:space="preserve">Process and number slides sequentially (e.g., H&amp;E stained slide should be created first and labeled with “1,” and additional unstained slides should be processed next and be labeled 2 – </w:t>
      </w:r>
      <w:r w:rsidR="00995110" w:rsidRPr="00995110">
        <w:rPr>
          <w:iCs/>
          <w:u w:color="0B4CB4"/>
        </w:rPr>
        <w:t>51</w:t>
      </w:r>
      <w:r w:rsidRPr="00995110">
        <w:rPr>
          <w:iCs/>
          <w:u w:color="0B4CB4"/>
        </w:rPr>
        <w:t>)</w:t>
      </w:r>
      <w:r w:rsidR="000945FC" w:rsidRPr="00995110">
        <w:rPr>
          <w:iCs/>
          <w:u w:color="0B4CB4"/>
        </w:rPr>
        <w:t>.</w:t>
      </w:r>
    </w:p>
    <w:p w14:paraId="166436DD" w14:textId="77777777" w:rsidR="00034EA7" w:rsidRPr="00995110" w:rsidRDefault="00034EA7" w:rsidP="00034EA7">
      <w:pPr>
        <w:rPr>
          <w:iCs/>
          <w:u w:color="0B4CB4"/>
        </w:rPr>
      </w:pPr>
    </w:p>
    <w:p w14:paraId="1D9985F1" w14:textId="77777777" w:rsidR="00034EA7" w:rsidRPr="00995110" w:rsidRDefault="00034EA7" w:rsidP="00034EA7">
      <w:pPr>
        <w:rPr>
          <w:iCs/>
          <w:u w:color="0B4CB4"/>
        </w:rPr>
      </w:pPr>
      <w:r w:rsidRPr="00995110">
        <w:rPr>
          <w:iCs/>
          <w:u w:color="0B4CB4"/>
        </w:rPr>
        <w:t>See Section 5.4.2 for labeling instructions.</w:t>
      </w:r>
    </w:p>
    <w:p w14:paraId="12053CFD" w14:textId="77777777" w:rsidR="00D97BFF" w:rsidRPr="00E003D2" w:rsidRDefault="00D97BFF" w:rsidP="00E003D2">
      <w:pPr>
        <w:rPr>
          <w:highlight w:val="lightGray"/>
        </w:rPr>
      </w:pPr>
    </w:p>
    <w:p w14:paraId="5101E495" w14:textId="77777777" w:rsidR="00C82C7C" w:rsidRPr="00CE5F5B" w:rsidRDefault="00C82C7C" w:rsidP="00944B00">
      <w:pPr>
        <w:pStyle w:val="Level3Heading"/>
        <w:rPr>
          <w:iCs/>
          <w:u w:val="single"/>
        </w:rPr>
      </w:pPr>
      <w:r w:rsidRPr="00CE5F5B">
        <w:rPr>
          <w:u w:val="single"/>
        </w:rPr>
        <w:t xml:space="preserve">Blood Collection </w:t>
      </w:r>
    </w:p>
    <w:p w14:paraId="50D75A01" w14:textId="77777777" w:rsidR="00C27CCA" w:rsidRPr="003C347B" w:rsidRDefault="00C27CCA" w:rsidP="003C347B">
      <w:pPr>
        <w:rPr>
          <w:highlight w:val="lightGray"/>
        </w:rPr>
      </w:pPr>
    </w:p>
    <w:p w14:paraId="70A4CAA0" w14:textId="4093D33F" w:rsidR="00C27CCA" w:rsidRPr="008647B0" w:rsidRDefault="00C27CCA" w:rsidP="00944B00">
      <w:pPr>
        <w:pStyle w:val="Level4Heading"/>
      </w:pPr>
      <w:r w:rsidRPr="008647B0">
        <w:t xml:space="preserve">Collection of Blood in </w:t>
      </w:r>
      <w:r w:rsidR="00C80C23" w:rsidRPr="008647B0">
        <w:t>K2</w:t>
      </w:r>
      <w:r w:rsidR="001736FE">
        <w:t xml:space="preserve"> </w:t>
      </w:r>
      <w:r w:rsidRPr="008647B0">
        <w:t>EDTA Tubes</w:t>
      </w:r>
      <w:r w:rsidR="008E1227" w:rsidRPr="008647B0">
        <w:t xml:space="preserve"> for </w:t>
      </w:r>
      <w:r w:rsidR="00B73587" w:rsidRPr="008647B0">
        <w:t xml:space="preserve">Shipping </w:t>
      </w:r>
      <w:r w:rsidR="008E1227" w:rsidRPr="008647B0">
        <w:t>Whole Blood</w:t>
      </w:r>
      <w:r w:rsidR="00EF04D4">
        <w:t xml:space="preserve"> (EET Biobank)</w:t>
      </w:r>
      <w:r w:rsidR="009344C9" w:rsidRPr="008647B0">
        <w:t xml:space="preserve"> </w:t>
      </w:r>
    </w:p>
    <w:p w14:paraId="7CFE5C66" w14:textId="77777777" w:rsidR="00C27CCA" w:rsidRPr="008647B0" w:rsidRDefault="00C27CCA" w:rsidP="007379EF">
      <w:pPr>
        <w:pStyle w:val="ListParagraph"/>
        <w:ind w:left="360"/>
        <w:jc w:val="both"/>
        <w:rPr>
          <w:i/>
          <w:iCs/>
        </w:rPr>
      </w:pPr>
    </w:p>
    <w:p w14:paraId="452BB40F" w14:textId="34ADBA60" w:rsidR="00C27CCA" w:rsidRPr="008647B0" w:rsidRDefault="00C27CCA" w:rsidP="00562B10">
      <w:pPr>
        <w:pStyle w:val="ListParagraph"/>
        <w:numPr>
          <w:ilvl w:val="0"/>
          <w:numId w:val="53"/>
        </w:numPr>
        <w:rPr>
          <w:iCs/>
        </w:rPr>
      </w:pPr>
      <w:r w:rsidRPr="008647B0">
        <w:rPr>
          <w:iCs/>
        </w:rPr>
        <w:t xml:space="preserve">Label EDTA tubes according to the instructions in </w:t>
      </w:r>
      <w:r w:rsidR="007E56CF" w:rsidRPr="008647B0">
        <w:rPr>
          <w:iCs/>
        </w:rPr>
        <w:t>S</w:t>
      </w:r>
      <w:r w:rsidRPr="008647B0">
        <w:rPr>
          <w:iCs/>
        </w:rPr>
        <w:t>ection 5.4.2.</w:t>
      </w:r>
    </w:p>
    <w:p w14:paraId="38A778CB" w14:textId="77777777" w:rsidR="00C27CCA" w:rsidRPr="008647B0" w:rsidRDefault="00C27CCA" w:rsidP="00562B10">
      <w:pPr>
        <w:pStyle w:val="ListParagraph"/>
        <w:numPr>
          <w:ilvl w:val="0"/>
          <w:numId w:val="53"/>
        </w:numPr>
        <w:rPr>
          <w:iCs/>
        </w:rPr>
      </w:pPr>
      <w:r w:rsidRPr="008647B0">
        <w:rPr>
          <w:iCs/>
        </w:rPr>
        <w:t>Collect 10 mL blood in EDTA tube(s) and gently invert tube to mix.</w:t>
      </w:r>
    </w:p>
    <w:p w14:paraId="0BD1D951" w14:textId="642F6E55" w:rsidR="00C27CCA" w:rsidRPr="008647B0" w:rsidRDefault="00C27CCA" w:rsidP="00562B10">
      <w:pPr>
        <w:pStyle w:val="ListParagraph"/>
        <w:numPr>
          <w:ilvl w:val="0"/>
          <w:numId w:val="53"/>
        </w:numPr>
        <w:rPr>
          <w:iCs/>
        </w:rPr>
      </w:pPr>
      <w:r w:rsidRPr="008647B0">
        <w:rPr>
          <w:iCs/>
        </w:rPr>
        <w:t xml:space="preserve">Ship on day of collection (whenever possible) according to instructions in </w:t>
      </w:r>
      <w:r w:rsidR="007E56CF" w:rsidRPr="008647B0">
        <w:rPr>
          <w:iCs/>
        </w:rPr>
        <w:t>S</w:t>
      </w:r>
      <w:r w:rsidRPr="008647B0">
        <w:rPr>
          <w:iCs/>
        </w:rPr>
        <w:t>ection 5.</w:t>
      </w:r>
      <w:r w:rsidR="007E56CF" w:rsidRPr="008647B0">
        <w:rPr>
          <w:iCs/>
        </w:rPr>
        <w:t>6</w:t>
      </w:r>
      <w:r w:rsidRPr="008647B0">
        <w:rPr>
          <w:iCs/>
        </w:rPr>
        <w:t>.</w:t>
      </w:r>
    </w:p>
    <w:p w14:paraId="0C8ABC8A" w14:textId="77777777" w:rsidR="00C27CCA" w:rsidRPr="008647B0" w:rsidRDefault="00C27CCA" w:rsidP="00562B10">
      <w:pPr>
        <w:pStyle w:val="ListParagraph"/>
        <w:numPr>
          <w:ilvl w:val="0"/>
          <w:numId w:val="53"/>
        </w:numPr>
        <w:rPr>
          <w:iCs/>
        </w:rPr>
      </w:pPr>
      <w:r w:rsidRPr="008647B0">
        <w:rPr>
          <w:iCs/>
        </w:rPr>
        <w:t xml:space="preserve">If blood cannot be shipped on the day of collection (e.g., a late scheduled collection), then refrigerate until shipment. </w:t>
      </w:r>
    </w:p>
    <w:p w14:paraId="7589423C" w14:textId="77777777" w:rsidR="00B73587" w:rsidRPr="0035245E" w:rsidRDefault="00B73587" w:rsidP="0035245E">
      <w:pPr>
        <w:rPr>
          <w:i/>
          <w:highlight w:val="lightGray"/>
        </w:rPr>
      </w:pPr>
    </w:p>
    <w:p w14:paraId="5137636C" w14:textId="42EAB79A" w:rsidR="00CE5F5B" w:rsidRPr="00D07D2A" w:rsidRDefault="00CE5F5B" w:rsidP="00CE5F5B">
      <w:pPr>
        <w:pStyle w:val="Level4Heading"/>
      </w:pPr>
      <w:r w:rsidRPr="00D07D2A">
        <w:t xml:space="preserve">Collection of Blood in </w:t>
      </w:r>
      <w:r w:rsidR="00EC5313" w:rsidRPr="00D07D2A">
        <w:t xml:space="preserve">Purple-Top </w:t>
      </w:r>
      <w:r w:rsidRPr="00D07D2A">
        <w:t xml:space="preserve">EDTA Tubes for Plasma Processing </w:t>
      </w:r>
      <w:r w:rsidR="00EC5313" w:rsidRPr="00D07D2A">
        <w:t>(</w:t>
      </w:r>
      <w:r w:rsidR="000C27E9">
        <w:t xml:space="preserve">Analytical </w:t>
      </w:r>
      <w:r w:rsidR="000C27E9">
        <w:lastRenderedPageBreak/>
        <w:t>Pharmacology Core, City of Hope</w:t>
      </w:r>
      <w:r w:rsidR="00EC5313" w:rsidRPr="00D07D2A">
        <w:t>)</w:t>
      </w:r>
    </w:p>
    <w:p w14:paraId="54EE01DF" w14:textId="77777777" w:rsidR="00CE5F5B" w:rsidRPr="00D07D2A" w:rsidRDefault="00CE5F5B" w:rsidP="00CE5F5B">
      <w:pPr>
        <w:rPr>
          <w:i/>
        </w:rPr>
      </w:pPr>
    </w:p>
    <w:p w14:paraId="5CCD46C8" w14:textId="3FBC4BA2" w:rsidR="00DC4255" w:rsidRPr="008C1EF9" w:rsidRDefault="00F00AB2" w:rsidP="00562B10">
      <w:pPr>
        <w:pStyle w:val="ListParagraph"/>
        <w:numPr>
          <w:ilvl w:val="0"/>
          <w:numId w:val="51"/>
        </w:numPr>
        <w:rPr>
          <w:iCs/>
          <w:color w:val="auto"/>
        </w:rPr>
      </w:pPr>
      <w:r w:rsidRPr="008C1EF9">
        <w:rPr>
          <w:iCs/>
          <w:color w:val="auto"/>
        </w:rPr>
        <w:t>An in-dwelling heparin catheter will be placed for serial specimen collection.</w:t>
      </w:r>
    </w:p>
    <w:p w14:paraId="49CAA778" w14:textId="35AE672F" w:rsidR="00CE5F5B" w:rsidRPr="008C1EF9" w:rsidRDefault="00CE5F5B" w:rsidP="00562B10">
      <w:pPr>
        <w:pStyle w:val="ListParagraph"/>
        <w:numPr>
          <w:ilvl w:val="0"/>
          <w:numId w:val="51"/>
        </w:numPr>
        <w:rPr>
          <w:iCs/>
          <w:color w:val="auto"/>
        </w:rPr>
      </w:pPr>
      <w:r w:rsidRPr="008C1EF9">
        <w:rPr>
          <w:iCs/>
          <w:color w:val="auto"/>
        </w:rPr>
        <w:t>Label EDTA tube(s) according to the instructions in Section 5.4.2.</w:t>
      </w:r>
    </w:p>
    <w:p w14:paraId="25F3B8EA" w14:textId="01E67116" w:rsidR="00DC4255" w:rsidRPr="008C1EF9" w:rsidRDefault="00DC4255" w:rsidP="00562B10">
      <w:pPr>
        <w:pStyle w:val="ListParagraph"/>
        <w:numPr>
          <w:ilvl w:val="0"/>
          <w:numId w:val="51"/>
        </w:numPr>
        <w:rPr>
          <w:iCs/>
          <w:color w:val="auto"/>
        </w:rPr>
      </w:pPr>
      <w:r w:rsidRPr="008C1EF9">
        <w:rPr>
          <w:iCs/>
          <w:color w:val="auto"/>
        </w:rPr>
        <w:t>At each sampling time, draw 1 mL of blood</w:t>
      </w:r>
      <w:r w:rsidR="00920DE4" w:rsidRPr="008C1EF9">
        <w:rPr>
          <w:iCs/>
          <w:color w:val="auto"/>
        </w:rPr>
        <w:t xml:space="preserve"> and discard.  This assures the solution used to maintain the catheter patency does not dilute the sample.</w:t>
      </w:r>
    </w:p>
    <w:p w14:paraId="63E8695F" w14:textId="628B1E77" w:rsidR="00366CA8" w:rsidRPr="008C1EF9" w:rsidRDefault="00366CA8" w:rsidP="00562B10">
      <w:pPr>
        <w:pStyle w:val="ListParagraph"/>
        <w:numPr>
          <w:ilvl w:val="1"/>
          <w:numId w:val="51"/>
        </w:numPr>
        <w:rPr>
          <w:iCs/>
          <w:color w:val="auto"/>
        </w:rPr>
      </w:pPr>
      <w:r w:rsidRPr="008C1EF9">
        <w:rPr>
          <w:iCs/>
          <w:color w:val="auto"/>
        </w:rPr>
        <w:t>The sampling times are as follows: Week 1, Day 1: 1-3 hours post-dose; Week 1, Day 2 (alternative days during radiation treatment are acceptable)</w:t>
      </w:r>
      <w:r w:rsidR="00C10CA3" w:rsidRPr="008C1EF9">
        <w:rPr>
          <w:iCs/>
          <w:color w:val="auto"/>
        </w:rPr>
        <w:t>: pre-dose, 0.5</w:t>
      </w:r>
      <w:r w:rsidR="008C1EF9" w:rsidRPr="008C1EF9">
        <w:rPr>
          <w:iCs/>
          <w:color w:val="auto"/>
        </w:rPr>
        <w:t>-</w:t>
      </w:r>
      <w:r w:rsidR="00C10CA3" w:rsidRPr="008C1EF9">
        <w:rPr>
          <w:iCs/>
          <w:color w:val="auto"/>
        </w:rPr>
        <w:t>, 1</w:t>
      </w:r>
      <w:r w:rsidR="008C1EF9" w:rsidRPr="008C1EF9">
        <w:rPr>
          <w:iCs/>
          <w:color w:val="auto"/>
        </w:rPr>
        <w:t>-</w:t>
      </w:r>
      <w:r w:rsidR="00C10CA3" w:rsidRPr="008C1EF9">
        <w:rPr>
          <w:iCs/>
          <w:color w:val="auto"/>
        </w:rPr>
        <w:t>, 1.5</w:t>
      </w:r>
      <w:r w:rsidR="008C1EF9" w:rsidRPr="008C1EF9">
        <w:rPr>
          <w:iCs/>
          <w:color w:val="auto"/>
        </w:rPr>
        <w:t>-</w:t>
      </w:r>
      <w:r w:rsidR="00C10CA3" w:rsidRPr="008C1EF9">
        <w:rPr>
          <w:iCs/>
          <w:color w:val="auto"/>
        </w:rPr>
        <w:t>, 2</w:t>
      </w:r>
      <w:r w:rsidR="008C1EF9" w:rsidRPr="008C1EF9">
        <w:rPr>
          <w:iCs/>
          <w:color w:val="auto"/>
        </w:rPr>
        <w:t>-</w:t>
      </w:r>
      <w:r w:rsidR="00C10CA3" w:rsidRPr="008C1EF9">
        <w:rPr>
          <w:iCs/>
          <w:color w:val="auto"/>
        </w:rPr>
        <w:t xml:space="preserve">, </w:t>
      </w:r>
      <w:r w:rsidR="008C1EF9" w:rsidRPr="008C1EF9">
        <w:rPr>
          <w:iCs/>
          <w:color w:val="auto"/>
        </w:rPr>
        <w:t>3-, 4-, 6-, and 8-hours</w:t>
      </w:r>
      <w:r w:rsidR="00C10CA3" w:rsidRPr="008C1EF9">
        <w:rPr>
          <w:iCs/>
          <w:color w:val="auto"/>
        </w:rPr>
        <w:t xml:space="preserve"> post-dose</w:t>
      </w:r>
      <w:r w:rsidR="00696986">
        <w:rPr>
          <w:iCs/>
          <w:color w:val="auto"/>
        </w:rPr>
        <w:t xml:space="preserve"> (</w:t>
      </w:r>
      <w:hyperlink w:anchor="_APPENDIX_F_PK" w:history="1">
        <w:r w:rsidR="00696986" w:rsidRPr="009F683B">
          <w:rPr>
            <w:rStyle w:val="Hyperlink"/>
            <w:iCs/>
          </w:rPr>
          <w:t xml:space="preserve">Appendix </w:t>
        </w:r>
        <w:r w:rsidR="003E3540" w:rsidRPr="009F683B">
          <w:rPr>
            <w:rStyle w:val="Hyperlink"/>
            <w:iCs/>
          </w:rPr>
          <w:t>F</w:t>
        </w:r>
      </w:hyperlink>
      <w:r w:rsidR="005B2DF2">
        <w:rPr>
          <w:iCs/>
          <w:color w:val="auto"/>
        </w:rPr>
        <w:t xml:space="preserve"> and </w:t>
      </w:r>
      <w:hyperlink w:anchor="_APPENDIX_G_PK" w:history="1">
        <w:r w:rsidR="005B2DF2" w:rsidRPr="00E9212A">
          <w:rPr>
            <w:rStyle w:val="Hyperlink"/>
            <w:iCs/>
          </w:rPr>
          <w:t>G</w:t>
        </w:r>
      </w:hyperlink>
      <w:r w:rsidR="003E3540">
        <w:rPr>
          <w:iCs/>
          <w:color w:val="auto"/>
        </w:rPr>
        <w:t>)</w:t>
      </w:r>
      <w:r w:rsidR="00C10CA3" w:rsidRPr="008C1EF9">
        <w:rPr>
          <w:iCs/>
          <w:color w:val="auto"/>
        </w:rPr>
        <w:t>.</w:t>
      </w:r>
    </w:p>
    <w:p w14:paraId="3CDF57E2" w14:textId="2710641B" w:rsidR="00920DE4" w:rsidRPr="008C1EF9" w:rsidRDefault="00920DE4" w:rsidP="00562B10">
      <w:pPr>
        <w:pStyle w:val="ListParagraph"/>
        <w:numPr>
          <w:ilvl w:val="0"/>
          <w:numId w:val="51"/>
        </w:numPr>
        <w:rPr>
          <w:iCs/>
          <w:color w:val="auto"/>
        </w:rPr>
      </w:pPr>
      <w:r w:rsidRPr="008C1EF9">
        <w:rPr>
          <w:iCs/>
          <w:color w:val="auto"/>
        </w:rPr>
        <w:t xml:space="preserve">For each plasma PK sample, collect 3-5 mL anticoagulated whole blood in </w:t>
      </w:r>
      <w:r w:rsidR="00092E73" w:rsidRPr="008C1EF9">
        <w:rPr>
          <w:iCs/>
          <w:color w:val="auto"/>
        </w:rPr>
        <w:t>a purple top EDTA tube (</w:t>
      </w:r>
      <w:r w:rsidR="00092E73" w:rsidRPr="008C1EF9">
        <w:rPr>
          <w:i/>
          <w:color w:val="auto"/>
        </w:rPr>
        <w:t xml:space="preserve">e.g., </w:t>
      </w:r>
      <w:r w:rsidR="00092E73" w:rsidRPr="008C1EF9">
        <w:rPr>
          <w:iCs/>
          <w:color w:val="auto"/>
        </w:rPr>
        <w:t xml:space="preserve">BD vacutainer 367861 plastic 13 x 75 </w:t>
      </w:r>
      <w:r w:rsidR="005B51BD" w:rsidRPr="008C1EF9">
        <w:rPr>
          <w:iCs/>
          <w:color w:val="auto"/>
        </w:rPr>
        <w:t>4 mL tube).</w:t>
      </w:r>
    </w:p>
    <w:p w14:paraId="50CECB72" w14:textId="5152E988" w:rsidR="005B51BD" w:rsidRPr="008C1EF9" w:rsidRDefault="005B51BD" w:rsidP="00562B10">
      <w:pPr>
        <w:pStyle w:val="ListParagraph"/>
        <w:numPr>
          <w:ilvl w:val="0"/>
          <w:numId w:val="51"/>
        </w:numPr>
        <w:rPr>
          <w:iCs/>
          <w:color w:val="auto"/>
        </w:rPr>
      </w:pPr>
      <w:r w:rsidRPr="008C1EF9">
        <w:rPr>
          <w:iCs/>
          <w:color w:val="auto"/>
        </w:rPr>
        <w:t>Invert the vacutainer tubes several times to mix blood with EDTA anticoagulant and immediately place on ice.</w:t>
      </w:r>
    </w:p>
    <w:p w14:paraId="4C929C5A" w14:textId="4B2E4751" w:rsidR="005B51BD" w:rsidRPr="008C1EF9" w:rsidRDefault="005B51BD" w:rsidP="00562B10">
      <w:pPr>
        <w:pStyle w:val="ListParagraph"/>
        <w:numPr>
          <w:ilvl w:val="0"/>
          <w:numId w:val="51"/>
        </w:numPr>
        <w:rPr>
          <w:iCs/>
          <w:color w:val="auto"/>
        </w:rPr>
      </w:pPr>
      <w:r w:rsidRPr="008C1EF9">
        <w:rPr>
          <w:iCs/>
          <w:color w:val="auto"/>
        </w:rPr>
        <w:t>Processing should begin within 30 minutes of collection.</w:t>
      </w:r>
    </w:p>
    <w:p w14:paraId="562E6B35" w14:textId="0F92EBDF" w:rsidR="00C14510" w:rsidRPr="008C1EF9" w:rsidRDefault="00C14510" w:rsidP="00562B10">
      <w:pPr>
        <w:pStyle w:val="ListParagraph"/>
        <w:numPr>
          <w:ilvl w:val="0"/>
          <w:numId w:val="51"/>
        </w:numPr>
        <w:rPr>
          <w:iCs/>
          <w:color w:val="auto"/>
        </w:rPr>
      </w:pPr>
      <w:r w:rsidRPr="008C1EF9">
        <w:rPr>
          <w:iCs/>
          <w:color w:val="auto"/>
        </w:rPr>
        <w:t>Process plasma by centrifuging for 10 minutes at 1,000 × g in a refrigerated tabletop centrifuge.</w:t>
      </w:r>
    </w:p>
    <w:p w14:paraId="2B9E3411" w14:textId="20CFDDF5" w:rsidR="00CE5F5B" w:rsidRPr="008C1EF9" w:rsidRDefault="00CE5F5B" w:rsidP="00562B10">
      <w:pPr>
        <w:pStyle w:val="ListParagraph"/>
        <w:numPr>
          <w:ilvl w:val="0"/>
          <w:numId w:val="51"/>
        </w:numPr>
        <w:rPr>
          <w:iCs/>
          <w:color w:val="auto"/>
        </w:rPr>
      </w:pPr>
      <w:r w:rsidRPr="008C1EF9">
        <w:rPr>
          <w:iCs/>
          <w:color w:val="auto"/>
        </w:rPr>
        <w:t xml:space="preserve">Using a clean transfer pipette, transfer plasma into </w:t>
      </w:r>
      <w:r w:rsidR="00F06B7E" w:rsidRPr="008C1EF9">
        <w:rPr>
          <w:iCs/>
          <w:color w:val="auto"/>
        </w:rPr>
        <w:t>an appropriately</w:t>
      </w:r>
      <w:r w:rsidRPr="008C1EF9">
        <w:rPr>
          <w:iCs/>
          <w:color w:val="auto"/>
        </w:rPr>
        <w:t xml:space="preserve"> labeled cryovial (using the label printed from the ETCTN Specimen Tracking System or following the instructions in Section 5.4.1).  Avoid picking up the blood cells when aliquoting by keeping the pipet above the cell layers and leaving a small amount of plasma in the tube.  Tightly secure the cap of the vials before storage.  Aliquoting and freezing of plasma specimens should be completed within 1 hour of centrifugation. </w:t>
      </w:r>
    </w:p>
    <w:p w14:paraId="052FB008" w14:textId="485033B2" w:rsidR="00C82C7C" w:rsidRPr="008C1EF9" w:rsidRDefault="00CE5F5B" w:rsidP="00562B10">
      <w:pPr>
        <w:pStyle w:val="ListParagraph"/>
        <w:numPr>
          <w:ilvl w:val="0"/>
          <w:numId w:val="51"/>
        </w:numPr>
        <w:rPr>
          <w:iCs/>
          <w:color w:val="auto"/>
        </w:rPr>
      </w:pPr>
      <w:r w:rsidRPr="008C1EF9">
        <w:rPr>
          <w:iCs/>
          <w:color w:val="auto"/>
        </w:rPr>
        <w:t>Store plasma cryovials upright in a specimen box or rack in an -70°C to -90°C or colder freezer prior to delivering to laboratory.  Do not allow specimens to thaw after freezing.</w:t>
      </w:r>
    </w:p>
    <w:p w14:paraId="7F2B5D2F" w14:textId="68316AC5" w:rsidR="00A60800" w:rsidRPr="008C1EF9" w:rsidRDefault="00A60800" w:rsidP="00562B10">
      <w:pPr>
        <w:pStyle w:val="ListParagraph"/>
        <w:numPr>
          <w:ilvl w:val="0"/>
          <w:numId w:val="51"/>
        </w:numPr>
        <w:rPr>
          <w:iCs/>
          <w:color w:val="auto"/>
        </w:rPr>
      </w:pPr>
      <w:r w:rsidRPr="008C1EF9">
        <w:rPr>
          <w:iCs/>
          <w:color w:val="auto"/>
        </w:rPr>
        <w:t>Ship according to instructions in Section 5.7.</w:t>
      </w:r>
    </w:p>
    <w:p w14:paraId="111C00AE" w14:textId="77777777" w:rsidR="00D07D2A" w:rsidRDefault="00D07D2A" w:rsidP="00D07D2A">
      <w:pPr>
        <w:rPr>
          <w:iCs/>
          <w:highlight w:val="lightGray"/>
        </w:rPr>
      </w:pPr>
    </w:p>
    <w:p w14:paraId="1F257FA4" w14:textId="41926364" w:rsidR="00FF4D3A" w:rsidRDefault="00FF4D3A" w:rsidP="00FF4D3A">
      <w:pPr>
        <w:pStyle w:val="Level4Heading"/>
      </w:pPr>
      <w:r w:rsidRPr="00D07D2A">
        <w:t xml:space="preserve">Collection of </w:t>
      </w:r>
      <w:r w:rsidR="00C706D3">
        <w:t>CSF</w:t>
      </w:r>
      <w:r w:rsidRPr="00D07D2A">
        <w:t xml:space="preserve"> in </w:t>
      </w:r>
      <w:proofErr w:type="spellStart"/>
      <w:r w:rsidR="00921BE3">
        <w:t>Microvial</w:t>
      </w:r>
      <w:proofErr w:type="spellEnd"/>
      <w:r w:rsidRPr="00D07D2A">
        <w:t xml:space="preserve"> (</w:t>
      </w:r>
      <w:r w:rsidR="00803CD9">
        <w:t xml:space="preserve">Analytical </w:t>
      </w:r>
      <w:r w:rsidR="003462D7">
        <w:t>Pharmacology Core, City of Hope</w:t>
      </w:r>
      <w:r w:rsidRPr="00D07D2A">
        <w:t>)</w:t>
      </w:r>
      <w:r w:rsidR="00644316">
        <w:t xml:space="preserve"> (Applicable only for select City of Hope patients participating in window-of-opportunity microdialysis sub-study</w:t>
      </w:r>
      <w:r w:rsidR="001D3371">
        <w:t>)</w:t>
      </w:r>
    </w:p>
    <w:p w14:paraId="74A38544" w14:textId="77777777" w:rsidR="00644316" w:rsidRPr="00644316" w:rsidRDefault="00644316" w:rsidP="00644316"/>
    <w:p w14:paraId="0C881460" w14:textId="369E10BA" w:rsidR="00B77EB0" w:rsidRPr="008C1EF9" w:rsidRDefault="00B77EB0" w:rsidP="00562B10">
      <w:pPr>
        <w:pStyle w:val="ListParagraph"/>
        <w:numPr>
          <w:ilvl w:val="0"/>
          <w:numId w:val="87"/>
        </w:numPr>
        <w:rPr>
          <w:iCs/>
          <w:color w:val="auto"/>
        </w:rPr>
      </w:pPr>
      <w:r w:rsidRPr="008C1EF9">
        <w:rPr>
          <w:iCs/>
          <w:color w:val="auto"/>
        </w:rPr>
        <w:t xml:space="preserve">After tumor resection, one microdialysis catheter will be placed in tumor and/or peritumoral tissue, depending on the extent of the resection performed and </w:t>
      </w:r>
      <w:r w:rsidR="00500EA8" w:rsidRPr="008C1EF9">
        <w:rPr>
          <w:iCs/>
          <w:color w:val="auto"/>
        </w:rPr>
        <w:t>per neurosurgeon’s judgment as to what is feasible.</w:t>
      </w:r>
    </w:p>
    <w:p w14:paraId="673A1610" w14:textId="50DDFC60" w:rsidR="007D7C3D" w:rsidRPr="008C1EF9" w:rsidRDefault="00DA55AB" w:rsidP="00562B10">
      <w:pPr>
        <w:pStyle w:val="ListParagraph"/>
        <w:numPr>
          <w:ilvl w:val="1"/>
          <w:numId w:val="87"/>
        </w:numPr>
        <w:rPr>
          <w:iCs/>
          <w:color w:val="auto"/>
        </w:rPr>
      </w:pPr>
      <w:r>
        <w:rPr>
          <w:iCs/>
          <w:color w:val="auto"/>
        </w:rPr>
        <w:t>The</w:t>
      </w:r>
      <w:r w:rsidR="00DD3350" w:rsidRPr="008C1EF9">
        <w:rPr>
          <w:iCs/>
          <w:color w:val="auto"/>
        </w:rPr>
        <w:t xml:space="preserve"> 70 Brain Microdialysis Catheter (membrane length 10mm and shaft length 100mm (</w:t>
      </w:r>
      <w:r w:rsidR="00EE7FBD" w:rsidRPr="008C1EF9">
        <w:rPr>
          <w:iCs/>
          <w:color w:val="auto"/>
        </w:rPr>
        <w:t>Ref #</w:t>
      </w:r>
      <w:r w:rsidR="00DD3350" w:rsidRPr="008C1EF9">
        <w:rPr>
          <w:iCs/>
          <w:color w:val="auto"/>
        </w:rPr>
        <w:t xml:space="preserve"> P000050, M Dialysis, Stockholm, Sweden) will be flushed with sterile artificial CSF prior to placement in brain tissue and tunneled subcutaneously away from the craniotomy or burr hole.</w:t>
      </w:r>
    </w:p>
    <w:p w14:paraId="2BEE5EA6" w14:textId="72B1CEAF" w:rsidR="00AE495D" w:rsidRPr="008C1EF9" w:rsidRDefault="00AE495D" w:rsidP="00562B10">
      <w:pPr>
        <w:pStyle w:val="ListParagraph"/>
        <w:numPr>
          <w:ilvl w:val="1"/>
          <w:numId w:val="87"/>
        </w:numPr>
        <w:rPr>
          <w:iCs/>
          <w:color w:val="auto"/>
        </w:rPr>
      </w:pPr>
      <w:r w:rsidRPr="008C1EF9">
        <w:rPr>
          <w:iCs/>
          <w:color w:val="auto"/>
        </w:rPr>
        <w:t>Wound will be irrigated and closed in standard fashion, anchoring the catheter to the scalp with suture and sterile dressings.</w:t>
      </w:r>
    </w:p>
    <w:p w14:paraId="74483211" w14:textId="379CC2D9" w:rsidR="00AE495D" w:rsidRPr="008C1EF9" w:rsidRDefault="00E44E7C" w:rsidP="00562B10">
      <w:pPr>
        <w:pStyle w:val="ListParagraph"/>
        <w:numPr>
          <w:ilvl w:val="0"/>
          <w:numId w:val="87"/>
        </w:numPr>
        <w:rPr>
          <w:iCs/>
          <w:color w:val="auto"/>
        </w:rPr>
      </w:pPr>
      <w:r w:rsidRPr="008C1EF9">
        <w:rPr>
          <w:iCs/>
          <w:color w:val="auto"/>
        </w:rPr>
        <w:t xml:space="preserve">A </w:t>
      </w:r>
      <w:r w:rsidR="00A555BA" w:rsidRPr="008C1EF9">
        <w:rPr>
          <w:iCs/>
          <w:color w:val="auto"/>
        </w:rPr>
        <w:t>computed tomography (</w:t>
      </w:r>
      <w:r w:rsidRPr="008C1EF9">
        <w:rPr>
          <w:iCs/>
          <w:color w:val="auto"/>
        </w:rPr>
        <w:t>CT</w:t>
      </w:r>
      <w:r w:rsidR="00A555BA" w:rsidRPr="008C1EF9">
        <w:rPr>
          <w:iCs/>
          <w:color w:val="auto"/>
        </w:rPr>
        <w:t>)</w:t>
      </w:r>
      <w:r w:rsidRPr="008C1EF9">
        <w:rPr>
          <w:iCs/>
          <w:color w:val="auto"/>
        </w:rPr>
        <w:t xml:space="preserve"> scan without contrast will be obtained as soon as possible after placement of the catheter(s) to determine correct positioning.</w:t>
      </w:r>
    </w:p>
    <w:p w14:paraId="7CC15764" w14:textId="2A901021" w:rsidR="00E44E7C" w:rsidRPr="008C1EF9" w:rsidRDefault="0065482D" w:rsidP="00562B10">
      <w:pPr>
        <w:pStyle w:val="ListParagraph"/>
        <w:numPr>
          <w:ilvl w:val="1"/>
          <w:numId w:val="87"/>
        </w:numPr>
        <w:rPr>
          <w:iCs/>
          <w:color w:val="auto"/>
        </w:rPr>
      </w:pPr>
      <w:r w:rsidRPr="008C1EF9">
        <w:rPr>
          <w:iCs/>
          <w:color w:val="auto"/>
        </w:rPr>
        <w:t>In those cases where there is significant tumor bed hemorrhage that would preclude probe access to brain or tumor tissue, or when there is poor positioning of the catheter, it will be removed.</w:t>
      </w:r>
    </w:p>
    <w:p w14:paraId="36C2E118" w14:textId="76D93D2C" w:rsidR="0065482D" w:rsidRPr="008C1EF9" w:rsidRDefault="00EB434D" w:rsidP="00562B10">
      <w:pPr>
        <w:pStyle w:val="ListParagraph"/>
        <w:numPr>
          <w:ilvl w:val="0"/>
          <w:numId w:val="87"/>
        </w:numPr>
        <w:rPr>
          <w:iCs/>
          <w:color w:val="auto"/>
        </w:rPr>
      </w:pPr>
      <w:r w:rsidRPr="008C1EF9">
        <w:rPr>
          <w:rFonts w:eastAsiaTheme="minorHAnsi"/>
          <w:iCs/>
          <w:color w:val="auto"/>
        </w:rPr>
        <w:t>Once the CT scan confirms that the microdialysis catheter ha</w:t>
      </w:r>
      <w:r w:rsidR="0003007E">
        <w:rPr>
          <w:rFonts w:eastAsiaTheme="minorHAnsi"/>
          <w:iCs/>
          <w:color w:val="auto"/>
        </w:rPr>
        <w:t>s</w:t>
      </w:r>
      <w:r w:rsidRPr="008C1EF9">
        <w:rPr>
          <w:rFonts w:eastAsiaTheme="minorHAnsi"/>
          <w:iCs/>
          <w:color w:val="auto"/>
        </w:rPr>
        <w:t xml:space="preserve"> been placed appropriately, the inlet tubing of the catheter(s) will be connected to a 2.5 mL syringe (106 Pump </w:t>
      </w:r>
      <w:r w:rsidRPr="008C1EF9">
        <w:rPr>
          <w:rFonts w:eastAsiaTheme="minorHAnsi"/>
          <w:iCs/>
          <w:color w:val="auto"/>
        </w:rPr>
        <w:lastRenderedPageBreak/>
        <w:t xml:space="preserve">Syringe, </w:t>
      </w:r>
      <w:r w:rsidR="007408D5" w:rsidRPr="008C1EF9">
        <w:rPr>
          <w:rFonts w:eastAsiaTheme="minorHAnsi"/>
          <w:iCs/>
          <w:color w:val="auto"/>
        </w:rPr>
        <w:t>Ref #</w:t>
      </w:r>
      <w:r w:rsidRPr="008C1EF9">
        <w:rPr>
          <w:rFonts w:eastAsiaTheme="minorHAnsi"/>
          <w:iCs/>
          <w:color w:val="auto"/>
        </w:rPr>
        <w:t xml:space="preserve"> 8010191, M Dialysis, Stockholm, Sweden) filled with sterile artificial CSF  (Perfusion Fluid CNS: NaCl 147 mmol/L, </w:t>
      </w:r>
      <w:proofErr w:type="spellStart"/>
      <w:r w:rsidRPr="008C1EF9">
        <w:rPr>
          <w:rFonts w:eastAsiaTheme="minorHAnsi"/>
          <w:iCs/>
          <w:color w:val="auto"/>
        </w:rPr>
        <w:t>KCl</w:t>
      </w:r>
      <w:proofErr w:type="spellEnd"/>
      <w:r w:rsidRPr="008C1EF9">
        <w:rPr>
          <w:rFonts w:eastAsiaTheme="minorHAnsi"/>
          <w:iCs/>
          <w:color w:val="auto"/>
        </w:rPr>
        <w:t xml:space="preserve"> 2.7 mmol/L, CaCl2 1.2 mmol/L, MgCl2 0.85 mmol/L; </w:t>
      </w:r>
      <w:r w:rsidR="007408D5" w:rsidRPr="008C1EF9">
        <w:rPr>
          <w:rFonts w:eastAsiaTheme="minorHAnsi"/>
          <w:iCs/>
          <w:color w:val="auto"/>
        </w:rPr>
        <w:t>Ref #</w:t>
      </w:r>
      <w:r w:rsidRPr="008C1EF9">
        <w:rPr>
          <w:rFonts w:eastAsiaTheme="minorHAnsi"/>
          <w:iCs/>
          <w:color w:val="auto"/>
        </w:rPr>
        <w:t xml:space="preserve"> P000151, M Dialysis, Stockholm, Sweden).</w:t>
      </w:r>
      <w:r w:rsidR="00F95D87">
        <w:rPr>
          <w:rFonts w:eastAsiaTheme="minorHAnsi"/>
          <w:iCs/>
          <w:color w:val="auto"/>
        </w:rPr>
        <w:t xml:space="preserve"> </w:t>
      </w:r>
      <w:r w:rsidR="000A1181">
        <w:rPr>
          <w:rFonts w:eastAsiaTheme="minorHAnsi"/>
          <w:iCs/>
          <w:color w:val="auto"/>
        </w:rPr>
        <w:t xml:space="preserve"> </w:t>
      </w:r>
      <w:r w:rsidR="00BD70FF">
        <w:rPr>
          <w:rFonts w:eastAsiaTheme="minorHAnsi"/>
          <w:iCs/>
          <w:color w:val="auto"/>
        </w:rPr>
        <w:t>A new 2.5mL syringe</w:t>
      </w:r>
      <w:r w:rsidR="00F95D87">
        <w:rPr>
          <w:rFonts w:eastAsiaTheme="minorHAnsi"/>
          <w:iCs/>
          <w:color w:val="auto"/>
        </w:rPr>
        <w:t xml:space="preserve"> will be replaced every 24 hours. </w:t>
      </w:r>
    </w:p>
    <w:p w14:paraId="492C00E3" w14:textId="39EBFE95" w:rsidR="00EB434D" w:rsidRPr="008C1EF9" w:rsidRDefault="00536005" w:rsidP="00562B10">
      <w:pPr>
        <w:pStyle w:val="ListParagraph"/>
        <w:numPr>
          <w:ilvl w:val="1"/>
          <w:numId w:val="87"/>
        </w:numPr>
        <w:rPr>
          <w:iCs/>
          <w:color w:val="auto"/>
        </w:rPr>
      </w:pPr>
      <w:r w:rsidRPr="008C1EF9">
        <w:rPr>
          <w:rFonts w:eastAsiaTheme="minorHAnsi"/>
          <w:iCs/>
          <w:color w:val="auto"/>
        </w:rPr>
        <w:t>The syringe will be placed in a portable syringe pump (107 MD Pump,</w:t>
      </w:r>
      <w:r w:rsidRPr="008C1EF9">
        <w:rPr>
          <w:iCs/>
          <w:color w:val="auto"/>
        </w:rPr>
        <w:t xml:space="preserve"> </w:t>
      </w:r>
      <w:r w:rsidR="007408D5" w:rsidRPr="008C1EF9">
        <w:rPr>
          <w:rFonts w:eastAsiaTheme="minorHAnsi"/>
          <w:iCs/>
          <w:color w:val="auto"/>
        </w:rPr>
        <w:t>Ref #</w:t>
      </w:r>
      <w:r w:rsidRPr="008C1EF9">
        <w:rPr>
          <w:rFonts w:eastAsiaTheme="minorHAnsi"/>
          <w:iCs/>
          <w:color w:val="auto"/>
        </w:rPr>
        <w:t xml:space="preserve"> P000127, M Dialysis, Stockholm, Sweden).</w:t>
      </w:r>
    </w:p>
    <w:p w14:paraId="42607701" w14:textId="71707322" w:rsidR="00536005" w:rsidRPr="008C1EF9" w:rsidRDefault="00DF17D1" w:rsidP="00562B10">
      <w:pPr>
        <w:pStyle w:val="ListParagraph"/>
        <w:numPr>
          <w:ilvl w:val="1"/>
          <w:numId w:val="87"/>
        </w:numPr>
        <w:rPr>
          <w:iCs/>
          <w:color w:val="auto"/>
        </w:rPr>
      </w:pPr>
      <w:r w:rsidRPr="008C1EF9">
        <w:rPr>
          <w:rFonts w:eastAsiaTheme="minorHAnsi"/>
          <w:iCs/>
          <w:color w:val="auto"/>
        </w:rPr>
        <w:t>The flow control on the pump will be set at 0.5 µL/min and the pump will be turned on.</w:t>
      </w:r>
    </w:p>
    <w:p w14:paraId="27AE0843" w14:textId="43B3D79E" w:rsidR="00DF17D1" w:rsidRPr="008C1EF9" w:rsidRDefault="002A2E31" w:rsidP="00562B10">
      <w:pPr>
        <w:pStyle w:val="ListParagraph"/>
        <w:numPr>
          <w:ilvl w:val="1"/>
          <w:numId w:val="87"/>
        </w:numPr>
        <w:rPr>
          <w:iCs/>
          <w:color w:val="auto"/>
        </w:rPr>
      </w:pPr>
      <w:r w:rsidRPr="008C1EF9">
        <w:rPr>
          <w:rFonts w:eastAsiaTheme="minorHAnsi"/>
          <w:iCs/>
          <w:color w:val="auto"/>
        </w:rPr>
        <w:t>A plastic microvial (Ref</w:t>
      </w:r>
      <w:r w:rsidR="007408D5" w:rsidRPr="008C1EF9">
        <w:rPr>
          <w:rFonts w:eastAsiaTheme="minorHAnsi"/>
          <w:iCs/>
          <w:color w:val="auto"/>
        </w:rPr>
        <w:t xml:space="preserve"> #</w:t>
      </w:r>
      <w:r w:rsidRPr="008C1EF9">
        <w:rPr>
          <w:rFonts w:eastAsiaTheme="minorHAnsi"/>
          <w:iCs/>
          <w:color w:val="auto"/>
        </w:rPr>
        <w:t>P000001, M Dialysis, Stockholm, Sweden) will be placed in the vial holder at the end of the outlet tubing to collect dialysate.</w:t>
      </w:r>
    </w:p>
    <w:p w14:paraId="58969906" w14:textId="31F4FEB0" w:rsidR="002A2E31" w:rsidRPr="008C1EF9" w:rsidRDefault="00A84A04" w:rsidP="00562B10">
      <w:pPr>
        <w:pStyle w:val="ListParagraph"/>
        <w:numPr>
          <w:ilvl w:val="1"/>
          <w:numId w:val="87"/>
        </w:numPr>
        <w:rPr>
          <w:iCs/>
          <w:color w:val="auto"/>
        </w:rPr>
      </w:pPr>
      <w:r w:rsidRPr="008C1EF9">
        <w:rPr>
          <w:rFonts w:eastAsiaTheme="minorHAnsi"/>
          <w:iCs/>
          <w:color w:val="auto"/>
        </w:rPr>
        <w:t xml:space="preserve">This microvial can hold up to 200 µL of fluid. It will need to be replaced with a new one every 3 hours until the dose </w:t>
      </w:r>
      <w:r w:rsidRPr="008C1EF9">
        <w:rPr>
          <w:iCs/>
          <w:color w:val="auto"/>
        </w:rPr>
        <w:t>of triapine</w:t>
      </w:r>
      <w:r w:rsidRPr="008C1EF9">
        <w:rPr>
          <w:rFonts w:eastAsiaTheme="minorHAnsi"/>
          <w:iCs/>
          <w:color w:val="auto"/>
        </w:rPr>
        <w:t xml:space="preserve"> is given on Post-op Day 1</w:t>
      </w:r>
      <w:r w:rsidRPr="008C1EF9">
        <w:rPr>
          <w:iCs/>
          <w:color w:val="auto"/>
        </w:rPr>
        <w:t xml:space="preserve"> (or later)</w:t>
      </w:r>
      <w:r w:rsidRPr="008C1EF9">
        <w:rPr>
          <w:rFonts w:eastAsiaTheme="minorHAnsi"/>
          <w:iCs/>
          <w:color w:val="auto"/>
        </w:rPr>
        <w:t>.</w:t>
      </w:r>
    </w:p>
    <w:p w14:paraId="21239189" w14:textId="77777777" w:rsidR="0014512E" w:rsidRPr="008C1EF9" w:rsidRDefault="00EE42D2" w:rsidP="00562B10">
      <w:pPr>
        <w:pStyle w:val="ListParagraph"/>
        <w:numPr>
          <w:ilvl w:val="0"/>
          <w:numId w:val="87"/>
        </w:numPr>
        <w:rPr>
          <w:iCs/>
          <w:color w:val="auto"/>
        </w:rPr>
      </w:pPr>
      <w:r w:rsidRPr="008C1EF9">
        <w:rPr>
          <w:rFonts w:eastAsiaTheme="minorHAnsi"/>
          <w:iCs/>
          <w:color w:val="auto"/>
        </w:rPr>
        <w:t>After surgery, the patient will be transferred to the Intensive Care Unit (ICU) for monitoring of the microdialysis pump and collection of the dialysate samples as outlined below.</w:t>
      </w:r>
    </w:p>
    <w:p w14:paraId="4AF49F45" w14:textId="71726C51" w:rsidR="00A84A04" w:rsidRPr="008C1EF9" w:rsidRDefault="00EE42D2" w:rsidP="00562B10">
      <w:pPr>
        <w:pStyle w:val="ListParagraph"/>
        <w:numPr>
          <w:ilvl w:val="1"/>
          <w:numId w:val="87"/>
        </w:numPr>
        <w:rPr>
          <w:iCs/>
          <w:color w:val="auto"/>
        </w:rPr>
      </w:pPr>
      <w:r w:rsidRPr="008C1EF9">
        <w:rPr>
          <w:rFonts w:eastAsiaTheme="minorHAnsi"/>
          <w:iCs/>
          <w:color w:val="auto"/>
        </w:rPr>
        <w:t>The patient will either remain in the ICU or, when medically stable, can be transferred to a regular floor bed as long as nursing can be provided to the patient until all of the dialysate samples have been collected.</w:t>
      </w:r>
    </w:p>
    <w:p w14:paraId="3214E2D9" w14:textId="022DF55B" w:rsidR="00570E1F" w:rsidRPr="008C1EF9" w:rsidRDefault="00D948DD" w:rsidP="00562B10">
      <w:pPr>
        <w:pStyle w:val="ListParagraph"/>
        <w:numPr>
          <w:ilvl w:val="0"/>
          <w:numId w:val="87"/>
        </w:numPr>
        <w:autoSpaceDE w:val="0"/>
        <w:autoSpaceDN w:val="0"/>
        <w:adjustRightInd w:val="0"/>
        <w:spacing w:before="60" w:after="120"/>
        <w:jc w:val="both"/>
        <w:rPr>
          <w:iCs/>
          <w:color w:val="auto"/>
        </w:rPr>
      </w:pPr>
      <w:r w:rsidRPr="008C1EF9">
        <w:rPr>
          <w:iCs/>
          <w:color w:val="auto"/>
        </w:rPr>
        <w:t xml:space="preserve">Prior to the first dose of triapine, </w:t>
      </w:r>
      <w:r w:rsidR="0007239C">
        <w:rPr>
          <w:iCs/>
          <w:color w:val="auto"/>
        </w:rPr>
        <w:t xml:space="preserve">place a new </w:t>
      </w:r>
      <w:r w:rsidR="00E319AE">
        <w:rPr>
          <w:iCs/>
          <w:color w:val="auto"/>
        </w:rPr>
        <w:t>microvial</w:t>
      </w:r>
      <w:r w:rsidR="0007239C">
        <w:rPr>
          <w:iCs/>
          <w:color w:val="auto"/>
        </w:rPr>
        <w:t xml:space="preserve"> in the holder of the outlet tubing</w:t>
      </w:r>
      <w:r w:rsidRPr="008C1EF9">
        <w:rPr>
          <w:iCs/>
          <w:color w:val="auto"/>
        </w:rPr>
        <w:t>.</w:t>
      </w:r>
      <w:r w:rsidR="00570E1F" w:rsidRPr="008C1EF9">
        <w:rPr>
          <w:iCs/>
          <w:color w:val="auto"/>
        </w:rPr>
        <w:t xml:space="preserve"> </w:t>
      </w:r>
      <w:r w:rsidRPr="008C1EF9">
        <w:rPr>
          <w:iCs/>
          <w:color w:val="auto"/>
        </w:rPr>
        <w:t xml:space="preserve"> </w:t>
      </w:r>
    </w:p>
    <w:p w14:paraId="6216B453" w14:textId="7D2E2047" w:rsidR="00570E1F" w:rsidRPr="008C1EF9" w:rsidRDefault="00D948DD" w:rsidP="00562B10">
      <w:pPr>
        <w:pStyle w:val="ListParagraph"/>
        <w:numPr>
          <w:ilvl w:val="0"/>
          <w:numId w:val="87"/>
        </w:numPr>
        <w:autoSpaceDE w:val="0"/>
        <w:autoSpaceDN w:val="0"/>
        <w:adjustRightInd w:val="0"/>
        <w:spacing w:before="60" w:after="120"/>
        <w:jc w:val="both"/>
        <w:rPr>
          <w:iCs/>
          <w:color w:val="auto"/>
        </w:rPr>
      </w:pPr>
      <w:proofErr w:type="spellStart"/>
      <w:r w:rsidRPr="008C1EF9">
        <w:rPr>
          <w:iCs/>
          <w:color w:val="auto"/>
        </w:rPr>
        <w:t>Microvials</w:t>
      </w:r>
      <w:proofErr w:type="spellEnd"/>
      <w:r w:rsidRPr="008C1EF9">
        <w:rPr>
          <w:iCs/>
          <w:color w:val="auto"/>
        </w:rPr>
        <w:t xml:space="preserve"> will continuously collect dialysate and </w:t>
      </w:r>
      <w:proofErr w:type="spellStart"/>
      <w:r w:rsidRPr="008C1EF9">
        <w:rPr>
          <w:iCs/>
          <w:color w:val="auto"/>
        </w:rPr>
        <w:t>microvials</w:t>
      </w:r>
      <w:proofErr w:type="spellEnd"/>
      <w:r w:rsidRPr="008C1EF9">
        <w:rPr>
          <w:iCs/>
          <w:color w:val="auto"/>
        </w:rPr>
        <w:t xml:space="preserve"> will be collected at specified time points: before dose of </w:t>
      </w:r>
      <w:proofErr w:type="spellStart"/>
      <w:r w:rsidRPr="008C1EF9">
        <w:rPr>
          <w:iCs/>
          <w:color w:val="auto"/>
        </w:rPr>
        <w:t>triapine</w:t>
      </w:r>
      <w:proofErr w:type="spellEnd"/>
      <w:r w:rsidRPr="008C1EF9">
        <w:rPr>
          <w:iCs/>
          <w:color w:val="auto"/>
        </w:rPr>
        <w:t xml:space="preserve"> and </w:t>
      </w:r>
      <w:r w:rsidR="00686D7D">
        <w:rPr>
          <w:iCs/>
          <w:color w:val="auto"/>
        </w:rPr>
        <w:t xml:space="preserve">then </w:t>
      </w:r>
      <w:r w:rsidRPr="008C1EF9">
        <w:rPr>
          <w:iCs/>
          <w:color w:val="auto"/>
        </w:rPr>
        <w:t xml:space="preserve">every hour </w:t>
      </w:r>
      <w:r w:rsidR="00686D7D">
        <w:rPr>
          <w:iCs/>
          <w:color w:val="auto"/>
        </w:rPr>
        <w:t xml:space="preserve">following the dose </w:t>
      </w:r>
      <w:r w:rsidRPr="008C1EF9">
        <w:rPr>
          <w:iCs/>
          <w:color w:val="auto"/>
        </w:rPr>
        <w:t>up to 24 hours after the dose</w:t>
      </w:r>
      <w:r w:rsidR="00EB33AE">
        <w:rPr>
          <w:iCs/>
          <w:color w:val="auto"/>
        </w:rPr>
        <w:t xml:space="preserve"> (</w:t>
      </w:r>
      <w:hyperlink w:anchor="_APPENDIX_H_Microdialysis" w:history="1">
        <w:r w:rsidR="00EB33AE" w:rsidRPr="00453737">
          <w:rPr>
            <w:rStyle w:val="Hyperlink"/>
            <w:iCs/>
          </w:rPr>
          <w:t>Appen</w:t>
        </w:r>
        <w:r w:rsidR="00EB33AE" w:rsidRPr="00453737">
          <w:rPr>
            <w:rStyle w:val="Hyperlink"/>
            <w:iCs/>
          </w:rPr>
          <w:t>d</w:t>
        </w:r>
        <w:r w:rsidR="00EB33AE" w:rsidRPr="00453737">
          <w:rPr>
            <w:rStyle w:val="Hyperlink"/>
            <w:iCs/>
          </w:rPr>
          <w:t xml:space="preserve">ix </w:t>
        </w:r>
        <w:r w:rsidR="005B2DF2" w:rsidRPr="00453737">
          <w:rPr>
            <w:rStyle w:val="Hyperlink"/>
            <w:iCs/>
          </w:rPr>
          <w:t>H</w:t>
        </w:r>
      </w:hyperlink>
      <w:r w:rsidR="00EB33AE">
        <w:rPr>
          <w:iCs/>
          <w:color w:val="auto"/>
        </w:rPr>
        <w:t>)</w:t>
      </w:r>
      <w:r w:rsidRPr="008C1EF9">
        <w:rPr>
          <w:iCs/>
          <w:color w:val="auto"/>
        </w:rPr>
        <w:t>.</w:t>
      </w:r>
    </w:p>
    <w:p w14:paraId="082ABC05" w14:textId="550CAB5B" w:rsidR="00D948DD" w:rsidRDefault="00D948DD" w:rsidP="00562B10">
      <w:pPr>
        <w:pStyle w:val="ListParagraph"/>
        <w:numPr>
          <w:ilvl w:val="1"/>
          <w:numId w:val="87"/>
        </w:numPr>
        <w:autoSpaceDE w:val="0"/>
        <w:autoSpaceDN w:val="0"/>
        <w:adjustRightInd w:val="0"/>
        <w:spacing w:before="60" w:after="120"/>
        <w:jc w:val="both"/>
        <w:rPr>
          <w:iCs/>
          <w:color w:val="auto"/>
        </w:rPr>
      </w:pPr>
      <w:r w:rsidRPr="008C1EF9">
        <w:rPr>
          <w:iCs/>
          <w:color w:val="auto"/>
        </w:rPr>
        <w:t>A new microvial will be replaced at each time point.</w:t>
      </w:r>
    </w:p>
    <w:p w14:paraId="66B5805B" w14:textId="0C860096" w:rsidR="007B3236" w:rsidRPr="008B255E" w:rsidRDefault="00BC63D1" w:rsidP="008B255E">
      <w:pPr>
        <w:pStyle w:val="ListParagraph"/>
        <w:numPr>
          <w:ilvl w:val="1"/>
          <w:numId w:val="87"/>
        </w:numPr>
        <w:rPr>
          <w:iCs/>
          <w:color w:val="auto"/>
        </w:rPr>
      </w:pPr>
      <w:r>
        <w:rPr>
          <w:iCs/>
          <w:color w:val="auto"/>
        </w:rPr>
        <w:t>Sequentially l</w:t>
      </w:r>
      <w:r w:rsidR="007B3236" w:rsidRPr="008C1EF9">
        <w:rPr>
          <w:iCs/>
          <w:color w:val="auto"/>
        </w:rPr>
        <w:t xml:space="preserve">abel </w:t>
      </w:r>
      <w:r w:rsidR="00AD0976">
        <w:rPr>
          <w:iCs/>
          <w:color w:val="auto"/>
        </w:rPr>
        <w:t xml:space="preserve">the </w:t>
      </w:r>
      <w:r w:rsidR="00B23CD2">
        <w:rPr>
          <w:iCs/>
          <w:color w:val="auto"/>
        </w:rPr>
        <w:t>microvial(s)</w:t>
      </w:r>
      <w:r w:rsidR="008A3250">
        <w:rPr>
          <w:iCs/>
          <w:color w:val="auto"/>
        </w:rPr>
        <w:t xml:space="preserve"> </w:t>
      </w:r>
      <w:r w:rsidR="00AD0976">
        <w:rPr>
          <w:iCs/>
          <w:color w:val="auto"/>
        </w:rPr>
        <w:t>at the time of collection</w:t>
      </w:r>
      <w:r w:rsidR="007B3236" w:rsidRPr="001E2EA9">
        <w:rPr>
          <w:iCs/>
          <w:color w:val="auto"/>
        </w:rPr>
        <w:t>.</w:t>
      </w:r>
    </w:p>
    <w:p w14:paraId="03955521" w14:textId="3315A466" w:rsidR="00E149AA" w:rsidRDefault="00E149AA" w:rsidP="00562B10">
      <w:pPr>
        <w:pStyle w:val="ListParagraph"/>
        <w:numPr>
          <w:ilvl w:val="1"/>
          <w:numId w:val="87"/>
        </w:numPr>
        <w:autoSpaceDE w:val="0"/>
        <w:autoSpaceDN w:val="0"/>
        <w:adjustRightInd w:val="0"/>
        <w:spacing w:before="60" w:after="120"/>
        <w:rPr>
          <w:rFonts w:eastAsiaTheme="minorHAnsi"/>
          <w:iCs/>
          <w:color w:val="auto"/>
        </w:rPr>
      </w:pPr>
      <w:r w:rsidRPr="008C1EF9">
        <w:rPr>
          <w:rFonts w:eastAsiaTheme="minorHAnsi"/>
          <w:iCs/>
          <w:color w:val="auto"/>
        </w:rPr>
        <w:t xml:space="preserve">It is important not to flush the catheter (unless it becomes clogged, as indicated by dialysate not exiting the outlet tubing) after the dose of </w:t>
      </w:r>
      <w:r w:rsidRPr="008C1EF9">
        <w:rPr>
          <w:iCs/>
          <w:color w:val="auto"/>
        </w:rPr>
        <w:t>triapine</w:t>
      </w:r>
      <w:r w:rsidRPr="008C1EF9">
        <w:rPr>
          <w:rFonts w:eastAsiaTheme="minorHAnsi"/>
          <w:iCs/>
          <w:color w:val="auto"/>
        </w:rPr>
        <w:t xml:space="preserve"> is administered. </w:t>
      </w:r>
      <w:r w:rsidR="00570E1F" w:rsidRPr="008C1EF9">
        <w:rPr>
          <w:rFonts w:eastAsiaTheme="minorHAnsi"/>
          <w:iCs/>
          <w:color w:val="auto"/>
        </w:rPr>
        <w:t xml:space="preserve"> </w:t>
      </w:r>
      <w:r w:rsidRPr="008C1EF9">
        <w:rPr>
          <w:rFonts w:eastAsiaTheme="minorHAnsi"/>
          <w:iCs/>
          <w:color w:val="auto"/>
        </w:rPr>
        <w:t>If the pump needs to be stopped, (</w:t>
      </w:r>
      <w:r w:rsidRPr="008C1EF9">
        <w:rPr>
          <w:rFonts w:eastAsiaTheme="minorHAnsi"/>
          <w:i/>
          <w:color w:val="auto"/>
        </w:rPr>
        <w:t>e</w:t>
      </w:r>
      <w:r w:rsidRPr="008C1EF9">
        <w:rPr>
          <w:i/>
          <w:color w:val="auto"/>
        </w:rPr>
        <w:t>.</w:t>
      </w:r>
      <w:r w:rsidRPr="008C1EF9">
        <w:rPr>
          <w:rFonts w:eastAsiaTheme="minorHAnsi"/>
          <w:i/>
          <w:color w:val="auto"/>
        </w:rPr>
        <w:t>g.</w:t>
      </w:r>
      <w:r w:rsidR="00570E1F" w:rsidRPr="008C1EF9">
        <w:rPr>
          <w:rFonts w:eastAsiaTheme="minorHAnsi"/>
          <w:i/>
          <w:color w:val="auto"/>
        </w:rPr>
        <w:t>,</w:t>
      </w:r>
      <w:r w:rsidRPr="008C1EF9">
        <w:rPr>
          <w:rFonts w:eastAsiaTheme="minorHAnsi"/>
          <w:iCs/>
          <w:color w:val="auto"/>
        </w:rPr>
        <w:t xml:space="preserve"> </w:t>
      </w:r>
      <w:r w:rsidRPr="008C1EF9">
        <w:rPr>
          <w:iCs/>
          <w:color w:val="auto"/>
        </w:rPr>
        <w:t>to</w:t>
      </w:r>
      <w:r w:rsidRPr="008C1EF9">
        <w:rPr>
          <w:rFonts w:eastAsiaTheme="minorHAnsi"/>
          <w:iCs/>
          <w:color w:val="auto"/>
        </w:rPr>
        <w:t xml:space="preserve"> place a new syringe of artificial CSF in it), then stop the pump by taking the batteries out, not by opening the lid.</w:t>
      </w:r>
      <w:r w:rsidR="00570E1F" w:rsidRPr="008C1EF9">
        <w:rPr>
          <w:rFonts w:eastAsiaTheme="minorHAnsi"/>
          <w:iCs/>
          <w:color w:val="auto"/>
        </w:rPr>
        <w:t xml:space="preserve"> </w:t>
      </w:r>
      <w:r w:rsidRPr="008C1EF9">
        <w:rPr>
          <w:rFonts w:eastAsiaTheme="minorHAnsi"/>
          <w:iCs/>
          <w:color w:val="auto"/>
        </w:rPr>
        <w:t xml:space="preserve"> Whenever the lid is opened and then closed, the pump automatically goes into a flush cycle. </w:t>
      </w:r>
    </w:p>
    <w:p w14:paraId="3D988219" w14:textId="6E1C2A0D" w:rsidR="00610FBE" w:rsidRDefault="00610FBE" w:rsidP="00610FBE">
      <w:pPr>
        <w:pStyle w:val="ListParagraph"/>
        <w:numPr>
          <w:ilvl w:val="1"/>
          <w:numId w:val="87"/>
        </w:numPr>
        <w:rPr>
          <w:iCs/>
          <w:color w:val="auto"/>
        </w:rPr>
      </w:pPr>
      <w:proofErr w:type="spellStart"/>
      <w:r w:rsidRPr="008C1EF9">
        <w:rPr>
          <w:rFonts w:eastAsiaTheme="minorHAnsi"/>
          <w:iCs/>
          <w:color w:val="auto"/>
        </w:rPr>
        <w:t>Microvials</w:t>
      </w:r>
      <w:proofErr w:type="spellEnd"/>
      <w:r w:rsidRPr="008C1EF9">
        <w:rPr>
          <w:rFonts w:eastAsiaTheme="minorHAnsi"/>
          <w:iCs/>
          <w:color w:val="auto"/>
        </w:rPr>
        <w:t xml:space="preserve"> containing the dialysate samples will be placed on dry ice until they can be moved to an ultralow temperature freezer, where they will be stored until shipped </w:t>
      </w:r>
      <w:r w:rsidRPr="008C1EF9">
        <w:rPr>
          <w:iCs/>
          <w:color w:val="auto"/>
        </w:rPr>
        <w:t>according to instructions in Section 5.7.</w:t>
      </w:r>
      <w:r w:rsidR="00DF394F">
        <w:rPr>
          <w:iCs/>
          <w:color w:val="auto"/>
        </w:rPr>
        <w:t xml:space="preserve">  Label the storage box according to instructions in Section 5.4.2.</w:t>
      </w:r>
    </w:p>
    <w:p w14:paraId="7E7AF5E7" w14:textId="53CA81E5" w:rsidR="00610FBE" w:rsidRPr="00FD7E4D" w:rsidRDefault="00BC4805" w:rsidP="00FD7E4D">
      <w:pPr>
        <w:pStyle w:val="ListParagraph"/>
        <w:numPr>
          <w:ilvl w:val="1"/>
          <w:numId w:val="87"/>
        </w:numPr>
        <w:rPr>
          <w:iCs/>
          <w:color w:val="auto"/>
        </w:rPr>
      </w:pPr>
      <w:r>
        <w:rPr>
          <w:rFonts w:eastAsiaTheme="minorHAnsi"/>
          <w:iCs/>
          <w:color w:val="auto"/>
        </w:rPr>
        <w:t xml:space="preserve">During the </w:t>
      </w:r>
      <w:r w:rsidR="00F33D0A">
        <w:rPr>
          <w:rFonts w:eastAsiaTheme="minorHAnsi"/>
          <w:iCs/>
          <w:color w:val="auto"/>
        </w:rPr>
        <w:t xml:space="preserve">period of dialysate collection, a patient may be mobile within the confines </w:t>
      </w:r>
      <w:r w:rsidR="005F3E0E">
        <w:rPr>
          <w:rFonts w:eastAsiaTheme="minorHAnsi"/>
          <w:iCs/>
          <w:color w:val="auto"/>
        </w:rPr>
        <w:t>of the collection system. For example</w:t>
      </w:r>
      <w:r w:rsidR="00932F0E">
        <w:rPr>
          <w:rFonts w:eastAsiaTheme="minorHAnsi"/>
          <w:iCs/>
          <w:color w:val="auto"/>
        </w:rPr>
        <w:t>,</w:t>
      </w:r>
      <w:r w:rsidR="005F3E0E">
        <w:rPr>
          <w:rFonts w:eastAsiaTheme="minorHAnsi"/>
          <w:iCs/>
          <w:color w:val="auto"/>
        </w:rPr>
        <w:t xml:space="preserve"> s/he may move from bed to chair or commode</w:t>
      </w:r>
      <w:r w:rsidR="00D558CA">
        <w:rPr>
          <w:rFonts w:eastAsiaTheme="minorHAnsi"/>
          <w:iCs/>
          <w:color w:val="auto"/>
        </w:rPr>
        <w:t xml:space="preserve">. </w:t>
      </w:r>
    </w:p>
    <w:p w14:paraId="2D200C4C" w14:textId="1541852B" w:rsidR="00570E1F" w:rsidRPr="008C1EF9" w:rsidRDefault="003A62FD" w:rsidP="00562B10">
      <w:pPr>
        <w:pStyle w:val="ListParagraph"/>
        <w:numPr>
          <w:ilvl w:val="0"/>
          <w:numId w:val="87"/>
        </w:numPr>
        <w:rPr>
          <w:iCs/>
          <w:color w:val="auto"/>
        </w:rPr>
      </w:pPr>
      <w:r w:rsidRPr="008C1EF9">
        <w:rPr>
          <w:rFonts w:eastAsiaTheme="minorHAnsi"/>
          <w:iCs/>
          <w:color w:val="auto"/>
        </w:rPr>
        <w:t>After all the dialysate samples have been collected, the microdialysis catheter will be removed percutaneously at the bedside.</w:t>
      </w:r>
    </w:p>
    <w:p w14:paraId="179F226A" w14:textId="77777777" w:rsidR="00570E1F" w:rsidRPr="008C1EF9" w:rsidRDefault="003A62FD" w:rsidP="00562B10">
      <w:pPr>
        <w:pStyle w:val="ListParagraph"/>
        <w:numPr>
          <w:ilvl w:val="1"/>
          <w:numId w:val="87"/>
        </w:numPr>
        <w:rPr>
          <w:iCs/>
          <w:color w:val="auto"/>
        </w:rPr>
      </w:pPr>
      <w:r w:rsidRPr="008C1EF9">
        <w:rPr>
          <w:rFonts w:eastAsiaTheme="minorHAnsi"/>
          <w:iCs/>
          <w:color w:val="auto"/>
        </w:rPr>
        <w:t>Xylocaine for local anesthesia will be used as needed.</w:t>
      </w:r>
    </w:p>
    <w:p w14:paraId="0CEE594C" w14:textId="77777777" w:rsidR="00570E1F" w:rsidRPr="008C1EF9" w:rsidRDefault="003A62FD" w:rsidP="00562B10">
      <w:pPr>
        <w:pStyle w:val="ListParagraph"/>
        <w:numPr>
          <w:ilvl w:val="1"/>
          <w:numId w:val="87"/>
        </w:numPr>
        <w:rPr>
          <w:iCs/>
          <w:color w:val="auto"/>
        </w:rPr>
      </w:pPr>
      <w:r w:rsidRPr="008C1EF9">
        <w:rPr>
          <w:rFonts w:eastAsiaTheme="minorHAnsi"/>
          <w:iCs/>
          <w:color w:val="auto"/>
        </w:rPr>
        <w:t xml:space="preserve">The entry site of the catheter will be closed with a suture or </w:t>
      </w:r>
      <w:proofErr w:type="spellStart"/>
      <w:r w:rsidRPr="008C1EF9">
        <w:rPr>
          <w:rFonts w:eastAsiaTheme="minorHAnsi"/>
          <w:iCs/>
          <w:color w:val="auto"/>
        </w:rPr>
        <w:t>steri</w:t>
      </w:r>
      <w:proofErr w:type="spellEnd"/>
      <w:r w:rsidRPr="008C1EF9">
        <w:rPr>
          <w:rFonts w:eastAsiaTheme="minorHAnsi"/>
          <w:iCs/>
          <w:color w:val="auto"/>
        </w:rPr>
        <w:t>-strips as necessary and a clean dressing applied.</w:t>
      </w:r>
    </w:p>
    <w:p w14:paraId="2D74DF60" w14:textId="3A62E23F" w:rsidR="00B74420" w:rsidRPr="008C1EF9" w:rsidRDefault="003A62FD" w:rsidP="00562B10">
      <w:pPr>
        <w:pStyle w:val="ListParagraph"/>
        <w:numPr>
          <w:ilvl w:val="1"/>
          <w:numId w:val="87"/>
        </w:numPr>
        <w:rPr>
          <w:iCs/>
          <w:color w:val="auto"/>
        </w:rPr>
      </w:pPr>
      <w:r w:rsidRPr="008C1EF9">
        <w:rPr>
          <w:rFonts w:eastAsiaTheme="minorHAnsi"/>
          <w:iCs/>
          <w:color w:val="auto"/>
        </w:rPr>
        <w:t>If the patient has post-operative complications, and it is not possible to proceed with microdialysis within 72 hours of placing the catheter, then the catheter will be removed.</w:t>
      </w:r>
    </w:p>
    <w:p w14:paraId="2E1C16BD" w14:textId="15C6CD8D" w:rsidR="00EE42D2" w:rsidRPr="008C1EF9" w:rsidRDefault="003A62FD" w:rsidP="00562B10">
      <w:pPr>
        <w:pStyle w:val="ListParagraph"/>
        <w:numPr>
          <w:ilvl w:val="0"/>
          <w:numId w:val="87"/>
        </w:numPr>
        <w:rPr>
          <w:iCs/>
          <w:color w:val="auto"/>
        </w:rPr>
      </w:pPr>
      <w:r w:rsidRPr="008C1EF9">
        <w:rPr>
          <w:rFonts w:eastAsiaTheme="minorHAnsi"/>
          <w:iCs/>
          <w:color w:val="auto"/>
        </w:rPr>
        <w:lastRenderedPageBreak/>
        <w:t>The catheter will be placed in zip-lock plastic bags and stored with the study samples.</w:t>
      </w:r>
      <w:r w:rsidRPr="008C1EF9">
        <w:rPr>
          <w:iCs/>
          <w:color w:val="auto"/>
        </w:rPr>
        <w:t xml:space="preserve"> </w:t>
      </w:r>
      <w:r w:rsidRPr="008C1EF9">
        <w:rPr>
          <w:rFonts w:eastAsiaTheme="minorHAnsi"/>
          <w:iCs/>
          <w:color w:val="auto"/>
        </w:rPr>
        <w:t>The patient will be discharged from the hospital when medically ready.</w:t>
      </w:r>
    </w:p>
    <w:p w14:paraId="1180CE4B" w14:textId="77777777" w:rsidR="00C82C7C" w:rsidRPr="000074D8" w:rsidRDefault="00C82C7C" w:rsidP="0054278E">
      <w:pPr>
        <w:rPr>
          <w:highlight w:val="lightGray"/>
        </w:rPr>
      </w:pPr>
    </w:p>
    <w:p w14:paraId="1576CD3E" w14:textId="370E927E" w:rsidR="00B97120" w:rsidRPr="0035245E" w:rsidRDefault="00B97120" w:rsidP="003B568A">
      <w:pPr>
        <w:pStyle w:val="Heading2"/>
      </w:pPr>
      <w:bookmarkStart w:id="59" w:name="_Toc176419909"/>
      <w:r w:rsidRPr="0035245E">
        <w:t xml:space="preserve">Shipping Specimens from Clinical Site to the </w:t>
      </w:r>
      <w:r w:rsidR="008C3318" w:rsidRPr="0035245E">
        <w:t>EET Biobank</w:t>
      </w:r>
      <w:bookmarkEnd w:id="59"/>
      <w:r w:rsidRPr="0035245E">
        <w:t xml:space="preserve"> </w:t>
      </w:r>
    </w:p>
    <w:p w14:paraId="2229E6DB" w14:textId="77777777" w:rsidR="00B97120" w:rsidRPr="0035245E" w:rsidRDefault="00B97120" w:rsidP="00B97120">
      <w:pPr>
        <w:rPr>
          <w:i/>
        </w:rPr>
      </w:pPr>
    </w:p>
    <w:p w14:paraId="3C8A2BD6" w14:textId="77777777" w:rsidR="00B97120" w:rsidRPr="0035245E" w:rsidRDefault="00B97120" w:rsidP="003B568A">
      <w:pPr>
        <w:pStyle w:val="Level3Heading"/>
        <w:rPr>
          <w:u w:val="single"/>
        </w:rPr>
      </w:pPr>
      <w:r w:rsidRPr="0035245E">
        <w:rPr>
          <w:u w:val="single"/>
        </w:rPr>
        <w:t>General Shipping Information</w:t>
      </w:r>
    </w:p>
    <w:p w14:paraId="1BC08723" w14:textId="77777777" w:rsidR="00B97120" w:rsidRPr="0035245E" w:rsidRDefault="00B97120" w:rsidP="00B97120"/>
    <w:p w14:paraId="4C017AC2" w14:textId="7BEC9A9C" w:rsidR="00E002F6" w:rsidRPr="0035245E" w:rsidRDefault="00E002F6">
      <w:pPr>
        <w:pStyle w:val="Level4Heading"/>
        <w:rPr>
          <w:b/>
          <w:bCs/>
        </w:rPr>
      </w:pPr>
      <w:r w:rsidRPr="0035245E">
        <w:t xml:space="preserve">Required Forms for </w:t>
      </w:r>
      <w:r w:rsidR="00814213" w:rsidRPr="0035245E">
        <w:t xml:space="preserve">Specimen </w:t>
      </w:r>
      <w:r w:rsidRPr="0035245E">
        <w:t>Submissions</w:t>
      </w:r>
    </w:p>
    <w:p w14:paraId="7D70F144" w14:textId="77777777" w:rsidR="00E002F6" w:rsidRDefault="00E002F6" w:rsidP="00B97120">
      <w:pPr>
        <w:rPr>
          <w:b/>
          <w:bCs/>
          <w:highlight w:val="lightGray"/>
        </w:rPr>
      </w:pPr>
    </w:p>
    <w:tbl>
      <w:tblPr>
        <w:tblStyle w:val="TableGrid"/>
        <w:tblW w:w="0" w:type="auto"/>
        <w:tblLook w:val="04A0" w:firstRow="1" w:lastRow="0" w:firstColumn="1" w:lastColumn="0" w:noHBand="0" w:noVBand="1"/>
      </w:tblPr>
      <w:tblGrid>
        <w:gridCol w:w="3955"/>
        <w:gridCol w:w="5040"/>
      </w:tblGrid>
      <w:tr w:rsidR="00E002F6" w14:paraId="29886999" w14:textId="77777777" w:rsidTr="00C312CF">
        <w:trPr>
          <w:tblHeader/>
        </w:trPr>
        <w:tc>
          <w:tcPr>
            <w:tcW w:w="3955" w:type="dxa"/>
          </w:tcPr>
          <w:p w14:paraId="70E4B74F" w14:textId="13DEC822" w:rsidR="00E002F6" w:rsidRPr="0035245E" w:rsidRDefault="00AD0233" w:rsidP="00B97120">
            <w:pPr>
              <w:rPr>
                <w:b/>
                <w:bCs/>
              </w:rPr>
            </w:pPr>
            <w:r w:rsidRPr="0035245E">
              <w:rPr>
                <w:b/>
                <w:bCs/>
              </w:rPr>
              <w:t xml:space="preserve">Specimen </w:t>
            </w:r>
          </w:p>
        </w:tc>
        <w:tc>
          <w:tcPr>
            <w:tcW w:w="5040" w:type="dxa"/>
          </w:tcPr>
          <w:p w14:paraId="11594A69" w14:textId="77777777" w:rsidR="00E002F6" w:rsidRPr="0035245E" w:rsidRDefault="00E002F6" w:rsidP="00B97120">
            <w:pPr>
              <w:rPr>
                <w:b/>
                <w:bCs/>
              </w:rPr>
            </w:pPr>
            <w:r w:rsidRPr="0035245E">
              <w:rPr>
                <w:b/>
                <w:bCs/>
              </w:rPr>
              <w:t>Required Forms</w:t>
            </w:r>
          </w:p>
        </w:tc>
      </w:tr>
      <w:tr w:rsidR="00E002F6" w14:paraId="33AF351A" w14:textId="77777777" w:rsidTr="005C0BFC">
        <w:trPr>
          <w:trHeight w:val="838"/>
        </w:trPr>
        <w:tc>
          <w:tcPr>
            <w:tcW w:w="3955" w:type="dxa"/>
          </w:tcPr>
          <w:p w14:paraId="7147E90C" w14:textId="4FE0B704" w:rsidR="00E002F6" w:rsidRPr="0035245E" w:rsidRDefault="00E002F6" w:rsidP="00B97120">
            <w:r w:rsidRPr="0035245E">
              <w:t>Archival</w:t>
            </w:r>
            <w:r w:rsidR="00AD0233" w:rsidRPr="0035245E">
              <w:t xml:space="preserve"> Tissue</w:t>
            </w:r>
          </w:p>
        </w:tc>
        <w:tc>
          <w:tcPr>
            <w:tcW w:w="5040" w:type="dxa"/>
          </w:tcPr>
          <w:p w14:paraId="6EC462B9" w14:textId="77777777" w:rsidR="00E002F6" w:rsidRPr="0035245E" w:rsidRDefault="00E002F6" w:rsidP="00562B10">
            <w:pPr>
              <w:pStyle w:val="ListParagraph"/>
              <w:numPr>
                <w:ilvl w:val="0"/>
                <w:numId w:val="66"/>
              </w:numPr>
            </w:pPr>
            <w:r w:rsidRPr="0035245E">
              <w:t>Shipping List</w:t>
            </w:r>
          </w:p>
          <w:p w14:paraId="7F0C4CAA" w14:textId="31B75411" w:rsidR="00E002F6" w:rsidRPr="0035245E" w:rsidRDefault="005B049A" w:rsidP="00562B10">
            <w:pPr>
              <w:pStyle w:val="ListParagraph"/>
              <w:numPr>
                <w:ilvl w:val="0"/>
                <w:numId w:val="66"/>
              </w:numPr>
            </w:pPr>
            <w:r w:rsidRPr="0035245E">
              <w:t xml:space="preserve">Anatomic </w:t>
            </w:r>
            <w:r w:rsidR="00E002F6" w:rsidRPr="0035245E">
              <w:t>Pathology Report</w:t>
            </w:r>
            <w:r w:rsidRPr="0035245E">
              <w:t xml:space="preserve"> corresponding to the tissue collection procedure</w:t>
            </w:r>
          </w:p>
          <w:p w14:paraId="15E60089" w14:textId="77777777" w:rsidR="00E002F6" w:rsidRPr="0035245E" w:rsidRDefault="00E002F6" w:rsidP="00B97120"/>
        </w:tc>
      </w:tr>
      <w:tr w:rsidR="005B049A" w14:paraId="70D7D1B2" w14:textId="77777777" w:rsidTr="00F45E20">
        <w:trPr>
          <w:trHeight w:val="773"/>
        </w:trPr>
        <w:tc>
          <w:tcPr>
            <w:tcW w:w="3955" w:type="dxa"/>
          </w:tcPr>
          <w:p w14:paraId="3FBA42CC" w14:textId="77777777" w:rsidR="005B049A" w:rsidRPr="0035245E" w:rsidRDefault="005B049A" w:rsidP="005B049A">
            <w:r w:rsidRPr="0035245E">
              <w:t>Surgical Tissue</w:t>
            </w:r>
          </w:p>
          <w:p w14:paraId="1ACF2BB4" w14:textId="5DD13F9E" w:rsidR="005B049A" w:rsidRPr="0035245E" w:rsidDel="005B049A" w:rsidRDefault="007E27F1" w:rsidP="005B049A">
            <w:r>
              <w:rPr>
                <w:i/>
                <w:iCs/>
              </w:rPr>
              <w:t>Only applicable to City of Hope sub-study patients who do not have archival tissue available.</w:t>
            </w:r>
          </w:p>
        </w:tc>
        <w:tc>
          <w:tcPr>
            <w:tcW w:w="5040" w:type="dxa"/>
          </w:tcPr>
          <w:p w14:paraId="487EEE1E" w14:textId="77777777" w:rsidR="005B049A" w:rsidRPr="0035245E" w:rsidRDefault="005B049A" w:rsidP="00562B10">
            <w:pPr>
              <w:pStyle w:val="ListParagraph"/>
              <w:numPr>
                <w:ilvl w:val="0"/>
                <w:numId w:val="72"/>
              </w:numPr>
            </w:pPr>
            <w:r w:rsidRPr="0035245E">
              <w:t>Shipping List</w:t>
            </w:r>
          </w:p>
          <w:p w14:paraId="4881C5AC" w14:textId="77777777" w:rsidR="005B049A" w:rsidRPr="0035245E" w:rsidRDefault="005B049A" w:rsidP="00562B10">
            <w:pPr>
              <w:pStyle w:val="ListParagraph"/>
              <w:numPr>
                <w:ilvl w:val="0"/>
                <w:numId w:val="72"/>
              </w:numPr>
            </w:pPr>
            <w:r w:rsidRPr="0035245E">
              <w:t>Corresponding Pathology Report from the surgery</w:t>
            </w:r>
            <w:r w:rsidRPr="0035245E">
              <w:rPr>
                <w:vertAlign w:val="superscript"/>
              </w:rPr>
              <w:t>1</w:t>
            </w:r>
          </w:p>
          <w:p w14:paraId="358929FB" w14:textId="77777777" w:rsidR="005B049A" w:rsidRPr="0035245E" w:rsidRDefault="005B049A" w:rsidP="005B049A">
            <w:pPr>
              <w:pStyle w:val="ListParagraph"/>
              <w:ind w:left="1080"/>
            </w:pPr>
          </w:p>
          <w:p w14:paraId="18CC4DF8" w14:textId="6A1C5B7F" w:rsidR="005B049A" w:rsidRPr="0035245E" w:rsidRDefault="005B049A" w:rsidP="005B049A">
            <w:r w:rsidRPr="0035245E">
              <w:rPr>
                <w:vertAlign w:val="superscript"/>
              </w:rPr>
              <w:t>1</w:t>
            </w:r>
            <w:r w:rsidRPr="0035245E">
              <w:t>For FFPE tissue, please hold submission of the tissue to the EET Biobank until the Corresponding Pathology Report is available.</w:t>
            </w:r>
          </w:p>
        </w:tc>
      </w:tr>
      <w:tr w:rsidR="005B049A" w14:paraId="4FD69B49" w14:textId="77777777" w:rsidTr="005C0BFC">
        <w:trPr>
          <w:trHeight w:val="838"/>
        </w:trPr>
        <w:tc>
          <w:tcPr>
            <w:tcW w:w="3955" w:type="dxa"/>
          </w:tcPr>
          <w:p w14:paraId="4DEA5327" w14:textId="0E6DB15B" w:rsidR="005B049A" w:rsidRPr="0035245E" w:rsidRDefault="005B049A" w:rsidP="005B049A">
            <w:r w:rsidRPr="0035245E">
              <w:t>Other (blood</w:t>
            </w:r>
            <w:r w:rsidR="006B3A9F">
              <w:t>, CSF</w:t>
            </w:r>
            <w:r w:rsidR="0035245E" w:rsidRPr="0035245E">
              <w:t>)</w:t>
            </w:r>
          </w:p>
        </w:tc>
        <w:tc>
          <w:tcPr>
            <w:tcW w:w="5040" w:type="dxa"/>
          </w:tcPr>
          <w:p w14:paraId="3184D470" w14:textId="77777777" w:rsidR="005B049A" w:rsidRPr="0035245E" w:rsidRDefault="005B049A" w:rsidP="005B049A">
            <w:r w:rsidRPr="0035245E">
              <w:t>1. Shipping List</w:t>
            </w:r>
          </w:p>
        </w:tc>
      </w:tr>
    </w:tbl>
    <w:p w14:paraId="77102E1C" w14:textId="77777777" w:rsidR="00E002F6" w:rsidRDefault="00E002F6" w:rsidP="00B97120">
      <w:pPr>
        <w:rPr>
          <w:b/>
          <w:bCs/>
          <w:highlight w:val="lightGray"/>
        </w:rPr>
      </w:pPr>
    </w:p>
    <w:p w14:paraId="3B2AAE41" w14:textId="77777777" w:rsidR="00320E27" w:rsidRPr="0035245E" w:rsidRDefault="00320E27" w:rsidP="00320E27">
      <w:pPr>
        <w:rPr>
          <w:b/>
          <w:bCs/>
        </w:rPr>
      </w:pPr>
      <w:r w:rsidRPr="0035245E">
        <w:rPr>
          <w:b/>
          <w:bCs/>
        </w:rPr>
        <w:t xml:space="preserve">Each document submitted with the specimen must be labeled with a label printed from the STS, or the Universal ID and Patient Study ID. </w:t>
      </w:r>
    </w:p>
    <w:p w14:paraId="3E05F5E6" w14:textId="77777777" w:rsidR="00E002F6" w:rsidRPr="0035245E" w:rsidRDefault="00E002F6" w:rsidP="00B97120"/>
    <w:p w14:paraId="08C9B85C" w14:textId="77777777" w:rsidR="00320E27" w:rsidRPr="0035245E" w:rsidRDefault="00320E27" w:rsidP="00320E27">
      <w:bookmarkStart w:id="60" w:name="_Hlk155605917"/>
      <w:r w:rsidRPr="0035245E">
        <w:rPr>
          <w:u w:val="single"/>
        </w:rPr>
        <w:t>Minimum required personally identifiable information:</w:t>
      </w:r>
    </w:p>
    <w:p w14:paraId="3DB25BB7" w14:textId="3EF45F8A" w:rsidR="00320E27" w:rsidRPr="0035245E" w:rsidRDefault="00320E27" w:rsidP="00562B10">
      <w:pPr>
        <w:numPr>
          <w:ilvl w:val="0"/>
          <w:numId w:val="73"/>
        </w:numPr>
        <w:ind w:left="720"/>
        <w:contextualSpacing/>
      </w:pPr>
      <w:r w:rsidRPr="0035245E">
        <w:t xml:space="preserve">Remove patient identifiers such as name, date of birth, medical record number, social security number, and insurance information from the pathology or other clinical reports. </w:t>
      </w:r>
    </w:p>
    <w:p w14:paraId="7E756174" w14:textId="01A28A35" w:rsidR="00320E27" w:rsidRPr="0035245E" w:rsidRDefault="00320E27" w:rsidP="00562B10">
      <w:pPr>
        <w:numPr>
          <w:ilvl w:val="0"/>
          <w:numId w:val="73"/>
        </w:numPr>
        <w:ind w:left="720"/>
        <w:contextualSpacing/>
        <w:rPr>
          <w:sz w:val="28"/>
          <w:szCs w:val="28"/>
        </w:rPr>
      </w:pPr>
      <w:r w:rsidRPr="0035245E">
        <w:t>Do not remove the date of procedure, surgical pathology ID (SPID) number, block number, and diagnosis.</w:t>
      </w:r>
    </w:p>
    <w:bookmarkEnd w:id="60"/>
    <w:p w14:paraId="6FE819B0" w14:textId="77777777" w:rsidR="00B97120" w:rsidRPr="000074D8" w:rsidRDefault="00B97120" w:rsidP="00B97120">
      <w:pPr>
        <w:rPr>
          <w:highlight w:val="lightGray"/>
        </w:rPr>
      </w:pPr>
    </w:p>
    <w:p w14:paraId="362E743E" w14:textId="1506FC6B" w:rsidR="00B97120" w:rsidRPr="00F91F30" w:rsidRDefault="00B97120" w:rsidP="00327849">
      <w:pPr>
        <w:pStyle w:val="Level3Heading"/>
        <w:rPr>
          <w:u w:val="single"/>
        </w:rPr>
      </w:pPr>
      <w:r w:rsidRPr="00F91F30">
        <w:rPr>
          <w:u w:val="single"/>
        </w:rPr>
        <w:t>Specimen Shipping Instructions</w:t>
      </w:r>
    </w:p>
    <w:p w14:paraId="2F2E3961" w14:textId="77777777" w:rsidR="00B97120" w:rsidRPr="00F91F30" w:rsidRDefault="00B97120" w:rsidP="00B97120"/>
    <w:p w14:paraId="79B82F39" w14:textId="160310F4" w:rsidR="00320E27" w:rsidRPr="00F91F30" w:rsidRDefault="00320E27" w:rsidP="00320E27">
      <w:r w:rsidRPr="00F91F30">
        <w:t>When kits are provided, the shipping container sent with kit contents should be used to ship specimens to the EET Biobank.  In winter months, please include extra insulation, such as bubble wrap, inside the shipping container with ambient specimens.</w:t>
      </w:r>
    </w:p>
    <w:p w14:paraId="33F84CC3" w14:textId="77777777" w:rsidR="00B97120" w:rsidRPr="00F91F30" w:rsidRDefault="00B97120" w:rsidP="00B97120"/>
    <w:p w14:paraId="57A5A4DD" w14:textId="2B7BA56F" w:rsidR="00B97120" w:rsidRPr="00F91F30" w:rsidRDefault="00F91F30" w:rsidP="00B97120">
      <w:r w:rsidRPr="00F91F30">
        <w:t>A</w:t>
      </w:r>
      <w:r w:rsidR="00B97120" w:rsidRPr="00F91F30">
        <w:t xml:space="preserve">rchival (FFPE) tissue may be shipped on Monday through Thursday. </w:t>
      </w:r>
    </w:p>
    <w:p w14:paraId="08B28BD4" w14:textId="77777777" w:rsidR="00B97120" w:rsidRPr="00F91F30" w:rsidRDefault="00B97120" w:rsidP="00B97120"/>
    <w:p w14:paraId="44AAF9D0" w14:textId="294896A3" w:rsidR="00B97120" w:rsidRPr="00F91F30" w:rsidRDefault="00B97120" w:rsidP="00B97120">
      <w:r w:rsidRPr="00F91F30">
        <w:t>Fresh blood</w:t>
      </w:r>
      <w:r w:rsidR="008D2DD0" w:rsidRPr="00F91F30">
        <w:t xml:space="preserve"> </w:t>
      </w:r>
      <w:r w:rsidRPr="00F91F30">
        <w:t xml:space="preserve">may be shipped on Monday through Friday.  Please select “Saturday Delivery” when shipping fresh blood on a Friday. </w:t>
      </w:r>
    </w:p>
    <w:p w14:paraId="6E3E8A6F" w14:textId="77777777" w:rsidR="00B97120" w:rsidRPr="000074D8" w:rsidRDefault="00B97120" w:rsidP="00B97120">
      <w:pPr>
        <w:rPr>
          <w:highlight w:val="lightGray"/>
        </w:rPr>
      </w:pPr>
    </w:p>
    <w:p w14:paraId="61930F8D" w14:textId="65CC7D95" w:rsidR="002D6A8D" w:rsidRPr="006B5DBA" w:rsidRDefault="002D6A8D" w:rsidP="00327849">
      <w:pPr>
        <w:pStyle w:val="Level4Heading"/>
      </w:pPr>
      <w:r w:rsidRPr="006B5DBA">
        <w:lastRenderedPageBreak/>
        <w:t>Shipping</w:t>
      </w:r>
      <w:r w:rsidR="00CF0703" w:rsidRPr="006B5DBA">
        <w:t xml:space="preserve"> </w:t>
      </w:r>
      <w:bookmarkStart w:id="61" w:name="_Hlk23832741"/>
      <w:r w:rsidR="00CF0703" w:rsidRPr="006B5DBA">
        <w:t xml:space="preserve">of FFPE Blocks </w:t>
      </w:r>
      <w:r w:rsidR="00886610" w:rsidRPr="006B5DBA">
        <w:t>and</w:t>
      </w:r>
      <w:bookmarkEnd w:id="61"/>
      <w:r w:rsidR="00CF0703" w:rsidRPr="006B5DBA">
        <w:t xml:space="preserve"> </w:t>
      </w:r>
      <w:r w:rsidR="003024B6" w:rsidRPr="006B5DBA">
        <w:t>G</w:t>
      </w:r>
      <w:r w:rsidRPr="006B5DBA">
        <w:t xml:space="preserve">lass </w:t>
      </w:r>
      <w:r w:rsidR="003024B6" w:rsidRPr="006B5DBA">
        <w:t>S</w:t>
      </w:r>
      <w:r w:rsidRPr="006B5DBA">
        <w:t xml:space="preserve">lides </w:t>
      </w:r>
    </w:p>
    <w:p w14:paraId="7612030A" w14:textId="77777777" w:rsidR="003024B6" w:rsidRPr="006B5DBA" w:rsidRDefault="003024B6" w:rsidP="003024B6"/>
    <w:p w14:paraId="61C86E5C" w14:textId="74F4179E" w:rsidR="002D6A8D" w:rsidRPr="006B5DBA" w:rsidRDefault="002D6A8D" w:rsidP="00562B10">
      <w:pPr>
        <w:pStyle w:val="ListParagraph"/>
        <w:widowControl/>
        <w:numPr>
          <w:ilvl w:val="0"/>
          <w:numId w:val="43"/>
        </w:numPr>
      </w:pPr>
      <w:r w:rsidRPr="006B5DBA">
        <w:t xml:space="preserve">Before packaging </w:t>
      </w:r>
      <w:bookmarkStart w:id="62" w:name="_Hlk23832754"/>
      <w:r w:rsidR="00CF0703" w:rsidRPr="006B5DBA">
        <w:t xml:space="preserve">blocks or </w:t>
      </w:r>
      <w:bookmarkEnd w:id="62"/>
      <w:r w:rsidRPr="006B5DBA">
        <w:t>slides, verify that</w:t>
      </w:r>
      <w:r w:rsidR="00CF0703" w:rsidRPr="006B5DBA">
        <w:t xml:space="preserve"> </w:t>
      </w:r>
      <w:bookmarkStart w:id="63" w:name="_Hlk23832769"/>
      <w:r w:rsidR="00CF0703" w:rsidRPr="006B5DBA">
        <w:t>each specimen is</w:t>
      </w:r>
      <w:r w:rsidRPr="006B5DBA">
        <w:t xml:space="preserve"> </w:t>
      </w:r>
      <w:bookmarkEnd w:id="63"/>
      <w:r w:rsidRPr="006B5DBA">
        <w:t>labeled according to Section 5.4.2.2.</w:t>
      </w:r>
    </w:p>
    <w:p w14:paraId="613EACF7" w14:textId="3379C0B3" w:rsidR="002D6A8D" w:rsidRPr="006B5DBA" w:rsidRDefault="00B542C4" w:rsidP="00562B10">
      <w:pPr>
        <w:pStyle w:val="ListParagraph"/>
        <w:widowControl/>
        <w:numPr>
          <w:ilvl w:val="0"/>
          <w:numId w:val="43"/>
        </w:numPr>
      </w:pPr>
      <w:bookmarkStart w:id="64" w:name="_Hlk23833182"/>
      <w:r w:rsidRPr="006B5DBA">
        <w:t>Blocks should be placed in</w:t>
      </w:r>
      <w:r w:rsidR="00886610" w:rsidRPr="006B5DBA">
        <w:t xml:space="preserve"> a hard-sided container, preferably a </w:t>
      </w:r>
      <w:r w:rsidRPr="006B5DBA">
        <w:t>special block holder</w:t>
      </w:r>
      <w:r w:rsidR="00886610" w:rsidRPr="006B5DBA">
        <w:t xml:space="preserve">, to protect the specimen. </w:t>
      </w:r>
      <w:r w:rsidR="00905AB3" w:rsidRPr="006B5DBA">
        <w:t xml:space="preserve"> </w:t>
      </w:r>
      <w:bookmarkEnd w:id="64"/>
      <w:r w:rsidR="002D6A8D" w:rsidRPr="006B5DBA">
        <w:t>Glass slides are to be placed in</w:t>
      </w:r>
      <w:bookmarkStart w:id="65" w:name="_Hlk23833450"/>
      <w:r w:rsidRPr="006B5DBA">
        <w:t xml:space="preserve"> </w:t>
      </w:r>
      <w:r w:rsidR="0059032B" w:rsidRPr="006B5DBA">
        <w:t>plastic slide holders.</w:t>
      </w:r>
      <w:bookmarkEnd w:id="65"/>
      <w:r w:rsidR="002D6A8D" w:rsidRPr="006B5DBA">
        <w:t xml:space="preserve">  Place tissue paper on top of the separated slides prior to closing the slide </w:t>
      </w:r>
      <w:bookmarkStart w:id="66" w:name="_Hlk23833494"/>
      <w:r w:rsidR="0059032B" w:rsidRPr="006B5DBA">
        <w:t>holder</w:t>
      </w:r>
      <w:bookmarkEnd w:id="66"/>
      <w:r w:rsidR="002D6A8D" w:rsidRPr="006B5DBA">
        <w:t xml:space="preserve"> to reduce slide movement </w:t>
      </w:r>
      <w:bookmarkStart w:id="67" w:name="_Hlk23833543"/>
      <w:r w:rsidR="0059032B" w:rsidRPr="006B5DBA">
        <w:t>during shipment</w:t>
      </w:r>
      <w:bookmarkEnd w:id="67"/>
      <w:r w:rsidR="002D6A8D" w:rsidRPr="006B5DBA">
        <w:t>.</w:t>
      </w:r>
    </w:p>
    <w:p w14:paraId="3C7E6F00" w14:textId="11AC1E08" w:rsidR="002D6A8D" w:rsidRPr="006B5DBA" w:rsidRDefault="007D131E" w:rsidP="00562B10">
      <w:pPr>
        <w:pStyle w:val="ListParagraph"/>
        <w:widowControl/>
        <w:numPr>
          <w:ilvl w:val="0"/>
          <w:numId w:val="43"/>
        </w:numPr>
        <w:rPr>
          <w:color w:val="D9D9D9" w:themeColor="background1" w:themeShade="D9"/>
        </w:rPr>
      </w:pPr>
      <w:bookmarkStart w:id="68" w:name="_Hlk23833608"/>
      <w:r w:rsidRPr="006B5DBA">
        <w:t>Place the blocks or slides</w:t>
      </w:r>
      <w:bookmarkEnd w:id="68"/>
      <w:r w:rsidR="002D6A8D" w:rsidRPr="006B5DBA">
        <w:t xml:space="preserve"> in </w:t>
      </w:r>
      <w:bookmarkStart w:id="69" w:name="_Hlk23833630"/>
      <w:r w:rsidRPr="006B5DBA">
        <w:t xml:space="preserve">a </w:t>
      </w:r>
      <w:bookmarkEnd w:id="69"/>
      <w:r w:rsidR="002D6A8D" w:rsidRPr="006B5DBA">
        <w:t xml:space="preserve">reinforced cardboard shipping box with appropriate packaging filler to minimize movement of </w:t>
      </w:r>
      <w:bookmarkStart w:id="70" w:name="_Hlk23833666"/>
      <w:r w:rsidR="00F65FA4" w:rsidRPr="006B5DBA">
        <w:t>specimens</w:t>
      </w:r>
      <w:bookmarkEnd w:id="70"/>
      <w:r w:rsidR="002D6A8D" w:rsidRPr="006B5DBA">
        <w:t xml:space="preserve"> within the shipping box.</w:t>
      </w:r>
      <w:bookmarkStart w:id="71" w:name="_Hlk23833102"/>
    </w:p>
    <w:p w14:paraId="709F79C5" w14:textId="6B15B6A2" w:rsidR="00117A27" w:rsidRPr="006B5DBA" w:rsidRDefault="00117A27" w:rsidP="00562B10">
      <w:pPr>
        <w:pStyle w:val="ListParagraph"/>
        <w:widowControl/>
        <w:numPr>
          <w:ilvl w:val="0"/>
          <w:numId w:val="43"/>
        </w:numPr>
        <w:snapToGrid w:val="0"/>
        <w:rPr>
          <w:color w:val="auto"/>
        </w:rPr>
      </w:pPr>
      <w:r w:rsidRPr="006B5DBA">
        <w:rPr>
          <w:color w:val="auto"/>
        </w:rPr>
        <w:t>Include a copy of the</w:t>
      </w:r>
      <w:r w:rsidR="00886610" w:rsidRPr="006B5DBA">
        <w:rPr>
          <w:color w:val="auto"/>
        </w:rPr>
        <w:t xml:space="preserve"> forms listed above and </w:t>
      </w:r>
      <w:r w:rsidRPr="006B5DBA">
        <w:rPr>
          <w:color w:val="auto"/>
        </w:rPr>
        <w:t xml:space="preserve">a shipping manifest from the Specimen Tracking System with each shipment. </w:t>
      </w:r>
    </w:p>
    <w:p w14:paraId="310F7B12" w14:textId="77777777" w:rsidR="00117A27" w:rsidRPr="006B5DBA" w:rsidRDefault="00117A27" w:rsidP="00562B10">
      <w:pPr>
        <w:pStyle w:val="ListParagraph"/>
        <w:widowControl/>
        <w:numPr>
          <w:ilvl w:val="0"/>
          <w:numId w:val="43"/>
        </w:numPr>
        <w:snapToGrid w:val="0"/>
        <w:rPr>
          <w:color w:val="auto"/>
        </w:rPr>
      </w:pPr>
      <w:r w:rsidRPr="006B5DBA">
        <w:rPr>
          <w:color w:val="auto"/>
        </w:rPr>
        <w:t>Please include a cold pack when shipping on hot days and extra insulation on cold days.</w:t>
      </w:r>
    </w:p>
    <w:p w14:paraId="2FCA2755" w14:textId="2E7540B7" w:rsidR="00B97120" w:rsidRPr="00F00AB2" w:rsidRDefault="00117A27" w:rsidP="00562B10">
      <w:pPr>
        <w:pStyle w:val="ListParagraph"/>
        <w:widowControl/>
        <w:numPr>
          <w:ilvl w:val="0"/>
          <w:numId w:val="43"/>
        </w:numPr>
        <w:snapToGrid w:val="0"/>
        <w:rPr>
          <w:color w:val="auto"/>
        </w:rPr>
      </w:pPr>
      <w:r w:rsidRPr="006B5DBA">
        <w:rPr>
          <w:color w:val="auto"/>
        </w:rPr>
        <w:t xml:space="preserve">Ship specimens to the address listed below.  FedEx Priority Overnight is strongly recommended to prevent delays in package receipt. </w:t>
      </w:r>
      <w:bookmarkEnd w:id="71"/>
    </w:p>
    <w:p w14:paraId="292CF241" w14:textId="77777777" w:rsidR="00C03861" w:rsidRPr="000074D8" w:rsidRDefault="00C03861" w:rsidP="00B97120">
      <w:pPr>
        <w:rPr>
          <w:highlight w:val="lightGray"/>
        </w:rPr>
      </w:pPr>
    </w:p>
    <w:p w14:paraId="12A4F47B" w14:textId="25A2D924" w:rsidR="001753A1" w:rsidRPr="00995C2B" w:rsidRDefault="001753A1" w:rsidP="00327849">
      <w:pPr>
        <w:pStyle w:val="Level4Heading"/>
      </w:pPr>
      <w:r w:rsidRPr="00995C2B">
        <w:t xml:space="preserve">Shipping Ambient Blood </w:t>
      </w:r>
      <w:r w:rsidR="008E7F6D" w:rsidRPr="00995C2B">
        <w:t>Using</w:t>
      </w:r>
      <w:r w:rsidRPr="00995C2B">
        <w:t xml:space="preserve"> </w:t>
      </w:r>
      <w:r w:rsidR="00434F3B" w:rsidRPr="00995C2B">
        <w:t xml:space="preserve">Supplies Provided by the </w:t>
      </w:r>
      <w:r w:rsidR="001C2DED" w:rsidRPr="00995C2B">
        <w:t>Institution</w:t>
      </w:r>
      <w:r w:rsidR="005B5F6E" w:rsidRPr="00995C2B">
        <w:t xml:space="preserve"> </w:t>
      </w:r>
    </w:p>
    <w:p w14:paraId="0D3557A3" w14:textId="77777777" w:rsidR="001753A1" w:rsidRPr="00995C2B" w:rsidRDefault="001753A1" w:rsidP="001753A1"/>
    <w:p w14:paraId="526FC521" w14:textId="46D6252A" w:rsidR="001753A1" w:rsidRPr="00995C2B" w:rsidRDefault="001753A1" w:rsidP="00562B10">
      <w:pPr>
        <w:pStyle w:val="ListParagraph"/>
        <w:numPr>
          <w:ilvl w:val="0"/>
          <w:numId w:val="65"/>
        </w:numPr>
      </w:pPr>
      <w:bookmarkStart w:id="72" w:name="_Hlk21420463"/>
      <w:r w:rsidRPr="00995C2B">
        <w:t>Before packaging specimens, verify that the collection tube is labeled according to instructions in section 5.</w:t>
      </w:r>
      <w:r w:rsidR="00337585" w:rsidRPr="00995C2B">
        <w:t>4.2</w:t>
      </w:r>
      <w:r w:rsidR="00D57A5F" w:rsidRPr="00995C2B">
        <w:t>.1</w:t>
      </w:r>
      <w:r w:rsidRPr="00995C2B">
        <w:t>.</w:t>
      </w:r>
    </w:p>
    <w:bookmarkEnd w:id="72"/>
    <w:p w14:paraId="24EA76AE" w14:textId="77777777" w:rsidR="001753A1" w:rsidRPr="00995C2B" w:rsidRDefault="001753A1" w:rsidP="00562B10">
      <w:pPr>
        <w:pStyle w:val="ListParagraph"/>
        <w:numPr>
          <w:ilvl w:val="0"/>
          <w:numId w:val="65"/>
        </w:numPr>
      </w:pPr>
      <w:r w:rsidRPr="00995C2B">
        <w:t xml:space="preserve">Place the blood collection tube into a zip-lock bag.  </w:t>
      </w:r>
    </w:p>
    <w:p w14:paraId="51D7B612" w14:textId="77777777" w:rsidR="001753A1" w:rsidRPr="00995C2B" w:rsidRDefault="001753A1" w:rsidP="00562B10">
      <w:pPr>
        <w:pStyle w:val="ListParagraph"/>
        <w:numPr>
          <w:ilvl w:val="0"/>
          <w:numId w:val="65"/>
        </w:numPr>
      </w:pPr>
      <w:r w:rsidRPr="00995C2B">
        <w:t xml:space="preserve">Place zip-lock bag into a biohazard envelope with absorbent material.  Expel as much air as possible and seal the envelope securely. </w:t>
      </w:r>
    </w:p>
    <w:p w14:paraId="5B70A79B" w14:textId="77777777" w:rsidR="001753A1" w:rsidRPr="00995C2B" w:rsidRDefault="001753A1" w:rsidP="00562B10">
      <w:pPr>
        <w:pStyle w:val="ListParagraph"/>
        <w:numPr>
          <w:ilvl w:val="0"/>
          <w:numId w:val="65"/>
        </w:numPr>
      </w:pPr>
      <w:r w:rsidRPr="00995C2B">
        <w:t>Place the biohazard envelope into a Tyvek envelope.  Expel as much air as possible and seal securely.</w:t>
      </w:r>
    </w:p>
    <w:p w14:paraId="0BDAC1B3" w14:textId="13EBF318" w:rsidR="001753A1" w:rsidRPr="00995C2B" w:rsidRDefault="001753A1" w:rsidP="00562B10">
      <w:pPr>
        <w:pStyle w:val="ListParagraph"/>
        <w:numPr>
          <w:ilvl w:val="0"/>
          <w:numId w:val="65"/>
        </w:numPr>
      </w:pPr>
      <w:r w:rsidRPr="00995C2B">
        <w:t xml:space="preserve">Place the specimen(s) and a copy of the shipping manifest into a sturdy shipping container. In winter months please use an insulated container and include extra insulation, such as bubble wrap, inside the shipping container to prevent specimens from freezing. </w:t>
      </w:r>
    </w:p>
    <w:p w14:paraId="6245A214" w14:textId="77777777" w:rsidR="001753A1" w:rsidRPr="00995C2B" w:rsidRDefault="001753A1" w:rsidP="00562B10">
      <w:pPr>
        <w:pStyle w:val="ListParagraph"/>
        <w:numPr>
          <w:ilvl w:val="0"/>
          <w:numId w:val="65"/>
        </w:numPr>
      </w:pPr>
      <w:r w:rsidRPr="00995C2B">
        <w:t>Close the container and tape shut.</w:t>
      </w:r>
    </w:p>
    <w:p w14:paraId="2467BFFF" w14:textId="77777777" w:rsidR="001753A1" w:rsidRPr="00995C2B" w:rsidRDefault="001753A1" w:rsidP="00562B10">
      <w:pPr>
        <w:pStyle w:val="ListParagraph"/>
        <w:numPr>
          <w:ilvl w:val="0"/>
          <w:numId w:val="65"/>
        </w:numPr>
      </w:pPr>
      <w:r w:rsidRPr="00995C2B">
        <w:t xml:space="preserve">Attach a shipping label to the top of the shipping container. </w:t>
      </w:r>
    </w:p>
    <w:p w14:paraId="3B3D4E3D" w14:textId="77777777" w:rsidR="001753A1" w:rsidRPr="00995C2B" w:rsidRDefault="001753A1" w:rsidP="00562B10">
      <w:pPr>
        <w:pStyle w:val="ListParagraph"/>
        <w:numPr>
          <w:ilvl w:val="0"/>
          <w:numId w:val="65"/>
        </w:numPr>
      </w:pPr>
      <w:r w:rsidRPr="00995C2B">
        <w:t>Attach an Exempt Human Specimen sticker to the side of the container.</w:t>
      </w:r>
    </w:p>
    <w:p w14:paraId="39EF4145" w14:textId="77777777" w:rsidR="001753A1" w:rsidRPr="00995C2B" w:rsidRDefault="001753A1" w:rsidP="00562B10">
      <w:pPr>
        <w:pStyle w:val="ListParagraph"/>
        <w:numPr>
          <w:ilvl w:val="0"/>
          <w:numId w:val="65"/>
        </w:numPr>
      </w:pPr>
      <w:r w:rsidRPr="00995C2B">
        <w:t xml:space="preserve">Ship specimens via overnight courier to the address below.  FedEx Priority Overnight is strongly recommended to prevent delays in package receipt. </w:t>
      </w:r>
    </w:p>
    <w:p w14:paraId="2381A9A8" w14:textId="42FB19E2" w:rsidR="00B97120" w:rsidRDefault="00B97120" w:rsidP="00B97120">
      <w:pPr>
        <w:rPr>
          <w:highlight w:val="lightGray"/>
        </w:rPr>
      </w:pPr>
    </w:p>
    <w:p w14:paraId="4056582A" w14:textId="77777777" w:rsidR="00B97120" w:rsidRPr="00995C2B" w:rsidRDefault="00B97120" w:rsidP="00327849">
      <w:pPr>
        <w:pStyle w:val="Level3Heading"/>
        <w:rPr>
          <w:u w:val="single"/>
        </w:rPr>
      </w:pPr>
      <w:r w:rsidRPr="00995C2B">
        <w:rPr>
          <w:u w:val="single"/>
        </w:rPr>
        <w:t>Shipping Address</w:t>
      </w:r>
    </w:p>
    <w:p w14:paraId="4B811DB2" w14:textId="77777777" w:rsidR="00B97120" w:rsidRPr="00995C2B" w:rsidRDefault="00B97120" w:rsidP="00B97120"/>
    <w:p w14:paraId="335D18B8" w14:textId="77777777" w:rsidR="00B97120" w:rsidRPr="00995C2B" w:rsidRDefault="00B97120" w:rsidP="00B97120">
      <w:r w:rsidRPr="00995C2B">
        <w:rPr>
          <w:color w:val="000000" w:themeColor="text1"/>
        </w:rPr>
        <w:t xml:space="preserve">Ship to the address below.  Ship formalin-fixed and fresh blood specimens the </w:t>
      </w:r>
      <w:r w:rsidRPr="00995C2B">
        <w:t>same day of specimen collection.  Do not ship specimens the day before a holiday.</w:t>
      </w:r>
    </w:p>
    <w:p w14:paraId="158A29A2" w14:textId="77777777" w:rsidR="00B97120" w:rsidRPr="00995C2B" w:rsidRDefault="00B97120" w:rsidP="00B97120"/>
    <w:p w14:paraId="706BD6B5" w14:textId="0021205F" w:rsidR="00B97120" w:rsidRPr="00995C2B" w:rsidRDefault="008C3318" w:rsidP="00B97120">
      <w:r w:rsidRPr="00995C2B">
        <w:t>EET Biobank</w:t>
      </w:r>
    </w:p>
    <w:p w14:paraId="4E63901A" w14:textId="479DF907" w:rsidR="009B0AD5" w:rsidRPr="00CE1D05" w:rsidRDefault="009B0AD5" w:rsidP="009B0AD5">
      <w:r w:rsidRPr="00CE1D05">
        <w:t>2200 International Street</w:t>
      </w:r>
    </w:p>
    <w:p w14:paraId="55B910DE" w14:textId="4A4C4554" w:rsidR="00B97120" w:rsidRPr="00995C2B" w:rsidRDefault="00B97120" w:rsidP="00B97120">
      <w:r w:rsidRPr="00995C2B">
        <w:t xml:space="preserve">Columbus, Ohio </w:t>
      </w:r>
      <w:r w:rsidR="009B0AD5" w:rsidRPr="00995C2B">
        <w:t>43</w:t>
      </w:r>
      <w:r w:rsidR="009B0AD5">
        <w:t>228</w:t>
      </w:r>
    </w:p>
    <w:p w14:paraId="37C8F8AE" w14:textId="77777777" w:rsidR="00B97120" w:rsidRPr="00995C2B" w:rsidRDefault="00B97120" w:rsidP="00B97120">
      <w:r w:rsidRPr="00995C2B">
        <w:t>PH: (614) 722-2865</w:t>
      </w:r>
    </w:p>
    <w:p w14:paraId="33F8F17F" w14:textId="77777777" w:rsidR="00B97120" w:rsidRPr="00995C2B" w:rsidRDefault="00B97120" w:rsidP="00B97120">
      <w:r w:rsidRPr="00995C2B">
        <w:t>FAX: (614) 722-2897</w:t>
      </w:r>
    </w:p>
    <w:p w14:paraId="70555725" w14:textId="0D39E24C" w:rsidR="00B97120" w:rsidRPr="00995C2B" w:rsidRDefault="00B97120" w:rsidP="00B97120">
      <w:pPr>
        <w:rPr>
          <w:bCs/>
        </w:rPr>
      </w:pPr>
      <w:r w:rsidRPr="00995C2B">
        <w:rPr>
          <w:bCs/>
        </w:rPr>
        <w:t>E</w:t>
      </w:r>
      <w:r w:rsidR="00AC6B97" w:rsidRPr="00995C2B">
        <w:rPr>
          <w:bCs/>
        </w:rPr>
        <w:t>-</w:t>
      </w:r>
      <w:r w:rsidRPr="00995C2B">
        <w:rPr>
          <w:bCs/>
        </w:rPr>
        <w:t>mail:</w:t>
      </w:r>
      <w:r w:rsidR="00903065" w:rsidRPr="00995C2B">
        <w:rPr>
          <w:bCs/>
        </w:rPr>
        <w:t xml:space="preserve"> </w:t>
      </w:r>
      <w:r w:rsidRPr="00995C2B">
        <w:rPr>
          <w:bCs/>
        </w:rPr>
        <w:t xml:space="preserve"> </w:t>
      </w:r>
      <w:hyperlink r:id="rId50" w:history="1">
        <w:r w:rsidR="002C5EA0" w:rsidRPr="00995C2B">
          <w:rPr>
            <w:rStyle w:val="Hyperlink"/>
            <w:bCs/>
          </w:rPr>
          <w:t>BPCBank@nationwidechildrens.org</w:t>
        </w:r>
      </w:hyperlink>
    </w:p>
    <w:p w14:paraId="14FD279F" w14:textId="77777777" w:rsidR="00B97120" w:rsidRPr="00995C2B" w:rsidRDefault="00B97120" w:rsidP="00B97120"/>
    <w:p w14:paraId="4EE5B7EE" w14:textId="77777777" w:rsidR="00B97120" w:rsidRPr="00995C2B" w:rsidRDefault="00B97120" w:rsidP="00B97120">
      <w:r w:rsidRPr="00995C2B">
        <w:rPr>
          <w:b/>
        </w:rPr>
        <w:lastRenderedPageBreak/>
        <w:t>FedEx Priority Overnight</w:t>
      </w:r>
      <w:r w:rsidRPr="00995C2B">
        <w:t xml:space="preserve"> service is very strongly preferred.  </w:t>
      </w:r>
    </w:p>
    <w:p w14:paraId="5DCE1600" w14:textId="77777777" w:rsidR="00B97120" w:rsidRPr="00995C2B" w:rsidRDefault="00B97120" w:rsidP="00B97120"/>
    <w:p w14:paraId="462EF775" w14:textId="5F4ECEA8" w:rsidR="00B97120" w:rsidRPr="00995C2B" w:rsidRDefault="00B97120" w:rsidP="00B97120">
      <w:r w:rsidRPr="00995C2B">
        <w:rPr>
          <w:b/>
        </w:rPr>
        <w:t>NOTE:</w:t>
      </w:r>
      <w:r w:rsidRPr="00995C2B">
        <w:t xml:space="preserve">  The </w:t>
      </w:r>
      <w:r w:rsidR="008C3318" w:rsidRPr="00995C2B">
        <w:t>EET Biobank</w:t>
      </w:r>
      <w:r w:rsidR="000C0E06" w:rsidRPr="00995C2B">
        <w:t xml:space="preserve"> </w:t>
      </w:r>
      <w:r w:rsidRPr="00995C2B">
        <w:t>FedEx Account will not be provided to submitting institutions</w:t>
      </w:r>
      <w:r w:rsidR="002D5F67" w:rsidRPr="00995C2B">
        <w:t xml:space="preserve">. There is no central Courier account for this study.  Sites are responsible for the cost of shipments to the </w:t>
      </w:r>
      <w:r w:rsidR="008C3318" w:rsidRPr="00995C2B">
        <w:t>EET Biobank</w:t>
      </w:r>
      <w:r w:rsidRPr="00995C2B">
        <w:t>.</w:t>
      </w:r>
    </w:p>
    <w:p w14:paraId="7F63A89F" w14:textId="77777777" w:rsidR="00C03861" w:rsidRPr="00995C2B" w:rsidRDefault="00C03861" w:rsidP="00B97120"/>
    <w:p w14:paraId="0A714D8C" w14:textId="77777777" w:rsidR="00B97120" w:rsidRPr="00995C2B" w:rsidRDefault="00B97120" w:rsidP="00327849">
      <w:pPr>
        <w:pStyle w:val="Level3Heading"/>
        <w:rPr>
          <w:u w:val="single"/>
        </w:rPr>
      </w:pPr>
      <w:r w:rsidRPr="00995C2B">
        <w:rPr>
          <w:u w:val="single"/>
        </w:rPr>
        <w:t>Contact Information for Assistance</w:t>
      </w:r>
    </w:p>
    <w:p w14:paraId="37B8A05E" w14:textId="77777777" w:rsidR="00B97120" w:rsidRPr="00995C2B" w:rsidRDefault="00B97120" w:rsidP="00B97120"/>
    <w:p w14:paraId="40ED0BF1" w14:textId="77777777" w:rsidR="00B97120" w:rsidRPr="00995C2B" w:rsidRDefault="00B97120" w:rsidP="00B97120">
      <w:r w:rsidRPr="00995C2B">
        <w:t>For all queries, please use the contact information below:</w:t>
      </w:r>
    </w:p>
    <w:p w14:paraId="60EFF590" w14:textId="77777777" w:rsidR="00B97120" w:rsidRPr="00995C2B" w:rsidRDefault="00B97120" w:rsidP="00B97120"/>
    <w:p w14:paraId="70AC8D6B" w14:textId="6D5ADD00" w:rsidR="00B97120" w:rsidRPr="00995C2B" w:rsidRDefault="008C3318" w:rsidP="00B97120">
      <w:r w:rsidRPr="00995C2B">
        <w:t>EET Biobank</w:t>
      </w:r>
      <w:r w:rsidR="00B97120" w:rsidRPr="00995C2B">
        <w:t xml:space="preserve"> </w:t>
      </w:r>
    </w:p>
    <w:p w14:paraId="26BA4898" w14:textId="00DAD6A1" w:rsidR="00B97120" w:rsidRPr="00995C2B" w:rsidRDefault="00320E27" w:rsidP="00B97120">
      <w:r w:rsidRPr="00995C2B">
        <w:t>PH</w:t>
      </w:r>
      <w:r w:rsidR="00092DBF" w:rsidRPr="00995C2B">
        <w:t>:</w:t>
      </w:r>
      <w:r w:rsidR="00B97120" w:rsidRPr="00995C2B">
        <w:t xml:space="preserve"> </w:t>
      </w:r>
      <w:r w:rsidRPr="00995C2B">
        <w:t>(614) 722-2865</w:t>
      </w:r>
    </w:p>
    <w:p w14:paraId="537FB979" w14:textId="45B745EF" w:rsidR="00B97120" w:rsidRDefault="00B97120" w:rsidP="00B97120">
      <w:r w:rsidRPr="00995C2B">
        <w:t xml:space="preserve">E-mail:  </w:t>
      </w:r>
      <w:hyperlink r:id="rId51" w:history="1">
        <w:r w:rsidR="002C5EA0" w:rsidRPr="00995C2B">
          <w:rPr>
            <w:rStyle w:val="Hyperlink"/>
          </w:rPr>
          <w:t>BPCBank@nationwidechildrens.org</w:t>
        </w:r>
      </w:hyperlink>
    </w:p>
    <w:p w14:paraId="65FB3105" w14:textId="77777777" w:rsidR="00B97120" w:rsidRPr="002F4F85" w:rsidRDefault="00B97120" w:rsidP="00B97120"/>
    <w:p w14:paraId="70947364" w14:textId="0AC0D8B1" w:rsidR="003C6502" w:rsidRPr="00F01B83" w:rsidRDefault="003C6502" w:rsidP="00327849">
      <w:pPr>
        <w:pStyle w:val="Heading2"/>
      </w:pPr>
      <w:bookmarkStart w:id="73" w:name="_Toc176419910"/>
      <w:r w:rsidRPr="00F01B83">
        <w:t>Shipping of Specimens</w:t>
      </w:r>
      <w:r>
        <w:t xml:space="preserve"> from Clinical Site</w:t>
      </w:r>
      <w:r w:rsidRPr="00F01B83">
        <w:t xml:space="preserve"> </w:t>
      </w:r>
      <w:r w:rsidRPr="00290E13">
        <w:t>to Other Laboratories</w:t>
      </w:r>
      <w:bookmarkEnd w:id="73"/>
      <w:r w:rsidRPr="00F01B83">
        <w:t xml:space="preserve"> </w:t>
      </w:r>
    </w:p>
    <w:p w14:paraId="2EC928E9" w14:textId="77777777" w:rsidR="003C6502" w:rsidRDefault="003C6502" w:rsidP="003C6502">
      <w:pPr>
        <w:rPr>
          <w:i/>
        </w:rPr>
      </w:pPr>
    </w:p>
    <w:p w14:paraId="7633461D" w14:textId="5A806995" w:rsidR="007A0264" w:rsidRPr="00447BF2" w:rsidRDefault="007A0264" w:rsidP="00327849">
      <w:pPr>
        <w:pStyle w:val="Level3Heading"/>
        <w:rPr>
          <w:iCs/>
          <w:color w:val="auto"/>
          <w:u w:val="single"/>
        </w:rPr>
      </w:pPr>
      <w:r w:rsidRPr="00447BF2">
        <w:rPr>
          <w:color w:val="auto"/>
          <w:u w:val="single"/>
        </w:rPr>
        <w:t xml:space="preserve">Shipping of Specimens to </w:t>
      </w:r>
      <w:r w:rsidR="0048149D">
        <w:rPr>
          <w:iCs/>
          <w:color w:val="auto"/>
          <w:u w:val="single"/>
        </w:rPr>
        <w:t>Analytical Pharmacology Core</w:t>
      </w:r>
      <w:r w:rsidR="00CA712D" w:rsidRPr="00447BF2">
        <w:rPr>
          <w:iCs/>
          <w:color w:val="auto"/>
          <w:u w:val="single"/>
        </w:rPr>
        <w:t xml:space="preserve">, </w:t>
      </w:r>
      <w:r w:rsidR="00F22CD4">
        <w:rPr>
          <w:iCs/>
          <w:color w:val="auto"/>
          <w:u w:val="single"/>
        </w:rPr>
        <w:t>City of Hope</w:t>
      </w:r>
    </w:p>
    <w:p w14:paraId="34F58906" w14:textId="77777777" w:rsidR="00C84F0F" w:rsidRPr="00447BF2" w:rsidRDefault="00C84F0F" w:rsidP="00D8457D">
      <w:pPr>
        <w:rPr>
          <w:color w:val="auto"/>
        </w:rPr>
      </w:pPr>
    </w:p>
    <w:p w14:paraId="2815ADB7" w14:textId="77777777" w:rsidR="003C6502" w:rsidRPr="00447BF2" w:rsidRDefault="003C6502" w:rsidP="00327849">
      <w:pPr>
        <w:pStyle w:val="Level4Heading"/>
        <w:rPr>
          <w:color w:val="auto"/>
        </w:rPr>
      </w:pPr>
      <w:r w:rsidRPr="00447BF2">
        <w:rPr>
          <w:color w:val="auto"/>
        </w:rPr>
        <w:t>Specimen Shipping Instructions</w:t>
      </w:r>
    </w:p>
    <w:p w14:paraId="4EC2086D" w14:textId="77777777" w:rsidR="00410E84" w:rsidRPr="00447BF2" w:rsidRDefault="00410E84" w:rsidP="00410E84">
      <w:pPr>
        <w:rPr>
          <w:color w:val="auto"/>
        </w:rPr>
      </w:pPr>
    </w:p>
    <w:p w14:paraId="55CE5FCB" w14:textId="5581EECC" w:rsidR="00410E84" w:rsidRPr="00447BF2" w:rsidRDefault="002E6553" w:rsidP="00410E84">
      <w:pPr>
        <w:rPr>
          <w:iCs/>
          <w:color w:val="auto"/>
        </w:rPr>
      </w:pPr>
      <w:r w:rsidRPr="00447BF2">
        <w:rPr>
          <w:iCs/>
          <w:color w:val="auto"/>
        </w:rPr>
        <w:t>All samples should be shipped via overnight express courier in insulated contains with enough dry ice to maintain the samples in a frozen state.  Samples should be stored in cardboard boxes (5 1/8’ x 5 1/8’ x 2’, L x W x H).  Samples should be organized by patient and time point in the box.  Samples will not be placed in plastic bags.  A copy of each pharmacokinetic sample collection forms for the respective patients should be included with each shipment.  To prevent problems with illegible writing on tubes, consider numbering them and numbering the samples on the sample sheet.</w:t>
      </w:r>
    </w:p>
    <w:p w14:paraId="16FEA55A" w14:textId="77777777" w:rsidR="002E6553" w:rsidRPr="00447BF2" w:rsidRDefault="002E6553" w:rsidP="00410E84">
      <w:pPr>
        <w:rPr>
          <w:color w:val="auto"/>
        </w:rPr>
      </w:pPr>
    </w:p>
    <w:p w14:paraId="62B5FD9A" w14:textId="77777777" w:rsidR="003C6502" w:rsidRPr="00447BF2" w:rsidRDefault="003C6502" w:rsidP="00327849">
      <w:pPr>
        <w:pStyle w:val="Level4Heading"/>
        <w:rPr>
          <w:color w:val="auto"/>
        </w:rPr>
      </w:pPr>
      <w:r w:rsidRPr="00447BF2">
        <w:rPr>
          <w:color w:val="auto"/>
        </w:rPr>
        <w:t>Shipping Address</w:t>
      </w:r>
    </w:p>
    <w:p w14:paraId="01593EC6" w14:textId="77777777" w:rsidR="00410E84" w:rsidRPr="00447BF2" w:rsidRDefault="00410E84" w:rsidP="00410E84">
      <w:pPr>
        <w:rPr>
          <w:color w:val="auto"/>
        </w:rPr>
      </w:pPr>
    </w:p>
    <w:p w14:paraId="6A9D8264" w14:textId="0B5F5B83" w:rsidR="0008398C" w:rsidRDefault="00151235" w:rsidP="002E6553">
      <w:pPr>
        <w:ind w:left="1080"/>
        <w:rPr>
          <w:color w:val="auto"/>
        </w:rPr>
      </w:pPr>
      <w:r>
        <w:rPr>
          <w:color w:val="auto"/>
        </w:rPr>
        <w:t>Analytical Pharmacology Core</w:t>
      </w:r>
    </w:p>
    <w:p w14:paraId="7647A5E7" w14:textId="64467705" w:rsidR="00410E84" w:rsidRPr="00447BF2" w:rsidRDefault="00933DA1" w:rsidP="002E6553">
      <w:pPr>
        <w:ind w:left="1080"/>
        <w:rPr>
          <w:color w:val="auto"/>
        </w:rPr>
      </w:pPr>
      <w:r>
        <w:rPr>
          <w:color w:val="auto"/>
        </w:rPr>
        <w:t>City of Hope</w:t>
      </w:r>
    </w:p>
    <w:p w14:paraId="61094F19" w14:textId="5E629DAF" w:rsidR="002E6553" w:rsidRPr="00447BF2" w:rsidRDefault="002E6553" w:rsidP="002E6553">
      <w:pPr>
        <w:ind w:left="1080"/>
        <w:rPr>
          <w:color w:val="auto"/>
        </w:rPr>
      </w:pPr>
      <w:r w:rsidRPr="00447BF2">
        <w:rPr>
          <w:color w:val="auto"/>
        </w:rPr>
        <w:t xml:space="preserve">Room </w:t>
      </w:r>
      <w:r w:rsidR="0008398C">
        <w:rPr>
          <w:color w:val="auto"/>
        </w:rPr>
        <w:t xml:space="preserve">1042 Shapiro Building </w:t>
      </w:r>
    </w:p>
    <w:p w14:paraId="19EC6E0F" w14:textId="6BA723D8" w:rsidR="002E6553" w:rsidRPr="00447BF2" w:rsidRDefault="0008398C" w:rsidP="002E6553">
      <w:pPr>
        <w:ind w:left="1080"/>
        <w:rPr>
          <w:color w:val="auto"/>
        </w:rPr>
      </w:pPr>
      <w:r>
        <w:rPr>
          <w:color w:val="auto"/>
        </w:rPr>
        <w:t>1500 E. Duarte</w:t>
      </w:r>
      <w:r w:rsidR="000A665C" w:rsidRPr="00447BF2">
        <w:rPr>
          <w:color w:val="auto"/>
        </w:rPr>
        <w:t xml:space="preserve"> </w:t>
      </w:r>
      <w:r>
        <w:rPr>
          <w:color w:val="auto"/>
        </w:rPr>
        <w:t>Road</w:t>
      </w:r>
    </w:p>
    <w:p w14:paraId="35D6A9E7" w14:textId="24E21469" w:rsidR="000A665C" w:rsidRPr="00447BF2" w:rsidRDefault="0008398C" w:rsidP="002E6553">
      <w:pPr>
        <w:ind w:left="1080"/>
        <w:rPr>
          <w:color w:val="auto"/>
        </w:rPr>
      </w:pPr>
      <w:r>
        <w:rPr>
          <w:color w:val="auto"/>
        </w:rPr>
        <w:t>Duarte</w:t>
      </w:r>
      <w:r w:rsidR="000A665C" w:rsidRPr="00447BF2">
        <w:rPr>
          <w:color w:val="auto"/>
        </w:rPr>
        <w:t xml:space="preserve">, </w:t>
      </w:r>
      <w:r>
        <w:rPr>
          <w:color w:val="auto"/>
        </w:rPr>
        <w:t>CA</w:t>
      </w:r>
      <w:r w:rsidR="000A665C" w:rsidRPr="00447BF2">
        <w:rPr>
          <w:color w:val="auto"/>
        </w:rPr>
        <w:t xml:space="preserve"> </w:t>
      </w:r>
      <w:r>
        <w:rPr>
          <w:color w:val="auto"/>
        </w:rPr>
        <w:t>91010</w:t>
      </w:r>
    </w:p>
    <w:p w14:paraId="67C72DE8" w14:textId="77777777" w:rsidR="00410E84" w:rsidRPr="00447BF2" w:rsidRDefault="00410E84" w:rsidP="00410E84">
      <w:pPr>
        <w:rPr>
          <w:color w:val="auto"/>
        </w:rPr>
      </w:pPr>
    </w:p>
    <w:p w14:paraId="7ACED8A7" w14:textId="77777777" w:rsidR="003C6502" w:rsidRPr="00447BF2" w:rsidRDefault="003C6502" w:rsidP="00327849">
      <w:pPr>
        <w:pStyle w:val="Level4Heading"/>
        <w:rPr>
          <w:color w:val="auto"/>
        </w:rPr>
      </w:pPr>
      <w:r w:rsidRPr="00447BF2">
        <w:rPr>
          <w:color w:val="auto"/>
        </w:rPr>
        <w:t>Contact Information for Assistance</w:t>
      </w:r>
    </w:p>
    <w:p w14:paraId="280B4AD3" w14:textId="77777777" w:rsidR="00410E84" w:rsidRPr="00447BF2" w:rsidRDefault="00410E84" w:rsidP="00410E84">
      <w:pPr>
        <w:rPr>
          <w:color w:val="auto"/>
        </w:rPr>
      </w:pPr>
    </w:p>
    <w:p w14:paraId="0B4C825C" w14:textId="1035C60E" w:rsidR="00410E84" w:rsidRPr="00447BF2" w:rsidRDefault="000A665C" w:rsidP="003461D0">
      <w:pPr>
        <w:ind w:left="720" w:firstLine="360"/>
        <w:rPr>
          <w:color w:val="auto"/>
        </w:rPr>
      </w:pPr>
      <w:r w:rsidRPr="00447BF2">
        <w:rPr>
          <w:color w:val="auto"/>
        </w:rPr>
        <w:t xml:space="preserve">PK Director: </w:t>
      </w:r>
      <w:r w:rsidR="0008398C">
        <w:rPr>
          <w:color w:val="auto"/>
        </w:rPr>
        <w:t>Tim Synold</w:t>
      </w:r>
      <w:r w:rsidRPr="00447BF2">
        <w:rPr>
          <w:color w:val="auto"/>
        </w:rPr>
        <w:t>, Ph</w:t>
      </w:r>
      <w:r w:rsidR="0008398C">
        <w:rPr>
          <w:color w:val="auto"/>
        </w:rPr>
        <w:t>arm.</w:t>
      </w:r>
      <w:r w:rsidRPr="00447BF2">
        <w:rPr>
          <w:color w:val="auto"/>
        </w:rPr>
        <w:t>D.</w:t>
      </w:r>
    </w:p>
    <w:p w14:paraId="5CABCF1D" w14:textId="46F007A9" w:rsidR="000A665C" w:rsidRPr="00447BF2" w:rsidRDefault="000A665C" w:rsidP="003461D0">
      <w:pPr>
        <w:ind w:left="720" w:firstLine="360"/>
        <w:rPr>
          <w:color w:val="auto"/>
        </w:rPr>
      </w:pPr>
      <w:r w:rsidRPr="00447BF2">
        <w:rPr>
          <w:color w:val="auto"/>
        </w:rPr>
        <w:t xml:space="preserve">Lab phone: </w:t>
      </w:r>
      <w:r w:rsidR="003461D0" w:rsidRPr="00447BF2">
        <w:rPr>
          <w:color w:val="auto"/>
        </w:rPr>
        <w:t xml:space="preserve"> </w:t>
      </w:r>
      <w:r w:rsidR="0008398C">
        <w:rPr>
          <w:color w:val="auto"/>
        </w:rPr>
        <w:t>626</w:t>
      </w:r>
      <w:r w:rsidR="003461D0" w:rsidRPr="00447BF2">
        <w:rPr>
          <w:color w:val="auto"/>
        </w:rPr>
        <w:t>-</w:t>
      </w:r>
      <w:r w:rsidR="0008398C">
        <w:rPr>
          <w:color w:val="auto"/>
        </w:rPr>
        <w:t>218</w:t>
      </w:r>
      <w:r w:rsidR="003461D0" w:rsidRPr="00447BF2">
        <w:rPr>
          <w:color w:val="auto"/>
        </w:rPr>
        <w:t>-</w:t>
      </w:r>
      <w:r w:rsidR="0008398C">
        <w:rPr>
          <w:color w:val="auto"/>
        </w:rPr>
        <w:t>1110</w:t>
      </w:r>
    </w:p>
    <w:p w14:paraId="2B0D4D7D" w14:textId="5608C4CE" w:rsidR="0008398C" w:rsidRDefault="003461D0" w:rsidP="003461D0">
      <w:pPr>
        <w:ind w:left="720" w:firstLine="360"/>
        <w:rPr>
          <w:color w:val="auto"/>
        </w:rPr>
      </w:pPr>
      <w:r w:rsidRPr="00447BF2">
        <w:rPr>
          <w:color w:val="auto"/>
        </w:rPr>
        <w:t xml:space="preserve">Lab fax:  </w:t>
      </w:r>
      <w:r w:rsidR="0008398C">
        <w:rPr>
          <w:color w:val="auto"/>
        </w:rPr>
        <w:t>626-471</w:t>
      </w:r>
      <w:r w:rsidRPr="00447BF2">
        <w:rPr>
          <w:color w:val="auto"/>
        </w:rPr>
        <w:t>-</w:t>
      </w:r>
      <w:r w:rsidR="0008398C">
        <w:rPr>
          <w:color w:val="auto"/>
        </w:rPr>
        <w:t>9376</w:t>
      </w:r>
    </w:p>
    <w:p w14:paraId="3E0F9149" w14:textId="2972F7B1" w:rsidR="003461D0" w:rsidRPr="00447BF2" w:rsidRDefault="003461D0" w:rsidP="003461D0">
      <w:pPr>
        <w:ind w:left="720" w:firstLine="360"/>
        <w:rPr>
          <w:color w:val="auto"/>
        </w:rPr>
      </w:pPr>
      <w:r w:rsidRPr="00447BF2">
        <w:rPr>
          <w:color w:val="auto"/>
        </w:rPr>
        <w:t xml:space="preserve">PK lab email: </w:t>
      </w:r>
      <w:r w:rsidR="0008398C">
        <w:rPr>
          <w:color w:val="auto"/>
        </w:rPr>
        <w:t>tsynold@coh.org</w:t>
      </w:r>
    </w:p>
    <w:p w14:paraId="72B3C5B2" w14:textId="77777777" w:rsidR="00340084" w:rsidRDefault="00340084" w:rsidP="003C59A4">
      <w:pPr>
        <w:sectPr w:rsidR="00340084" w:rsidSect="002322E3">
          <w:headerReference w:type="default" r:id="rId52"/>
          <w:footerReference w:type="default" r:id="rId53"/>
          <w:headerReference w:type="first" r:id="rId54"/>
          <w:footerReference w:type="first" r:id="rId55"/>
          <w:endnotePr>
            <w:numFmt w:val="decimal"/>
          </w:endnotePr>
          <w:pgSz w:w="12240" w:h="15840" w:code="1"/>
          <w:pgMar w:top="1440" w:right="1440" w:bottom="1440" w:left="1440" w:header="720" w:footer="720" w:gutter="0"/>
          <w:cols w:space="720"/>
          <w:noEndnote/>
          <w:docGrid w:linePitch="360"/>
        </w:sectPr>
      </w:pPr>
    </w:p>
    <w:p w14:paraId="09EA3D50" w14:textId="77777777" w:rsidR="00C82C7C" w:rsidRPr="003C59A4" w:rsidRDefault="00C82C7C" w:rsidP="003C59A4"/>
    <w:p w14:paraId="0A841A4D" w14:textId="77777777" w:rsidR="00676CA4" w:rsidRPr="00676CA4" w:rsidRDefault="004F4559">
      <w:pPr>
        <w:pStyle w:val="Heading2"/>
        <w:widowControl/>
        <w:suppressAutoHyphens/>
        <w:rPr>
          <w:iCs/>
        </w:rPr>
      </w:pPr>
      <w:bookmarkStart w:id="74" w:name="_Toc176419911"/>
      <w:r>
        <w:t>Biomarker Plan</w:t>
      </w:r>
      <w:bookmarkEnd w:id="74"/>
      <w:r w:rsidRPr="005D14A9">
        <w:t xml:space="preserve"> </w:t>
      </w:r>
    </w:p>
    <w:p w14:paraId="68646B8B" w14:textId="77777777" w:rsidR="004F4604" w:rsidRDefault="004F4604" w:rsidP="00BA0C18">
      <w:pPr>
        <w:rPr>
          <w:b/>
          <w:bCs/>
        </w:rPr>
      </w:pPr>
    </w:p>
    <w:p w14:paraId="28AFA353" w14:textId="5C95582C" w:rsidR="004F4559" w:rsidRPr="00BA0C18" w:rsidRDefault="004F4559" w:rsidP="00BA0C18">
      <w:pPr>
        <w:rPr>
          <w:b/>
          <w:bCs/>
        </w:rPr>
      </w:pPr>
      <w:r w:rsidRPr="00BA0C18">
        <w:rPr>
          <w:b/>
          <w:bCs/>
        </w:rPr>
        <w:t>List of Biomarker Assays in Order of Priority</w:t>
      </w:r>
    </w:p>
    <w:p w14:paraId="3C2B0164" w14:textId="519A61B6" w:rsidR="000B09CD" w:rsidRPr="00D15854" w:rsidRDefault="00D57CB7" w:rsidP="004F4559">
      <w:pPr>
        <w:widowControl/>
        <w:rPr>
          <w:b/>
          <w:i/>
        </w:rPr>
      </w:pPr>
      <w:r w:rsidRPr="00D15854">
        <w:rPr>
          <w:b/>
          <w:i/>
        </w:rPr>
        <w:t xml:space="preserve">Note for participating sites: </w:t>
      </w:r>
      <w:r w:rsidR="000B09CD" w:rsidRPr="00D15854">
        <w:rPr>
          <w:b/>
          <w:i/>
        </w:rPr>
        <w:t>Please see</w:t>
      </w:r>
      <w:r w:rsidRPr="00D15854">
        <w:rPr>
          <w:b/>
          <w:i/>
        </w:rPr>
        <w:t xml:space="preserve"> Section 5.1 for </w:t>
      </w:r>
      <w:r w:rsidR="00434B85" w:rsidRPr="00D15854">
        <w:rPr>
          <w:b/>
          <w:i/>
        </w:rPr>
        <w:t>details</w:t>
      </w:r>
      <w:r w:rsidRPr="00D15854">
        <w:rPr>
          <w:b/>
          <w:i/>
        </w:rPr>
        <w:t xml:space="preserve"> on specimen</w:t>
      </w:r>
      <w:r w:rsidR="009C5F14" w:rsidRPr="00D15854">
        <w:rPr>
          <w:b/>
          <w:i/>
        </w:rPr>
        <w:t>s</w:t>
      </w:r>
      <w:r w:rsidR="00434B85" w:rsidRPr="00D15854">
        <w:rPr>
          <w:b/>
          <w:i/>
        </w:rPr>
        <w:t xml:space="preserve"> </w:t>
      </w:r>
      <w:r w:rsidRPr="00D15854">
        <w:rPr>
          <w:b/>
          <w:i/>
        </w:rPr>
        <w:t xml:space="preserve">to collect.  The specimens </w:t>
      </w:r>
      <w:r w:rsidR="00434B85" w:rsidRPr="00D15854">
        <w:rPr>
          <w:b/>
          <w:i/>
        </w:rPr>
        <w:t xml:space="preserve">tested are not always the same specimens that are submitted by the site, as processing of blood and tissue will occur at the </w:t>
      </w:r>
      <w:r w:rsidR="008D77AD" w:rsidRPr="00D15854">
        <w:rPr>
          <w:b/>
          <w:i/>
        </w:rPr>
        <w:t>Biob</w:t>
      </w:r>
      <w:r w:rsidR="00434B85" w:rsidRPr="00D15854">
        <w:rPr>
          <w:b/>
          <w:i/>
        </w:rPr>
        <w:t>ank prior to testing.</w:t>
      </w:r>
      <w:r w:rsidR="000B09CD" w:rsidRPr="00D15854">
        <w:rPr>
          <w:b/>
          <w:i/>
        </w:rPr>
        <w:t xml:space="preserve"> </w:t>
      </w:r>
    </w:p>
    <w:tbl>
      <w:tblPr>
        <w:tblStyle w:val="TableGrid"/>
        <w:tblW w:w="5000" w:type="pct"/>
        <w:tblLook w:val="04A0" w:firstRow="1" w:lastRow="0" w:firstColumn="1" w:lastColumn="0" w:noHBand="0" w:noVBand="1"/>
      </w:tblPr>
      <w:tblGrid>
        <w:gridCol w:w="895"/>
        <w:gridCol w:w="1575"/>
        <w:gridCol w:w="1575"/>
        <w:gridCol w:w="2142"/>
        <w:gridCol w:w="1764"/>
        <w:gridCol w:w="1764"/>
        <w:gridCol w:w="1259"/>
        <w:gridCol w:w="1976"/>
      </w:tblGrid>
      <w:tr w:rsidR="00020459" w:rsidRPr="005C623C" w14:paraId="2D3248B0" w14:textId="77777777" w:rsidTr="00F04127">
        <w:trPr>
          <w:cantSplit/>
          <w:tblHeader/>
        </w:trPr>
        <w:tc>
          <w:tcPr>
            <w:tcW w:w="346" w:type="pct"/>
            <w:shd w:val="clear" w:color="auto" w:fill="C6D9F1" w:themeFill="text2" w:themeFillTint="33"/>
          </w:tcPr>
          <w:p w14:paraId="7519742D" w14:textId="77777777" w:rsidR="00020459" w:rsidRPr="005C623C" w:rsidRDefault="00020459" w:rsidP="00020459">
            <w:pPr>
              <w:rPr>
                <w:b/>
                <w:sz w:val="20"/>
                <w:szCs w:val="20"/>
              </w:rPr>
            </w:pPr>
            <w:r w:rsidRPr="005C623C">
              <w:rPr>
                <w:b/>
                <w:sz w:val="20"/>
                <w:szCs w:val="20"/>
              </w:rPr>
              <w:t>Priority</w:t>
            </w:r>
          </w:p>
        </w:tc>
        <w:tc>
          <w:tcPr>
            <w:tcW w:w="608" w:type="pct"/>
            <w:shd w:val="clear" w:color="auto" w:fill="C6D9F1" w:themeFill="text2" w:themeFillTint="33"/>
          </w:tcPr>
          <w:p w14:paraId="6C8AD80F" w14:textId="77777777" w:rsidR="00020459" w:rsidRPr="005C623C" w:rsidRDefault="00020459" w:rsidP="00020459">
            <w:pPr>
              <w:rPr>
                <w:b/>
                <w:sz w:val="20"/>
                <w:szCs w:val="20"/>
              </w:rPr>
            </w:pPr>
            <w:r w:rsidRPr="005C623C">
              <w:rPr>
                <w:b/>
                <w:sz w:val="20"/>
                <w:szCs w:val="20"/>
              </w:rPr>
              <w:t>Biomarker Name</w:t>
            </w:r>
          </w:p>
        </w:tc>
        <w:tc>
          <w:tcPr>
            <w:tcW w:w="608" w:type="pct"/>
            <w:shd w:val="clear" w:color="auto" w:fill="C6D9F1" w:themeFill="text2" w:themeFillTint="33"/>
          </w:tcPr>
          <w:p w14:paraId="258F9F14" w14:textId="4288F2FE" w:rsidR="00020459" w:rsidRDefault="00020459" w:rsidP="00020459">
            <w:pPr>
              <w:rPr>
                <w:b/>
                <w:sz w:val="20"/>
                <w:szCs w:val="20"/>
              </w:rPr>
            </w:pPr>
            <w:r w:rsidRPr="005C623C">
              <w:rPr>
                <w:b/>
                <w:sz w:val="20"/>
                <w:szCs w:val="20"/>
              </w:rPr>
              <w:t>Assay</w:t>
            </w:r>
            <w:r w:rsidR="00F36038">
              <w:rPr>
                <w:b/>
                <w:sz w:val="20"/>
                <w:szCs w:val="20"/>
              </w:rPr>
              <w:t xml:space="preserve"> and</w:t>
            </w:r>
          </w:p>
          <w:p w14:paraId="11D67DD6" w14:textId="64301408" w:rsidR="00020459" w:rsidRPr="005C623C" w:rsidRDefault="00020459" w:rsidP="00020459">
            <w:pPr>
              <w:rPr>
                <w:b/>
                <w:sz w:val="20"/>
                <w:szCs w:val="20"/>
              </w:rPr>
            </w:pPr>
            <w:r>
              <w:rPr>
                <w:b/>
                <w:sz w:val="20"/>
                <w:szCs w:val="20"/>
              </w:rPr>
              <w:t>CLIA:  Y/N</w:t>
            </w:r>
          </w:p>
        </w:tc>
        <w:tc>
          <w:tcPr>
            <w:tcW w:w="827" w:type="pct"/>
            <w:shd w:val="clear" w:color="auto" w:fill="C6D9F1" w:themeFill="text2" w:themeFillTint="33"/>
          </w:tcPr>
          <w:p w14:paraId="6CA63DBA" w14:textId="77777777" w:rsidR="00020459" w:rsidRPr="005C623C" w:rsidRDefault="00020459" w:rsidP="00020459">
            <w:pPr>
              <w:rPr>
                <w:b/>
                <w:sz w:val="20"/>
                <w:szCs w:val="20"/>
              </w:rPr>
            </w:pPr>
            <w:r>
              <w:rPr>
                <w:b/>
                <w:sz w:val="20"/>
                <w:szCs w:val="20"/>
              </w:rPr>
              <w:t>Use in the Trial and Purpose</w:t>
            </w:r>
          </w:p>
        </w:tc>
        <w:tc>
          <w:tcPr>
            <w:tcW w:w="681" w:type="pct"/>
            <w:shd w:val="clear" w:color="auto" w:fill="C6D9F1" w:themeFill="text2" w:themeFillTint="33"/>
          </w:tcPr>
          <w:p w14:paraId="409AF13F" w14:textId="7408B0D9" w:rsidR="00020459" w:rsidRPr="005C623C" w:rsidRDefault="00592ED3" w:rsidP="00020459">
            <w:pPr>
              <w:rPr>
                <w:b/>
                <w:sz w:val="20"/>
                <w:szCs w:val="20"/>
              </w:rPr>
            </w:pPr>
            <w:r w:rsidRPr="005C623C">
              <w:rPr>
                <w:b/>
                <w:sz w:val="20"/>
                <w:szCs w:val="20"/>
              </w:rPr>
              <w:t>Specimen</w:t>
            </w:r>
            <w:r>
              <w:rPr>
                <w:b/>
                <w:sz w:val="20"/>
                <w:szCs w:val="20"/>
              </w:rPr>
              <w:t xml:space="preserve">s </w:t>
            </w:r>
            <w:r w:rsidR="00020459">
              <w:rPr>
                <w:b/>
                <w:sz w:val="20"/>
                <w:szCs w:val="20"/>
              </w:rPr>
              <w:t>Tested</w:t>
            </w:r>
          </w:p>
        </w:tc>
        <w:tc>
          <w:tcPr>
            <w:tcW w:w="681" w:type="pct"/>
            <w:shd w:val="clear" w:color="auto" w:fill="C6D9F1" w:themeFill="text2" w:themeFillTint="33"/>
          </w:tcPr>
          <w:p w14:paraId="1325CE4A" w14:textId="77777777" w:rsidR="00020459" w:rsidRPr="005C623C" w:rsidRDefault="00020459" w:rsidP="00020459">
            <w:pPr>
              <w:rPr>
                <w:b/>
                <w:sz w:val="20"/>
                <w:szCs w:val="20"/>
              </w:rPr>
            </w:pPr>
            <w:r>
              <w:rPr>
                <w:b/>
                <w:sz w:val="20"/>
                <w:szCs w:val="20"/>
              </w:rPr>
              <w:t xml:space="preserve">Collection </w:t>
            </w:r>
            <w:r w:rsidRPr="005C623C">
              <w:rPr>
                <w:b/>
                <w:sz w:val="20"/>
                <w:szCs w:val="20"/>
              </w:rPr>
              <w:t>Tim</w:t>
            </w:r>
            <w:r>
              <w:rPr>
                <w:b/>
                <w:sz w:val="20"/>
                <w:szCs w:val="20"/>
              </w:rPr>
              <w:t>e Points</w:t>
            </w:r>
          </w:p>
        </w:tc>
        <w:tc>
          <w:tcPr>
            <w:tcW w:w="486" w:type="pct"/>
            <w:shd w:val="clear" w:color="auto" w:fill="C6D9F1" w:themeFill="text2" w:themeFillTint="33"/>
          </w:tcPr>
          <w:p w14:paraId="2C679C8A" w14:textId="0E21F884" w:rsidR="00020459" w:rsidRPr="005C623C" w:rsidRDefault="00592ED3" w:rsidP="00020459">
            <w:pPr>
              <w:rPr>
                <w:b/>
                <w:sz w:val="20"/>
                <w:szCs w:val="20"/>
              </w:rPr>
            </w:pPr>
            <w:r>
              <w:rPr>
                <w:b/>
                <w:sz w:val="20"/>
                <w:szCs w:val="20"/>
              </w:rPr>
              <w:t>Mandatory or Optional</w:t>
            </w:r>
          </w:p>
        </w:tc>
        <w:tc>
          <w:tcPr>
            <w:tcW w:w="763" w:type="pct"/>
            <w:shd w:val="clear" w:color="auto" w:fill="C6D9F1" w:themeFill="text2" w:themeFillTint="33"/>
          </w:tcPr>
          <w:p w14:paraId="1DED21B1" w14:textId="4445659C" w:rsidR="00020459" w:rsidRPr="005C623C" w:rsidRDefault="00020459" w:rsidP="00020459">
            <w:pPr>
              <w:rPr>
                <w:b/>
                <w:sz w:val="20"/>
                <w:szCs w:val="20"/>
              </w:rPr>
            </w:pPr>
            <w:r>
              <w:rPr>
                <w:b/>
                <w:sz w:val="20"/>
                <w:szCs w:val="20"/>
              </w:rPr>
              <w:t xml:space="preserve">Assay </w:t>
            </w:r>
            <w:r w:rsidRPr="005C623C">
              <w:rPr>
                <w:b/>
                <w:sz w:val="20"/>
                <w:szCs w:val="20"/>
              </w:rPr>
              <w:t>Laboratory</w:t>
            </w:r>
            <w:r w:rsidR="00F36038">
              <w:rPr>
                <w:b/>
                <w:sz w:val="20"/>
                <w:szCs w:val="20"/>
              </w:rPr>
              <w:t>,</w:t>
            </w:r>
            <w:r>
              <w:rPr>
                <w:b/>
                <w:sz w:val="20"/>
                <w:szCs w:val="20"/>
              </w:rPr>
              <w:t xml:space="preserve"> Lab PI</w:t>
            </w:r>
            <w:r w:rsidR="00F36038">
              <w:rPr>
                <w:b/>
                <w:sz w:val="20"/>
                <w:szCs w:val="20"/>
              </w:rPr>
              <w:t>, and Lab PI Email</w:t>
            </w:r>
          </w:p>
        </w:tc>
      </w:tr>
      <w:tr w:rsidR="0070250E" w:rsidRPr="005C623C" w14:paraId="19E855FE" w14:textId="77777777" w:rsidTr="002C47BA">
        <w:trPr>
          <w:cantSplit/>
          <w:trHeight w:val="216"/>
        </w:trPr>
        <w:tc>
          <w:tcPr>
            <w:tcW w:w="5000" w:type="pct"/>
            <w:gridSpan w:val="8"/>
            <w:shd w:val="clear" w:color="auto" w:fill="BFBFBF" w:themeFill="background1" w:themeFillShade="BF"/>
          </w:tcPr>
          <w:p w14:paraId="7D1B430D" w14:textId="26478B1C" w:rsidR="0070250E" w:rsidRPr="0022632D" w:rsidRDefault="0070250E" w:rsidP="00020459">
            <w:pPr>
              <w:rPr>
                <w:b/>
                <w:sz w:val="20"/>
                <w:szCs w:val="20"/>
              </w:rPr>
            </w:pPr>
            <w:r w:rsidRPr="0022632D">
              <w:rPr>
                <w:b/>
                <w:sz w:val="20"/>
                <w:szCs w:val="20"/>
              </w:rPr>
              <w:t xml:space="preserve">Tissue-based </w:t>
            </w:r>
          </w:p>
        </w:tc>
      </w:tr>
      <w:tr w:rsidR="007F37B5" w:rsidRPr="005C623C" w14:paraId="0F13D66A" w14:textId="77777777" w:rsidTr="0070250E">
        <w:trPr>
          <w:cantSplit/>
        </w:trPr>
        <w:tc>
          <w:tcPr>
            <w:tcW w:w="346" w:type="pct"/>
          </w:tcPr>
          <w:p w14:paraId="0137A5F4" w14:textId="6B09299F" w:rsidR="007F37B5" w:rsidRPr="001E68E9" w:rsidRDefault="007F37B5" w:rsidP="00A6242C">
            <w:pPr>
              <w:widowControl/>
              <w:spacing w:before="120"/>
              <w:jc w:val="center"/>
              <w:rPr>
                <w:rFonts w:eastAsia="Arial Unicode MS"/>
                <w:sz w:val="16"/>
                <w:szCs w:val="16"/>
              </w:rPr>
            </w:pPr>
            <w:r w:rsidRPr="001E68E9">
              <w:rPr>
                <w:rFonts w:eastAsia="Arial Unicode MS"/>
                <w:sz w:val="16"/>
                <w:szCs w:val="16"/>
              </w:rPr>
              <w:t>N/A</w:t>
            </w:r>
          </w:p>
        </w:tc>
        <w:tc>
          <w:tcPr>
            <w:tcW w:w="608" w:type="pct"/>
          </w:tcPr>
          <w:p w14:paraId="4EE6295A" w14:textId="4F52BBD4" w:rsidR="007F37B5" w:rsidRPr="001E68E9" w:rsidRDefault="007F37B5" w:rsidP="00A6242C">
            <w:pPr>
              <w:widowControl/>
              <w:spacing w:before="120"/>
              <w:rPr>
                <w:rFonts w:eastAsia="Arial Unicode MS"/>
                <w:sz w:val="16"/>
                <w:szCs w:val="16"/>
              </w:rPr>
            </w:pPr>
            <w:r w:rsidRPr="001E68E9">
              <w:rPr>
                <w:rFonts w:eastAsia="Arial Unicode MS"/>
                <w:sz w:val="16"/>
                <w:szCs w:val="16"/>
              </w:rPr>
              <w:t>IDH1/2</w:t>
            </w:r>
          </w:p>
        </w:tc>
        <w:tc>
          <w:tcPr>
            <w:tcW w:w="608" w:type="pct"/>
          </w:tcPr>
          <w:p w14:paraId="7E0857A1" w14:textId="77777777" w:rsidR="007F37B5" w:rsidRPr="001E68E9" w:rsidRDefault="007F37B5" w:rsidP="007F37B5">
            <w:pPr>
              <w:widowControl/>
              <w:spacing w:before="120"/>
              <w:ind w:left="43"/>
              <w:rPr>
                <w:rFonts w:eastAsia="Arial Unicode MS"/>
                <w:sz w:val="16"/>
                <w:szCs w:val="16"/>
              </w:rPr>
            </w:pPr>
            <w:r w:rsidRPr="001E68E9">
              <w:rPr>
                <w:rFonts w:eastAsia="Arial Unicode MS"/>
                <w:sz w:val="16"/>
                <w:szCs w:val="16"/>
              </w:rPr>
              <w:t>NGS</w:t>
            </w:r>
          </w:p>
          <w:p w14:paraId="2116ABE2" w14:textId="77777777" w:rsidR="007F37B5" w:rsidRPr="001E68E9" w:rsidRDefault="007F37B5" w:rsidP="007F37B5">
            <w:pPr>
              <w:widowControl/>
              <w:spacing w:before="120"/>
              <w:ind w:left="43"/>
              <w:rPr>
                <w:rFonts w:eastAsia="Arial Unicode MS"/>
                <w:sz w:val="16"/>
                <w:szCs w:val="16"/>
              </w:rPr>
            </w:pPr>
            <w:r w:rsidRPr="001E68E9">
              <w:rPr>
                <w:rFonts w:eastAsia="Arial Unicode MS"/>
                <w:sz w:val="16"/>
                <w:szCs w:val="16"/>
              </w:rPr>
              <w:t>CLIA:  Y</w:t>
            </w:r>
          </w:p>
          <w:p w14:paraId="65D051A3" w14:textId="6F9666E9" w:rsidR="007F37B5" w:rsidRPr="001E68E9" w:rsidRDefault="007F37B5" w:rsidP="007F37B5">
            <w:pPr>
              <w:rPr>
                <w:sz w:val="16"/>
                <w:szCs w:val="16"/>
              </w:rPr>
            </w:pPr>
          </w:p>
        </w:tc>
        <w:tc>
          <w:tcPr>
            <w:tcW w:w="827" w:type="pct"/>
          </w:tcPr>
          <w:p w14:paraId="053E136D" w14:textId="77777777" w:rsidR="007F37B5" w:rsidRPr="001E68E9" w:rsidRDefault="007F37B5" w:rsidP="00A6242C">
            <w:pPr>
              <w:widowControl/>
              <w:spacing w:before="120"/>
              <w:rPr>
                <w:rFonts w:eastAsia="Arial Unicode MS"/>
                <w:sz w:val="16"/>
                <w:szCs w:val="16"/>
              </w:rPr>
            </w:pPr>
            <w:r w:rsidRPr="001E68E9">
              <w:rPr>
                <w:rFonts w:eastAsia="Arial Unicode MS"/>
                <w:sz w:val="16"/>
                <w:szCs w:val="16"/>
              </w:rPr>
              <w:t>Integrated</w:t>
            </w:r>
          </w:p>
          <w:p w14:paraId="69BFC795" w14:textId="397BFE16" w:rsidR="007F37B5" w:rsidRPr="001E68E9" w:rsidRDefault="007F37B5" w:rsidP="00A6242C">
            <w:pPr>
              <w:spacing w:before="120"/>
              <w:rPr>
                <w:sz w:val="16"/>
                <w:szCs w:val="16"/>
              </w:rPr>
            </w:pPr>
            <w:r w:rsidRPr="001E68E9">
              <w:rPr>
                <w:rFonts w:eastAsia="Arial Unicode MS"/>
                <w:sz w:val="16"/>
                <w:szCs w:val="16"/>
              </w:rPr>
              <w:t>To correlate IDH1/2 status with tumor response and clinical outcomes</w:t>
            </w:r>
          </w:p>
        </w:tc>
        <w:tc>
          <w:tcPr>
            <w:tcW w:w="681" w:type="pct"/>
          </w:tcPr>
          <w:p w14:paraId="7D5891FE" w14:textId="02FE6C5A" w:rsidR="007F37B5" w:rsidRPr="001E68E9" w:rsidRDefault="007F37B5" w:rsidP="00A6242C">
            <w:pPr>
              <w:widowControl/>
              <w:spacing w:before="120"/>
              <w:rPr>
                <w:rFonts w:eastAsia="Arial Unicode MS"/>
                <w:sz w:val="16"/>
                <w:szCs w:val="16"/>
              </w:rPr>
            </w:pPr>
            <w:r w:rsidRPr="001E68E9">
              <w:rPr>
                <w:rFonts w:eastAsia="Arial Unicode MS"/>
                <w:sz w:val="16"/>
                <w:szCs w:val="16"/>
              </w:rPr>
              <w:t>N/A</w:t>
            </w:r>
          </w:p>
        </w:tc>
        <w:tc>
          <w:tcPr>
            <w:tcW w:w="681" w:type="pct"/>
          </w:tcPr>
          <w:p w14:paraId="17784538" w14:textId="77777777" w:rsidR="007F37B5" w:rsidRPr="001E68E9" w:rsidRDefault="007F37B5" w:rsidP="008D386F">
            <w:pPr>
              <w:widowControl/>
              <w:spacing w:before="120"/>
              <w:rPr>
                <w:rFonts w:eastAsia="Arial Unicode MS"/>
                <w:b/>
                <w:bCs/>
                <w:sz w:val="16"/>
                <w:szCs w:val="16"/>
              </w:rPr>
            </w:pPr>
            <w:r w:rsidRPr="00F556A6">
              <w:rPr>
                <w:rFonts w:eastAsia="Arial Unicode MS"/>
                <w:sz w:val="16"/>
                <w:szCs w:val="16"/>
                <w:u w:val="single"/>
              </w:rPr>
              <w:t>All patients</w:t>
            </w:r>
            <w:r w:rsidRPr="00F556A6">
              <w:rPr>
                <w:rFonts w:eastAsia="Arial Unicode MS"/>
                <w:sz w:val="16"/>
                <w:szCs w:val="16"/>
              </w:rPr>
              <w:t>:</w:t>
            </w:r>
          </w:p>
          <w:p w14:paraId="7C04212C" w14:textId="77777777" w:rsidR="007F37B5" w:rsidRPr="001E68E9" w:rsidRDefault="007F37B5" w:rsidP="008D386F">
            <w:pPr>
              <w:widowControl/>
              <w:spacing w:before="120"/>
              <w:rPr>
                <w:rFonts w:eastAsia="Arial Unicode MS"/>
                <w:sz w:val="16"/>
                <w:szCs w:val="16"/>
              </w:rPr>
            </w:pPr>
            <w:r w:rsidRPr="001E68E9">
              <w:rPr>
                <w:rFonts w:eastAsia="Arial Unicode MS"/>
                <w:sz w:val="16"/>
                <w:szCs w:val="16"/>
              </w:rPr>
              <w:t>Pre-enrollment</w:t>
            </w:r>
          </w:p>
          <w:p w14:paraId="49E5A892" w14:textId="45799F27" w:rsidR="007F37B5" w:rsidRPr="001E68E9" w:rsidRDefault="007F37B5" w:rsidP="008D386F">
            <w:pPr>
              <w:spacing w:before="120"/>
              <w:rPr>
                <w:sz w:val="16"/>
                <w:szCs w:val="16"/>
                <w:highlight w:val="lightGray"/>
              </w:rPr>
            </w:pPr>
            <w:r w:rsidRPr="001E68E9">
              <w:rPr>
                <w:rFonts w:eastAsia="Arial Unicode MS"/>
                <w:sz w:val="16"/>
                <w:szCs w:val="16"/>
              </w:rPr>
              <w:t>Will be collected from pre-existing patient records from diagnosis</w:t>
            </w:r>
          </w:p>
        </w:tc>
        <w:tc>
          <w:tcPr>
            <w:tcW w:w="486" w:type="pct"/>
          </w:tcPr>
          <w:p w14:paraId="2ED42305" w14:textId="77777777" w:rsidR="007F37B5" w:rsidRPr="001E68E9" w:rsidRDefault="007F37B5" w:rsidP="00394B8F">
            <w:pPr>
              <w:widowControl/>
              <w:spacing w:before="120"/>
              <w:ind w:left="43"/>
              <w:rPr>
                <w:rFonts w:eastAsia="Arial Unicode MS"/>
                <w:sz w:val="16"/>
                <w:szCs w:val="16"/>
              </w:rPr>
            </w:pPr>
          </w:p>
          <w:p w14:paraId="0A80C714" w14:textId="1B505082" w:rsidR="007F37B5" w:rsidRPr="001E68E9" w:rsidRDefault="007F37B5" w:rsidP="00394B8F">
            <w:pPr>
              <w:spacing w:before="120"/>
              <w:rPr>
                <w:i/>
                <w:sz w:val="16"/>
                <w:szCs w:val="16"/>
                <w:highlight w:val="lightGray"/>
              </w:rPr>
            </w:pPr>
            <w:r w:rsidRPr="001E68E9">
              <w:rPr>
                <w:rFonts w:eastAsia="Arial Unicode MS"/>
                <w:sz w:val="16"/>
                <w:szCs w:val="16"/>
              </w:rPr>
              <w:t xml:space="preserve">M </w:t>
            </w:r>
          </w:p>
        </w:tc>
        <w:tc>
          <w:tcPr>
            <w:tcW w:w="763" w:type="pct"/>
          </w:tcPr>
          <w:p w14:paraId="0961FC2C" w14:textId="2C3B1500" w:rsidR="007F37B5" w:rsidRPr="001E68E9" w:rsidRDefault="007F37B5" w:rsidP="00A6242C">
            <w:pPr>
              <w:widowControl/>
              <w:spacing w:before="120"/>
              <w:rPr>
                <w:rFonts w:eastAsia="Arial Unicode MS"/>
                <w:sz w:val="16"/>
                <w:szCs w:val="16"/>
              </w:rPr>
            </w:pPr>
            <w:r w:rsidRPr="001E68E9">
              <w:rPr>
                <w:rFonts w:eastAsia="Arial Unicode MS"/>
                <w:sz w:val="16"/>
                <w:szCs w:val="16"/>
              </w:rPr>
              <w:t>Local Testing</w:t>
            </w:r>
          </w:p>
        </w:tc>
      </w:tr>
      <w:tr w:rsidR="007F37B5" w:rsidRPr="005C623C" w14:paraId="1EF01E1F" w14:textId="77777777" w:rsidTr="0070250E">
        <w:trPr>
          <w:cantSplit/>
        </w:trPr>
        <w:tc>
          <w:tcPr>
            <w:tcW w:w="346" w:type="pct"/>
          </w:tcPr>
          <w:p w14:paraId="07155D5A" w14:textId="591AF0FC" w:rsidR="007F37B5" w:rsidRPr="001E68E9" w:rsidRDefault="007F37B5" w:rsidP="00A6242C">
            <w:pPr>
              <w:widowControl/>
              <w:spacing w:before="120"/>
              <w:jc w:val="center"/>
              <w:rPr>
                <w:rFonts w:eastAsia="Arial Unicode MS"/>
                <w:sz w:val="16"/>
                <w:szCs w:val="16"/>
              </w:rPr>
            </w:pPr>
            <w:r w:rsidRPr="001E68E9">
              <w:rPr>
                <w:rFonts w:eastAsia="Arial Unicode MS"/>
                <w:sz w:val="16"/>
                <w:szCs w:val="16"/>
              </w:rPr>
              <w:t>N/A</w:t>
            </w:r>
          </w:p>
        </w:tc>
        <w:tc>
          <w:tcPr>
            <w:tcW w:w="608" w:type="pct"/>
          </w:tcPr>
          <w:p w14:paraId="59AB0C0D" w14:textId="6CA3F849" w:rsidR="007F37B5" w:rsidRPr="001E68E9" w:rsidRDefault="007F37B5" w:rsidP="00A6242C">
            <w:pPr>
              <w:widowControl/>
              <w:spacing w:before="120"/>
              <w:rPr>
                <w:rFonts w:eastAsia="Arial Unicode MS"/>
                <w:sz w:val="16"/>
                <w:szCs w:val="16"/>
              </w:rPr>
            </w:pPr>
            <w:r w:rsidRPr="001E68E9">
              <w:rPr>
                <w:rFonts w:eastAsia="Arial Unicode MS"/>
                <w:sz w:val="16"/>
                <w:szCs w:val="16"/>
              </w:rPr>
              <w:t>MGMT Methylation Status</w:t>
            </w:r>
          </w:p>
        </w:tc>
        <w:tc>
          <w:tcPr>
            <w:tcW w:w="608" w:type="pct"/>
          </w:tcPr>
          <w:p w14:paraId="604E159D" w14:textId="77777777" w:rsidR="007F37B5" w:rsidRPr="001E68E9" w:rsidRDefault="007F37B5" w:rsidP="007F37B5">
            <w:pPr>
              <w:widowControl/>
              <w:spacing w:before="120"/>
              <w:ind w:left="43"/>
              <w:rPr>
                <w:rFonts w:eastAsia="Arial Unicode MS"/>
                <w:sz w:val="16"/>
                <w:szCs w:val="16"/>
              </w:rPr>
            </w:pPr>
            <w:r w:rsidRPr="001E68E9">
              <w:rPr>
                <w:rFonts w:eastAsia="Arial Unicode MS"/>
                <w:sz w:val="16"/>
                <w:szCs w:val="16"/>
              </w:rPr>
              <w:t>Methylation Assay</w:t>
            </w:r>
          </w:p>
          <w:p w14:paraId="2EA0004D" w14:textId="77777777" w:rsidR="007F37B5" w:rsidRPr="001E68E9" w:rsidRDefault="007F37B5" w:rsidP="007F37B5">
            <w:pPr>
              <w:widowControl/>
              <w:spacing w:before="120"/>
              <w:ind w:left="43"/>
              <w:rPr>
                <w:rFonts w:eastAsia="Arial Unicode MS"/>
                <w:sz w:val="16"/>
                <w:szCs w:val="16"/>
              </w:rPr>
            </w:pPr>
            <w:r w:rsidRPr="001E68E9">
              <w:rPr>
                <w:rFonts w:eastAsia="Arial Unicode MS"/>
                <w:sz w:val="16"/>
                <w:szCs w:val="16"/>
              </w:rPr>
              <w:t>CLIA:  Y</w:t>
            </w:r>
          </w:p>
          <w:p w14:paraId="57916C8E" w14:textId="6978F4A4" w:rsidR="007F37B5" w:rsidRPr="001E68E9" w:rsidRDefault="007F37B5" w:rsidP="0009268A">
            <w:pPr>
              <w:widowControl/>
              <w:spacing w:before="120"/>
              <w:ind w:left="43"/>
              <w:rPr>
                <w:sz w:val="16"/>
                <w:szCs w:val="16"/>
              </w:rPr>
            </w:pPr>
          </w:p>
        </w:tc>
        <w:tc>
          <w:tcPr>
            <w:tcW w:w="827" w:type="pct"/>
          </w:tcPr>
          <w:p w14:paraId="0721B0B9" w14:textId="77777777" w:rsidR="007F37B5" w:rsidRPr="001E68E9" w:rsidRDefault="007F37B5" w:rsidP="00A6242C">
            <w:pPr>
              <w:widowControl/>
              <w:spacing w:before="120"/>
              <w:rPr>
                <w:rFonts w:eastAsia="Arial Unicode MS"/>
                <w:sz w:val="16"/>
                <w:szCs w:val="16"/>
              </w:rPr>
            </w:pPr>
            <w:r w:rsidRPr="001E68E9">
              <w:rPr>
                <w:rFonts w:eastAsia="Arial Unicode MS"/>
                <w:sz w:val="16"/>
                <w:szCs w:val="16"/>
              </w:rPr>
              <w:t>Integrated</w:t>
            </w:r>
          </w:p>
          <w:p w14:paraId="04424479" w14:textId="32854BD3" w:rsidR="007F37B5" w:rsidRPr="001E68E9" w:rsidRDefault="007F37B5" w:rsidP="00A6242C">
            <w:pPr>
              <w:widowControl/>
              <w:spacing w:before="120"/>
              <w:rPr>
                <w:i/>
                <w:sz w:val="16"/>
                <w:szCs w:val="16"/>
              </w:rPr>
            </w:pPr>
            <w:r w:rsidRPr="001E68E9">
              <w:rPr>
                <w:rFonts w:eastAsia="Arial Unicode MS"/>
                <w:sz w:val="16"/>
                <w:szCs w:val="16"/>
              </w:rPr>
              <w:t>To correlate MGMT-methylation status to tumor response and clinical outcomes</w:t>
            </w:r>
          </w:p>
        </w:tc>
        <w:tc>
          <w:tcPr>
            <w:tcW w:w="681" w:type="pct"/>
          </w:tcPr>
          <w:p w14:paraId="7D497619" w14:textId="1BA573E1" w:rsidR="007F37B5" w:rsidRPr="001E68E9" w:rsidRDefault="007F37B5" w:rsidP="00A6242C">
            <w:pPr>
              <w:widowControl/>
              <w:spacing w:before="120"/>
              <w:rPr>
                <w:rFonts w:eastAsia="Arial Unicode MS"/>
                <w:sz w:val="16"/>
                <w:szCs w:val="16"/>
              </w:rPr>
            </w:pPr>
            <w:r w:rsidRPr="001E68E9">
              <w:rPr>
                <w:rFonts w:eastAsia="Arial Unicode MS"/>
                <w:sz w:val="16"/>
                <w:szCs w:val="16"/>
              </w:rPr>
              <w:t>N/A</w:t>
            </w:r>
          </w:p>
        </w:tc>
        <w:tc>
          <w:tcPr>
            <w:tcW w:w="681" w:type="pct"/>
          </w:tcPr>
          <w:p w14:paraId="0982188C" w14:textId="77777777" w:rsidR="007F37B5" w:rsidRPr="001E68E9" w:rsidRDefault="007F37B5" w:rsidP="008D386F">
            <w:pPr>
              <w:widowControl/>
              <w:spacing w:before="120"/>
              <w:rPr>
                <w:rFonts w:eastAsia="Arial Unicode MS"/>
                <w:b/>
                <w:bCs/>
                <w:sz w:val="16"/>
                <w:szCs w:val="16"/>
              </w:rPr>
            </w:pPr>
            <w:r w:rsidRPr="00F556A6">
              <w:rPr>
                <w:rFonts w:eastAsia="Arial Unicode MS"/>
                <w:sz w:val="16"/>
                <w:szCs w:val="16"/>
                <w:u w:val="single"/>
              </w:rPr>
              <w:t>All patients</w:t>
            </w:r>
            <w:r w:rsidRPr="00F556A6">
              <w:rPr>
                <w:rFonts w:eastAsia="Arial Unicode MS"/>
                <w:sz w:val="16"/>
                <w:szCs w:val="16"/>
              </w:rPr>
              <w:t>:</w:t>
            </w:r>
          </w:p>
          <w:p w14:paraId="5EF47911" w14:textId="77777777" w:rsidR="007F37B5" w:rsidRPr="001E68E9" w:rsidRDefault="007F37B5" w:rsidP="008D386F">
            <w:pPr>
              <w:widowControl/>
              <w:spacing w:before="120"/>
              <w:rPr>
                <w:rFonts w:eastAsia="Arial Unicode MS"/>
                <w:sz w:val="16"/>
                <w:szCs w:val="16"/>
              </w:rPr>
            </w:pPr>
            <w:r w:rsidRPr="001E68E9">
              <w:rPr>
                <w:rFonts w:eastAsia="Arial Unicode MS"/>
                <w:sz w:val="16"/>
                <w:szCs w:val="16"/>
              </w:rPr>
              <w:t>Pre-enrollment</w:t>
            </w:r>
          </w:p>
          <w:p w14:paraId="06449A5E" w14:textId="63D56295" w:rsidR="007F37B5" w:rsidRPr="001E68E9" w:rsidRDefault="007F37B5" w:rsidP="008D386F">
            <w:pPr>
              <w:spacing w:before="120"/>
              <w:rPr>
                <w:sz w:val="16"/>
                <w:szCs w:val="16"/>
                <w:highlight w:val="lightGray"/>
              </w:rPr>
            </w:pPr>
            <w:r w:rsidRPr="001E68E9">
              <w:rPr>
                <w:rFonts w:eastAsia="Arial Unicode MS"/>
                <w:sz w:val="16"/>
                <w:szCs w:val="16"/>
              </w:rPr>
              <w:t>Will be collected from pre-existing patient records from diagnosis</w:t>
            </w:r>
          </w:p>
        </w:tc>
        <w:tc>
          <w:tcPr>
            <w:tcW w:w="486" w:type="pct"/>
          </w:tcPr>
          <w:p w14:paraId="3A4EBDF9" w14:textId="77777777" w:rsidR="007F37B5" w:rsidRPr="001E68E9" w:rsidRDefault="007F37B5" w:rsidP="00394B8F">
            <w:pPr>
              <w:widowControl/>
              <w:spacing w:before="120"/>
              <w:ind w:left="43"/>
              <w:rPr>
                <w:rFonts w:eastAsia="Arial Unicode MS"/>
                <w:sz w:val="16"/>
                <w:szCs w:val="16"/>
              </w:rPr>
            </w:pPr>
          </w:p>
          <w:p w14:paraId="10E2B03D" w14:textId="79DAC728" w:rsidR="007F37B5" w:rsidRPr="001E68E9" w:rsidRDefault="007F37B5" w:rsidP="00394B8F">
            <w:pPr>
              <w:spacing w:before="120"/>
              <w:rPr>
                <w:i/>
                <w:sz w:val="16"/>
                <w:szCs w:val="16"/>
                <w:highlight w:val="lightGray"/>
              </w:rPr>
            </w:pPr>
            <w:r w:rsidRPr="001E68E9">
              <w:rPr>
                <w:rFonts w:eastAsia="Arial Unicode MS"/>
                <w:sz w:val="16"/>
                <w:szCs w:val="16"/>
              </w:rPr>
              <w:t xml:space="preserve">M </w:t>
            </w:r>
          </w:p>
        </w:tc>
        <w:tc>
          <w:tcPr>
            <w:tcW w:w="763" w:type="pct"/>
          </w:tcPr>
          <w:p w14:paraId="638FCE74" w14:textId="69C88D42" w:rsidR="007F37B5" w:rsidRPr="001E68E9" w:rsidRDefault="007F37B5" w:rsidP="00A6242C">
            <w:pPr>
              <w:widowControl/>
              <w:spacing w:before="120"/>
              <w:rPr>
                <w:rFonts w:eastAsia="Arial Unicode MS"/>
                <w:sz w:val="16"/>
                <w:szCs w:val="16"/>
              </w:rPr>
            </w:pPr>
            <w:r w:rsidRPr="001E68E9">
              <w:rPr>
                <w:rFonts w:eastAsia="Arial Unicode MS"/>
                <w:sz w:val="16"/>
                <w:szCs w:val="16"/>
              </w:rPr>
              <w:t>Local Testing</w:t>
            </w:r>
          </w:p>
        </w:tc>
      </w:tr>
      <w:tr w:rsidR="007F37B5" w:rsidRPr="005C623C" w14:paraId="466CCDEB" w14:textId="77777777" w:rsidTr="0070250E">
        <w:trPr>
          <w:cantSplit/>
        </w:trPr>
        <w:tc>
          <w:tcPr>
            <w:tcW w:w="346" w:type="pct"/>
          </w:tcPr>
          <w:p w14:paraId="7CC046E7" w14:textId="24B619F8" w:rsidR="007F37B5" w:rsidRPr="001E68E9" w:rsidRDefault="007F37B5" w:rsidP="00A6242C">
            <w:pPr>
              <w:widowControl/>
              <w:spacing w:before="120"/>
              <w:jc w:val="center"/>
              <w:rPr>
                <w:rFonts w:eastAsia="Arial Unicode MS"/>
                <w:sz w:val="16"/>
                <w:szCs w:val="16"/>
              </w:rPr>
            </w:pPr>
            <w:r w:rsidRPr="001E68E9">
              <w:rPr>
                <w:rFonts w:eastAsia="Arial Unicode MS"/>
                <w:sz w:val="16"/>
                <w:szCs w:val="16"/>
              </w:rPr>
              <w:t>1</w:t>
            </w:r>
          </w:p>
        </w:tc>
        <w:tc>
          <w:tcPr>
            <w:tcW w:w="608" w:type="pct"/>
          </w:tcPr>
          <w:p w14:paraId="776CFC3C" w14:textId="5139D1A5" w:rsidR="007F37B5" w:rsidRPr="001E68E9" w:rsidRDefault="007F37B5" w:rsidP="00A6242C">
            <w:pPr>
              <w:widowControl/>
              <w:spacing w:before="120"/>
              <w:rPr>
                <w:rFonts w:eastAsia="Arial Unicode MS"/>
                <w:sz w:val="16"/>
                <w:szCs w:val="16"/>
              </w:rPr>
            </w:pPr>
            <w:r w:rsidRPr="001E68E9">
              <w:rPr>
                <w:rFonts w:eastAsia="Arial Unicode MS"/>
                <w:sz w:val="16"/>
                <w:szCs w:val="16"/>
              </w:rPr>
              <w:t>Whole exome sequencing (WES)</w:t>
            </w:r>
          </w:p>
        </w:tc>
        <w:tc>
          <w:tcPr>
            <w:tcW w:w="608" w:type="pct"/>
          </w:tcPr>
          <w:p w14:paraId="71973BD7" w14:textId="77777777" w:rsidR="007F37B5" w:rsidRPr="001E68E9" w:rsidRDefault="007F37B5" w:rsidP="007F37B5">
            <w:pPr>
              <w:widowControl/>
              <w:spacing w:before="120"/>
              <w:ind w:left="43"/>
              <w:rPr>
                <w:rFonts w:eastAsia="Arial Unicode MS"/>
                <w:sz w:val="16"/>
                <w:szCs w:val="16"/>
              </w:rPr>
            </w:pPr>
            <w:r w:rsidRPr="001E68E9">
              <w:rPr>
                <w:rFonts w:eastAsia="Arial Unicode MS"/>
                <w:sz w:val="16"/>
                <w:szCs w:val="16"/>
              </w:rPr>
              <w:t>NGS</w:t>
            </w:r>
          </w:p>
          <w:p w14:paraId="51DFA5A9" w14:textId="77777777" w:rsidR="007F37B5" w:rsidRPr="001E68E9" w:rsidRDefault="007F37B5" w:rsidP="007F37B5">
            <w:pPr>
              <w:widowControl/>
              <w:spacing w:before="120"/>
              <w:ind w:left="43"/>
              <w:rPr>
                <w:rFonts w:eastAsia="Arial Unicode MS"/>
                <w:sz w:val="16"/>
                <w:szCs w:val="16"/>
              </w:rPr>
            </w:pPr>
            <w:r w:rsidRPr="001E68E9">
              <w:rPr>
                <w:rFonts w:eastAsia="Arial Unicode MS"/>
                <w:sz w:val="16"/>
                <w:szCs w:val="16"/>
              </w:rPr>
              <w:t>CLIA: N</w:t>
            </w:r>
          </w:p>
          <w:p w14:paraId="016A8EFC" w14:textId="026C922C" w:rsidR="007F37B5" w:rsidRPr="001E68E9" w:rsidRDefault="007F37B5" w:rsidP="007F37B5">
            <w:pPr>
              <w:rPr>
                <w:sz w:val="16"/>
                <w:szCs w:val="16"/>
              </w:rPr>
            </w:pPr>
          </w:p>
        </w:tc>
        <w:tc>
          <w:tcPr>
            <w:tcW w:w="827" w:type="pct"/>
          </w:tcPr>
          <w:p w14:paraId="6A15BD92" w14:textId="77777777" w:rsidR="007F37B5" w:rsidRPr="001E68E9" w:rsidRDefault="007F37B5" w:rsidP="00234147">
            <w:pPr>
              <w:widowControl/>
              <w:spacing w:before="120"/>
              <w:rPr>
                <w:rFonts w:eastAsia="Arial Unicode MS"/>
                <w:sz w:val="16"/>
                <w:szCs w:val="16"/>
              </w:rPr>
            </w:pPr>
            <w:r w:rsidRPr="001E68E9">
              <w:rPr>
                <w:rFonts w:eastAsia="Arial Unicode MS"/>
                <w:sz w:val="16"/>
                <w:szCs w:val="16"/>
              </w:rPr>
              <w:t>Integrated</w:t>
            </w:r>
          </w:p>
          <w:p w14:paraId="5F167D47" w14:textId="77777777" w:rsidR="007F37B5" w:rsidRPr="001E68E9" w:rsidRDefault="007F37B5" w:rsidP="00234147">
            <w:pPr>
              <w:widowControl/>
              <w:spacing w:before="120"/>
              <w:rPr>
                <w:rFonts w:eastAsia="Arial Unicode MS"/>
                <w:sz w:val="16"/>
                <w:szCs w:val="16"/>
              </w:rPr>
            </w:pPr>
            <w:r w:rsidRPr="001E68E9">
              <w:rPr>
                <w:rFonts w:eastAsia="Arial Unicode MS"/>
                <w:sz w:val="16"/>
                <w:szCs w:val="16"/>
              </w:rPr>
              <w:t>To correlate genetic mutations with tumor response and clinical outcomes (e.g. TP53, p16, KRAS and PI3K/mTOR/ AKT)</w:t>
            </w:r>
          </w:p>
          <w:p w14:paraId="2DD24020" w14:textId="7CD0F491" w:rsidR="007F37B5" w:rsidRPr="00713284" w:rsidRDefault="007F37B5" w:rsidP="00234147">
            <w:pPr>
              <w:spacing w:before="120"/>
              <w:rPr>
                <w:i/>
                <w:sz w:val="16"/>
                <w:szCs w:val="16"/>
              </w:rPr>
            </w:pPr>
            <w:r w:rsidRPr="00713284">
              <w:rPr>
                <w:rFonts w:eastAsia="Arial Unicode MS"/>
                <w:sz w:val="16"/>
                <w:szCs w:val="16"/>
              </w:rPr>
              <w:t>To retrospectively confirm IDH1/2 mutational status</w:t>
            </w:r>
          </w:p>
        </w:tc>
        <w:tc>
          <w:tcPr>
            <w:tcW w:w="681" w:type="pct"/>
          </w:tcPr>
          <w:p w14:paraId="75F2D8CC" w14:textId="6C262BBB" w:rsidR="007F37B5" w:rsidRPr="001E68E9" w:rsidRDefault="007F37B5" w:rsidP="00A6242C">
            <w:pPr>
              <w:widowControl/>
              <w:spacing w:before="120"/>
              <w:rPr>
                <w:rFonts w:eastAsia="Arial Unicode MS"/>
                <w:sz w:val="16"/>
                <w:szCs w:val="16"/>
              </w:rPr>
            </w:pPr>
            <w:r w:rsidRPr="001E68E9">
              <w:rPr>
                <w:rFonts w:eastAsia="Arial Unicode MS"/>
                <w:sz w:val="16"/>
                <w:szCs w:val="16"/>
              </w:rPr>
              <w:t>DNA from FFPE tumor tissue</w:t>
            </w:r>
          </w:p>
        </w:tc>
        <w:tc>
          <w:tcPr>
            <w:tcW w:w="681" w:type="pct"/>
          </w:tcPr>
          <w:p w14:paraId="39CB2189" w14:textId="7EADA2B6" w:rsidR="007F37B5" w:rsidRPr="00F556A6" w:rsidRDefault="007F37B5" w:rsidP="001E68E9">
            <w:pPr>
              <w:widowControl/>
              <w:spacing w:before="120"/>
              <w:rPr>
                <w:rFonts w:eastAsia="Arial Unicode MS"/>
                <w:sz w:val="16"/>
                <w:szCs w:val="16"/>
              </w:rPr>
            </w:pPr>
            <w:r w:rsidRPr="00F556A6">
              <w:rPr>
                <w:rFonts w:eastAsia="Arial Unicode MS"/>
                <w:sz w:val="16"/>
                <w:szCs w:val="16"/>
                <w:u w:val="single"/>
              </w:rPr>
              <w:t>All patients</w:t>
            </w:r>
            <w:r w:rsidR="000C17D8">
              <w:rPr>
                <w:rFonts w:eastAsia="Arial Unicode MS"/>
                <w:sz w:val="16"/>
                <w:szCs w:val="16"/>
                <w:u w:val="single"/>
              </w:rPr>
              <w:t xml:space="preserve"> on the </w:t>
            </w:r>
            <w:r w:rsidR="006B6F96">
              <w:rPr>
                <w:rFonts w:eastAsia="Arial Unicode MS"/>
                <w:sz w:val="16"/>
                <w:szCs w:val="16"/>
                <w:u w:val="single"/>
              </w:rPr>
              <w:t>treatment portion of the study</w:t>
            </w:r>
            <w:r w:rsidRPr="00F556A6">
              <w:rPr>
                <w:rFonts w:eastAsia="Arial Unicode MS"/>
                <w:sz w:val="16"/>
                <w:szCs w:val="16"/>
              </w:rPr>
              <w:t>:</w:t>
            </w:r>
          </w:p>
          <w:p w14:paraId="00740DC3" w14:textId="40D25757" w:rsidR="007F37B5" w:rsidRPr="001E68E9" w:rsidRDefault="007F37B5" w:rsidP="001E68E9">
            <w:pPr>
              <w:spacing w:before="120"/>
              <w:rPr>
                <w:sz w:val="16"/>
                <w:szCs w:val="16"/>
                <w:highlight w:val="lightGray"/>
              </w:rPr>
            </w:pPr>
            <w:r w:rsidRPr="001E68E9">
              <w:rPr>
                <w:rFonts w:eastAsia="Arial Unicode MS"/>
                <w:sz w:val="16"/>
                <w:szCs w:val="16"/>
              </w:rPr>
              <w:t>Archival</w:t>
            </w:r>
            <w:r w:rsidRPr="001E68E9">
              <w:rPr>
                <w:rFonts w:eastAsia="Arial Unicode MS"/>
                <w:sz w:val="16"/>
                <w:szCs w:val="16"/>
                <w:vertAlign w:val="superscript"/>
              </w:rPr>
              <w:t>1,2</w:t>
            </w:r>
          </w:p>
        </w:tc>
        <w:tc>
          <w:tcPr>
            <w:tcW w:w="486" w:type="pct"/>
          </w:tcPr>
          <w:p w14:paraId="648FE1F6" w14:textId="77777777" w:rsidR="007F37B5" w:rsidRPr="001E68E9" w:rsidRDefault="007F37B5" w:rsidP="00394B8F">
            <w:pPr>
              <w:widowControl/>
              <w:spacing w:before="120"/>
              <w:ind w:left="43"/>
              <w:rPr>
                <w:rFonts w:eastAsia="Arial Unicode MS"/>
                <w:sz w:val="16"/>
                <w:szCs w:val="16"/>
              </w:rPr>
            </w:pPr>
          </w:p>
          <w:p w14:paraId="7F40AADB" w14:textId="313A4DF4" w:rsidR="007F37B5" w:rsidRPr="001E68E9" w:rsidRDefault="006B3377" w:rsidP="00394B8F">
            <w:pPr>
              <w:spacing w:before="120"/>
              <w:rPr>
                <w:i/>
                <w:sz w:val="16"/>
                <w:szCs w:val="16"/>
                <w:highlight w:val="lightGray"/>
              </w:rPr>
            </w:pPr>
            <w:r>
              <w:rPr>
                <w:rFonts w:eastAsia="Arial Unicode MS"/>
                <w:sz w:val="16"/>
                <w:szCs w:val="16"/>
              </w:rPr>
              <w:br/>
            </w:r>
            <w:r>
              <w:rPr>
                <w:rFonts w:eastAsia="Arial Unicode MS"/>
                <w:sz w:val="16"/>
                <w:szCs w:val="16"/>
              </w:rPr>
              <w:br/>
            </w:r>
            <w:r w:rsidR="007F37B5" w:rsidRPr="001E68E9">
              <w:rPr>
                <w:rFonts w:eastAsia="Arial Unicode MS"/>
                <w:sz w:val="16"/>
                <w:szCs w:val="16"/>
              </w:rPr>
              <w:t>O</w:t>
            </w:r>
          </w:p>
        </w:tc>
        <w:tc>
          <w:tcPr>
            <w:tcW w:w="763" w:type="pct"/>
          </w:tcPr>
          <w:p w14:paraId="58E0C1A7" w14:textId="77777777" w:rsidR="007F37B5" w:rsidRPr="001E68E9" w:rsidRDefault="007F37B5" w:rsidP="00394B8F">
            <w:pPr>
              <w:widowControl/>
              <w:spacing w:before="120"/>
              <w:rPr>
                <w:rFonts w:eastAsia="Arial Unicode MS"/>
                <w:sz w:val="16"/>
                <w:szCs w:val="16"/>
              </w:rPr>
            </w:pPr>
            <w:r w:rsidRPr="001E68E9">
              <w:rPr>
                <w:rFonts w:eastAsia="Arial Unicode MS"/>
                <w:sz w:val="16"/>
                <w:szCs w:val="16"/>
              </w:rPr>
              <w:t>MoCha, Frederick National Laboratory for Cancer Research (FNLCR)</w:t>
            </w:r>
          </w:p>
          <w:p w14:paraId="4171F650" w14:textId="6652EE90" w:rsidR="007F37B5" w:rsidRPr="001E68E9" w:rsidRDefault="007F37B5" w:rsidP="00394B8F">
            <w:pPr>
              <w:widowControl/>
              <w:spacing w:before="120"/>
              <w:rPr>
                <w:rFonts w:eastAsia="Arial Unicode MS"/>
                <w:sz w:val="16"/>
                <w:szCs w:val="16"/>
              </w:rPr>
            </w:pPr>
            <w:r w:rsidRPr="001E68E9">
              <w:rPr>
                <w:rFonts w:eastAsia="Arial Unicode MS"/>
                <w:sz w:val="16"/>
                <w:szCs w:val="16"/>
              </w:rPr>
              <w:t>Chris Karlovich</w:t>
            </w:r>
          </w:p>
          <w:p w14:paraId="6EE79C87" w14:textId="4C034250" w:rsidR="007F37B5" w:rsidRPr="001E68E9" w:rsidRDefault="007F37B5" w:rsidP="00394B8F">
            <w:pPr>
              <w:spacing w:before="120"/>
              <w:rPr>
                <w:rFonts w:eastAsia="Arial Unicode MS"/>
                <w:sz w:val="16"/>
                <w:szCs w:val="16"/>
              </w:rPr>
            </w:pPr>
            <w:r w:rsidRPr="001E68E9">
              <w:rPr>
                <w:rFonts w:eastAsia="Arial Unicode MS"/>
                <w:sz w:val="16"/>
                <w:szCs w:val="16"/>
              </w:rPr>
              <w:t>chris.karlovich@nih.gov</w:t>
            </w:r>
          </w:p>
        </w:tc>
      </w:tr>
      <w:tr w:rsidR="007F37B5" w:rsidRPr="005C623C" w14:paraId="6A171226" w14:textId="77777777" w:rsidTr="0070250E">
        <w:trPr>
          <w:cantSplit/>
        </w:trPr>
        <w:tc>
          <w:tcPr>
            <w:tcW w:w="346" w:type="pct"/>
          </w:tcPr>
          <w:p w14:paraId="3190D804" w14:textId="3413DC71" w:rsidR="007F37B5" w:rsidRPr="001E68E9" w:rsidRDefault="007F37B5" w:rsidP="00A6242C">
            <w:pPr>
              <w:widowControl/>
              <w:spacing w:before="120"/>
              <w:jc w:val="center"/>
              <w:rPr>
                <w:rFonts w:eastAsia="Arial Unicode MS"/>
                <w:sz w:val="16"/>
                <w:szCs w:val="16"/>
              </w:rPr>
            </w:pPr>
            <w:r w:rsidRPr="001E68E9">
              <w:rPr>
                <w:rFonts w:eastAsia="Arial Unicode MS"/>
                <w:sz w:val="16"/>
                <w:szCs w:val="16"/>
              </w:rPr>
              <w:t>2</w:t>
            </w:r>
          </w:p>
        </w:tc>
        <w:tc>
          <w:tcPr>
            <w:tcW w:w="608" w:type="pct"/>
          </w:tcPr>
          <w:p w14:paraId="1CBBDC9C" w14:textId="78FCABAC" w:rsidR="007F37B5" w:rsidRPr="001E68E9" w:rsidRDefault="007F37B5" w:rsidP="00A6242C">
            <w:pPr>
              <w:widowControl/>
              <w:spacing w:before="120"/>
              <w:rPr>
                <w:rFonts w:eastAsia="Arial Unicode MS"/>
                <w:sz w:val="16"/>
                <w:szCs w:val="16"/>
              </w:rPr>
            </w:pPr>
            <w:r w:rsidRPr="001E68E9">
              <w:rPr>
                <w:rFonts w:eastAsia="Arial Unicode MS"/>
                <w:sz w:val="16"/>
                <w:szCs w:val="16"/>
              </w:rPr>
              <w:t>RNAseq</w:t>
            </w:r>
          </w:p>
        </w:tc>
        <w:tc>
          <w:tcPr>
            <w:tcW w:w="608" w:type="pct"/>
          </w:tcPr>
          <w:p w14:paraId="1052D069" w14:textId="77777777" w:rsidR="007F37B5" w:rsidRPr="001E68E9" w:rsidRDefault="007F37B5" w:rsidP="007F37B5">
            <w:pPr>
              <w:widowControl/>
              <w:spacing w:before="120"/>
              <w:ind w:left="43"/>
              <w:rPr>
                <w:rFonts w:eastAsia="Arial Unicode MS"/>
                <w:sz w:val="16"/>
                <w:szCs w:val="16"/>
              </w:rPr>
            </w:pPr>
            <w:r w:rsidRPr="001E68E9">
              <w:rPr>
                <w:rFonts w:eastAsia="Arial Unicode MS"/>
                <w:sz w:val="16"/>
                <w:szCs w:val="16"/>
              </w:rPr>
              <w:t>NGS</w:t>
            </w:r>
          </w:p>
          <w:p w14:paraId="54120769" w14:textId="77777777" w:rsidR="007F37B5" w:rsidRPr="001E68E9" w:rsidRDefault="007F37B5" w:rsidP="007F37B5">
            <w:pPr>
              <w:widowControl/>
              <w:spacing w:before="120"/>
              <w:ind w:left="43"/>
              <w:rPr>
                <w:rFonts w:eastAsia="Arial Unicode MS"/>
                <w:sz w:val="16"/>
                <w:szCs w:val="16"/>
              </w:rPr>
            </w:pPr>
            <w:r w:rsidRPr="001E68E9">
              <w:rPr>
                <w:rFonts w:eastAsia="Arial Unicode MS"/>
                <w:sz w:val="16"/>
                <w:szCs w:val="16"/>
              </w:rPr>
              <w:t>CLIA: N</w:t>
            </w:r>
          </w:p>
          <w:p w14:paraId="6E0B0743" w14:textId="1A3045F4" w:rsidR="007F37B5" w:rsidRPr="001E68E9" w:rsidRDefault="007F37B5" w:rsidP="007F37B5">
            <w:pPr>
              <w:rPr>
                <w:i/>
                <w:sz w:val="16"/>
                <w:szCs w:val="16"/>
              </w:rPr>
            </w:pPr>
          </w:p>
        </w:tc>
        <w:tc>
          <w:tcPr>
            <w:tcW w:w="827" w:type="pct"/>
          </w:tcPr>
          <w:p w14:paraId="40EAA858" w14:textId="77777777" w:rsidR="007F37B5" w:rsidRPr="001E68E9" w:rsidRDefault="007F37B5" w:rsidP="00A6242C">
            <w:pPr>
              <w:widowControl/>
              <w:spacing w:before="120"/>
              <w:rPr>
                <w:rFonts w:eastAsia="Arial Unicode MS"/>
                <w:sz w:val="16"/>
                <w:szCs w:val="16"/>
              </w:rPr>
            </w:pPr>
            <w:r w:rsidRPr="001E68E9">
              <w:rPr>
                <w:rFonts w:eastAsia="Arial Unicode MS"/>
                <w:sz w:val="16"/>
                <w:szCs w:val="16"/>
              </w:rPr>
              <w:t>Integrated</w:t>
            </w:r>
          </w:p>
          <w:p w14:paraId="38229731" w14:textId="27687D1B" w:rsidR="007F37B5" w:rsidRPr="001E68E9" w:rsidRDefault="007F37B5" w:rsidP="00A6242C">
            <w:pPr>
              <w:widowControl/>
              <w:spacing w:before="120"/>
              <w:rPr>
                <w:i/>
                <w:sz w:val="16"/>
                <w:szCs w:val="16"/>
              </w:rPr>
            </w:pPr>
            <w:r w:rsidRPr="001E68E9">
              <w:rPr>
                <w:rFonts w:eastAsia="Arial Unicode MS"/>
                <w:sz w:val="16"/>
                <w:szCs w:val="16"/>
              </w:rPr>
              <w:t>To correlate RRM2 expression and other molecular signatures (e.g., radiosensitivity index, Buffa hypoxia score</w:t>
            </w:r>
            <w:r w:rsidR="008A019A">
              <w:rPr>
                <w:rFonts w:eastAsia="Arial Unicode MS"/>
                <w:sz w:val="16"/>
                <w:szCs w:val="16"/>
              </w:rPr>
              <w:t>, inflammatory transcripts</w:t>
            </w:r>
            <w:r w:rsidRPr="001E68E9">
              <w:rPr>
                <w:rFonts w:eastAsia="Arial Unicode MS"/>
                <w:sz w:val="16"/>
                <w:szCs w:val="16"/>
              </w:rPr>
              <w:t>) with tumor response and clinical outcomes</w:t>
            </w:r>
          </w:p>
        </w:tc>
        <w:tc>
          <w:tcPr>
            <w:tcW w:w="681" w:type="pct"/>
          </w:tcPr>
          <w:p w14:paraId="220F0466" w14:textId="5D9676E1" w:rsidR="007F37B5" w:rsidRPr="001E68E9" w:rsidRDefault="007F37B5" w:rsidP="00A6242C">
            <w:pPr>
              <w:widowControl/>
              <w:spacing w:before="120"/>
              <w:rPr>
                <w:rFonts w:eastAsia="Arial Unicode MS"/>
                <w:sz w:val="16"/>
                <w:szCs w:val="16"/>
              </w:rPr>
            </w:pPr>
            <w:r w:rsidRPr="001E68E9">
              <w:rPr>
                <w:rFonts w:eastAsia="Arial Unicode MS"/>
                <w:sz w:val="16"/>
                <w:szCs w:val="16"/>
              </w:rPr>
              <w:t>RNA from FFPE tumor tissue</w:t>
            </w:r>
          </w:p>
        </w:tc>
        <w:tc>
          <w:tcPr>
            <w:tcW w:w="681" w:type="pct"/>
          </w:tcPr>
          <w:p w14:paraId="57043316" w14:textId="5262947B" w:rsidR="001E68E9" w:rsidRPr="00F556A6" w:rsidRDefault="001E68E9" w:rsidP="001E68E9">
            <w:pPr>
              <w:widowControl/>
              <w:spacing w:before="120"/>
              <w:rPr>
                <w:rFonts w:eastAsia="Arial Unicode MS"/>
                <w:sz w:val="16"/>
                <w:szCs w:val="16"/>
              </w:rPr>
            </w:pPr>
            <w:r w:rsidRPr="00F556A6">
              <w:rPr>
                <w:rFonts w:eastAsia="Arial Unicode MS"/>
                <w:sz w:val="16"/>
                <w:szCs w:val="16"/>
                <w:u w:val="single"/>
              </w:rPr>
              <w:t>All patients</w:t>
            </w:r>
            <w:r w:rsidR="00C1066A">
              <w:rPr>
                <w:rFonts w:eastAsia="Arial Unicode MS"/>
                <w:sz w:val="16"/>
                <w:szCs w:val="16"/>
                <w:u w:val="single"/>
              </w:rPr>
              <w:t xml:space="preserve"> on the treatment portion of the study</w:t>
            </w:r>
            <w:r w:rsidRPr="00F556A6">
              <w:rPr>
                <w:rFonts w:eastAsia="Arial Unicode MS"/>
                <w:sz w:val="16"/>
                <w:szCs w:val="16"/>
              </w:rPr>
              <w:t>:</w:t>
            </w:r>
          </w:p>
          <w:p w14:paraId="35288F7A" w14:textId="5728AD94" w:rsidR="007F37B5" w:rsidRPr="001E68E9" w:rsidRDefault="001E68E9" w:rsidP="001E68E9">
            <w:pPr>
              <w:spacing w:before="120"/>
              <w:rPr>
                <w:i/>
                <w:color w:val="auto"/>
                <w:sz w:val="16"/>
                <w:szCs w:val="16"/>
              </w:rPr>
            </w:pPr>
            <w:r w:rsidRPr="001E68E9">
              <w:rPr>
                <w:rFonts w:eastAsia="Arial Unicode MS"/>
                <w:sz w:val="16"/>
                <w:szCs w:val="16"/>
              </w:rPr>
              <w:t>Archival</w:t>
            </w:r>
            <w:r w:rsidRPr="001E68E9">
              <w:rPr>
                <w:rFonts w:eastAsia="Arial Unicode MS"/>
                <w:sz w:val="16"/>
                <w:szCs w:val="16"/>
                <w:vertAlign w:val="superscript"/>
              </w:rPr>
              <w:t>1,2</w:t>
            </w:r>
          </w:p>
        </w:tc>
        <w:tc>
          <w:tcPr>
            <w:tcW w:w="486" w:type="pct"/>
          </w:tcPr>
          <w:p w14:paraId="4CEF5E26" w14:textId="77777777" w:rsidR="002D4A4A" w:rsidRPr="001E68E9" w:rsidRDefault="002D4A4A" w:rsidP="002D4A4A">
            <w:pPr>
              <w:widowControl/>
              <w:spacing w:before="120"/>
              <w:ind w:left="43"/>
              <w:rPr>
                <w:rFonts w:eastAsia="Arial Unicode MS"/>
                <w:sz w:val="16"/>
                <w:szCs w:val="16"/>
              </w:rPr>
            </w:pPr>
          </w:p>
          <w:p w14:paraId="70150DAA" w14:textId="15FBA92E" w:rsidR="007F37B5" w:rsidRPr="001E68E9" w:rsidRDefault="002D4A4A" w:rsidP="002D4A4A">
            <w:pPr>
              <w:spacing w:before="120"/>
              <w:rPr>
                <w:i/>
                <w:sz w:val="16"/>
                <w:szCs w:val="16"/>
              </w:rPr>
            </w:pPr>
            <w:r>
              <w:rPr>
                <w:rFonts w:eastAsia="Arial Unicode MS"/>
                <w:sz w:val="16"/>
                <w:szCs w:val="16"/>
              </w:rPr>
              <w:br/>
            </w:r>
            <w:r>
              <w:rPr>
                <w:rFonts w:eastAsia="Arial Unicode MS"/>
                <w:sz w:val="16"/>
                <w:szCs w:val="16"/>
              </w:rPr>
              <w:br/>
            </w:r>
            <w:r w:rsidRPr="001E68E9">
              <w:rPr>
                <w:rFonts w:eastAsia="Arial Unicode MS"/>
                <w:sz w:val="16"/>
                <w:szCs w:val="16"/>
              </w:rPr>
              <w:t>O</w:t>
            </w:r>
          </w:p>
        </w:tc>
        <w:tc>
          <w:tcPr>
            <w:tcW w:w="763" w:type="pct"/>
          </w:tcPr>
          <w:p w14:paraId="04551FA7" w14:textId="77777777" w:rsidR="007F37B5" w:rsidRPr="001E68E9" w:rsidRDefault="007F37B5" w:rsidP="00394B8F">
            <w:pPr>
              <w:widowControl/>
              <w:spacing w:before="120"/>
              <w:rPr>
                <w:rFonts w:eastAsia="Arial Unicode MS"/>
                <w:sz w:val="16"/>
                <w:szCs w:val="16"/>
              </w:rPr>
            </w:pPr>
            <w:r w:rsidRPr="001E68E9">
              <w:rPr>
                <w:rFonts w:eastAsia="Arial Unicode MS"/>
                <w:sz w:val="16"/>
                <w:szCs w:val="16"/>
              </w:rPr>
              <w:t>MoCha, Frederick National Laboratory for Cancer Research (FNLCR)</w:t>
            </w:r>
          </w:p>
          <w:p w14:paraId="50AC0131" w14:textId="0CAE0C6A" w:rsidR="007F37B5" w:rsidRPr="001E68E9" w:rsidRDefault="007F37B5" w:rsidP="00394B8F">
            <w:pPr>
              <w:widowControl/>
              <w:spacing w:before="120"/>
              <w:rPr>
                <w:rFonts w:eastAsia="Arial Unicode MS"/>
                <w:sz w:val="16"/>
                <w:szCs w:val="16"/>
              </w:rPr>
            </w:pPr>
            <w:r w:rsidRPr="001E68E9">
              <w:rPr>
                <w:rFonts w:eastAsia="Arial Unicode MS"/>
                <w:sz w:val="16"/>
                <w:szCs w:val="16"/>
              </w:rPr>
              <w:t>Chris Karlovich</w:t>
            </w:r>
          </w:p>
          <w:p w14:paraId="72BA247F" w14:textId="71B6961F" w:rsidR="007F37B5" w:rsidRPr="001E68E9" w:rsidRDefault="007F37B5" w:rsidP="00394B8F">
            <w:pPr>
              <w:spacing w:before="120"/>
              <w:rPr>
                <w:rFonts w:eastAsia="Arial Unicode MS"/>
                <w:sz w:val="16"/>
                <w:szCs w:val="16"/>
              </w:rPr>
            </w:pPr>
            <w:r w:rsidRPr="001E68E9">
              <w:rPr>
                <w:rFonts w:eastAsia="Arial Unicode MS"/>
                <w:sz w:val="16"/>
                <w:szCs w:val="16"/>
              </w:rPr>
              <w:t>chris.karlovich@nih.gov</w:t>
            </w:r>
          </w:p>
        </w:tc>
      </w:tr>
      <w:tr w:rsidR="0070250E" w:rsidRPr="005C623C" w14:paraId="321BB12B" w14:textId="77777777" w:rsidTr="002C47BA">
        <w:trPr>
          <w:cantSplit/>
          <w:trHeight w:val="216"/>
        </w:trPr>
        <w:tc>
          <w:tcPr>
            <w:tcW w:w="5000" w:type="pct"/>
            <w:gridSpan w:val="8"/>
            <w:shd w:val="clear" w:color="auto" w:fill="BFBFBF" w:themeFill="background1" w:themeFillShade="BF"/>
          </w:tcPr>
          <w:p w14:paraId="57249958" w14:textId="1FB79159" w:rsidR="0070250E" w:rsidRPr="0009268A" w:rsidRDefault="0070250E" w:rsidP="00020459">
            <w:pPr>
              <w:rPr>
                <w:i/>
                <w:color w:val="auto"/>
                <w:sz w:val="20"/>
                <w:szCs w:val="20"/>
              </w:rPr>
            </w:pPr>
            <w:r w:rsidRPr="0009268A">
              <w:rPr>
                <w:b/>
                <w:color w:val="auto"/>
                <w:sz w:val="20"/>
                <w:szCs w:val="20"/>
              </w:rPr>
              <w:lastRenderedPageBreak/>
              <w:t>Blood-based</w:t>
            </w:r>
          </w:p>
        </w:tc>
      </w:tr>
      <w:tr w:rsidR="00C8349D" w:rsidRPr="005C623C" w14:paraId="767FC89D" w14:textId="77777777" w:rsidTr="0070250E">
        <w:trPr>
          <w:cantSplit/>
        </w:trPr>
        <w:tc>
          <w:tcPr>
            <w:tcW w:w="346" w:type="pct"/>
          </w:tcPr>
          <w:p w14:paraId="6B687D2F" w14:textId="1D6AD9AE" w:rsidR="00C8349D" w:rsidRPr="001E68E9" w:rsidRDefault="00C8349D" w:rsidP="00A6242C">
            <w:pPr>
              <w:widowControl/>
              <w:spacing w:before="120"/>
              <w:jc w:val="center"/>
              <w:rPr>
                <w:rFonts w:eastAsia="Arial Unicode MS"/>
                <w:sz w:val="16"/>
                <w:szCs w:val="16"/>
              </w:rPr>
            </w:pPr>
            <w:r w:rsidRPr="001E68E9">
              <w:rPr>
                <w:rFonts w:eastAsia="Arial Unicode MS"/>
                <w:sz w:val="16"/>
                <w:szCs w:val="16"/>
              </w:rPr>
              <w:t>1</w:t>
            </w:r>
          </w:p>
        </w:tc>
        <w:tc>
          <w:tcPr>
            <w:tcW w:w="608" w:type="pct"/>
          </w:tcPr>
          <w:p w14:paraId="2297679E" w14:textId="1F27392B" w:rsidR="00C8349D" w:rsidRPr="001E68E9" w:rsidRDefault="00C8349D" w:rsidP="00A6242C">
            <w:pPr>
              <w:widowControl/>
              <w:spacing w:before="120"/>
              <w:rPr>
                <w:rFonts w:eastAsia="Arial Unicode MS"/>
                <w:sz w:val="16"/>
                <w:szCs w:val="16"/>
              </w:rPr>
            </w:pPr>
            <w:r w:rsidRPr="001E68E9">
              <w:rPr>
                <w:rFonts w:eastAsia="Arial Unicode MS"/>
                <w:sz w:val="16"/>
                <w:szCs w:val="16"/>
              </w:rPr>
              <w:t>Triapine PK</w:t>
            </w:r>
          </w:p>
        </w:tc>
        <w:tc>
          <w:tcPr>
            <w:tcW w:w="608" w:type="pct"/>
          </w:tcPr>
          <w:p w14:paraId="3BAE53E2" w14:textId="77777777" w:rsidR="00C8349D" w:rsidRPr="001E68E9" w:rsidRDefault="00C8349D" w:rsidP="00A6242C">
            <w:pPr>
              <w:widowControl/>
              <w:spacing w:before="120"/>
              <w:ind w:left="43"/>
              <w:rPr>
                <w:rFonts w:eastAsia="Arial Unicode MS"/>
                <w:sz w:val="16"/>
                <w:szCs w:val="16"/>
              </w:rPr>
            </w:pPr>
            <w:r w:rsidRPr="001E68E9">
              <w:rPr>
                <w:rFonts w:eastAsia="Arial Unicode MS"/>
                <w:sz w:val="16"/>
                <w:szCs w:val="16"/>
              </w:rPr>
              <w:t>LC-MS/MS assay</w:t>
            </w:r>
          </w:p>
          <w:p w14:paraId="29D4D0EE" w14:textId="77777777" w:rsidR="00C8349D" w:rsidRPr="001E68E9" w:rsidRDefault="00C8349D" w:rsidP="00A6242C">
            <w:pPr>
              <w:widowControl/>
              <w:spacing w:before="120"/>
              <w:ind w:left="43"/>
              <w:rPr>
                <w:rFonts w:eastAsia="Arial Unicode MS"/>
                <w:sz w:val="16"/>
                <w:szCs w:val="16"/>
              </w:rPr>
            </w:pPr>
            <w:r w:rsidRPr="001E68E9">
              <w:rPr>
                <w:rFonts w:eastAsia="Arial Unicode MS"/>
                <w:sz w:val="16"/>
                <w:szCs w:val="16"/>
              </w:rPr>
              <w:t>CLIA: N</w:t>
            </w:r>
          </w:p>
          <w:p w14:paraId="2FAADA81" w14:textId="48F85C50" w:rsidR="00C8349D" w:rsidRPr="001E68E9" w:rsidRDefault="00C8349D" w:rsidP="00A6242C">
            <w:pPr>
              <w:widowControl/>
              <w:spacing w:before="120"/>
              <w:rPr>
                <w:rFonts w:eastAsia="Arial Unicode MS"/>
                <w:sz w:val="16"/>
                <w:szCs w:val="16"/>
              </w:rPr>
            </w:pPr>
          </w:p>
        </w:tc>
        <w:tc>
          <w:tcPr>
            <w:tcW w:w="827" w:type="pct"/>
          </w:tcPr>
          <w:p w14:paraId="19664864" w14:textId="77777777" w:rsidR="00C8349D" w:rsidRPr="001E68E9" w:rsidRDefault="00C8349D" w:rsidP="00234147">
            <w:pPr>
              <w:widowControl/>
              <w:spacing w:before="120"/>
              <w:rPr>
                <w:rFonts w:eastAsia="Arial Unicode MS"/>
                <w:sz w:val="16"/>
                <w:szCs w:val="16"/>
              </w:rPr>
            </w:pPr>
            <w:r w:rsidRPr="001E68E9">
              <w:rPr>
                <w:rFonts w:eastAsia="Arial Unicode MS"/>
                <w:sz w:val="16"/>
                <w:szCs w:val="16"/>
              </w:rPr>
              <w:t>Integrated</w:t>
            </w:r>
          </w:p>
          <w:p w14:paraId="03F3F674" w14:textId="77777777" w:rsidR="00C8349D" w:rsidRPr="001E68E9" w:rsidRDefault="00C8349D" w:rsidP="00234147">
            <w:pPr>
              <w:widowControl/>
              <w:spacing w:before="120"/>
              <w:rPr>
                <w:rFonts w:eastAsia="Arial Unicode MS"/>
                <w:sz w:val="16"/>
                <w:szCs w:val="16"/>
              </w:rPr>
            </w:pPr>
            <w:r w:rsidRPr="001E68E9">
              <w:rPr>
                <w:rFonts w:eastAsia="Arial Unicode MS"/>
                <w:sz w:val="16"/>
                <w:szCs w:val="16"/>
              </w:rPr>
              <w:t>To evaluate pharmacokinetics of intervention drug</w:t>
            </w:r>
          </w:p>
          <w:p w14:paraId="6813BEE3" w14:textId="4142769D" w:rsidR="00C8349D" w:rsidRPr="001E68E9" w:rsidRDefault="00C8349D" w:rsidP="00A6242C">
            <w:pPr>
              <w:widowControl/>
              <w:spacing w:before="120"/>
              <w:rPr>
                <w:rFonts w:eastAsia="Arial Unicode MS"/>
                <w:sz w:val="16"/>
                <w:szCs w:val="16"/>
              </w:rPr>
            </w:pPr>
            <w:r w:rsidRPr="001E68E9">
              <w:rPr>
                <w:rFonts w:eastAsia="Arial Unicode MS"/>
                <w:sz w:val="16"/>
                <w:szCs w:val="16"/>
              </w:rPr>
              <w:t xml:space="preserve"> </w:t>
            </w:r>
          </w:p>
        </w:tc>
        <w:tc>
          <w:tcPr>
            <w:tcW w:w="681" w:type="pct"/>
          </w:tcPr>
          <w:p w14:paraId="588EF8AF" w14:textId="363F858E" w:rsidR="00C8349D" w:rsidRPr="001E68E9" w:rsidRDefault="00C8349D" w:rsidP="00A6242C">
            <w:pPr>
              <w:widowControl/>
              <w:spacing w:before="120"/>
              <w:rPr>
                <w:i/>
                <w:color w:val="auto"/>
                <w:sz w:val="16"/>
                <w:szCs w:val="16"/>
              </w:rPr>
            </w:pPr>
            <w:r w:rsidRPr="001E68E9">
              <w:rPr>
                <w:rFonts w:eastAsia="Arial Unicode MS"/>
                <w:sz w:val="16"/>
                <w:szCs w:val="16"/>
              </w:rPr>
              <w:t>Plasma from blood in EDTA Tube</w:t>
            </w:r>
          </w:p>
        </w:tc>
        <w:tc>
          <w:tcPr>
            <w:tcW w:w="681" w:type="pct"/>
          </w:tcPr>
          <w:p w14:paraId="3FFAEB73" w14:textId="25BCCBAB" w:rsidR="00C8349D" w:rsidRPr="001E68E9" w:rsidRDefault="00C8349D" w:rsidP="001E68E9">
            <w:pPr>
              <w:pStyle w:val="TableParagraph"/>
              <w:spacing w:before="120"/>
              <w:ind w:right="98"/>
              <w:rPr>
                <w:rFonts w:ascii="Times New Roman" w:hAnsi="Times New Roman" w:cs="Times New Roman"/>
                <w:iCs/>
                <w:color w:val="231F20"/>
                <w:sz w:val="16"/>
                <w:szCs w:val="16"/>
                <w:u w:val="single"/>
              </w:rPr>
            </w:pPr>
            <w:r w:rsidRPr="001E68E9">
              <w:rPr>
                <w:rFonts w:ascii="Times New Roman" w:hAnsi="Times New Roman" w:cs="Times New Roman"/>
                <w:iCs/>
                <w:color w:val="231F20"/>
                <w:sz w:val="16"/>
                <w:szCs w:val="16"/>
                <w:u w:val="single"/>
              </w:rPr>
              <w:t>All patients</w:t>
            </w:r>
            <w:r w:rsidR="004C5BBC">
              <w:rPr>
                <w:rFonts w:ascii="Times New Roman" w:hAnsi="Times New Roman" w:cs="Times New Roman"/>
                <w:iCs/>
                <w:color w:val="231F20"/>
                <w:sz w:val="16"/>
                <w:szCs w:val="16"/>
                <w:u w:val="single"/>
              </w:rPr>
              <w:t xml:space="preserve"> </w:t>
            </w:r>
            <w:r w:rsidR="004C5BBC" w:rsidRPr="002D4A4A">
              <w:rPr>
                <w:rFonts w:ascii="Times New Roman" w:eastAsia="Arial Unicode MS" w:hAnsi="Times New Roman" w:cs="Times New Roman"/>
                <w:sz w:val="16"/>
                <w:szCs w:val="16"/>
                <w:u w:val="single"/>
              </w:rPr>
              <w:t>on the treatment portion of the study</w:t>
            </w:r>
            <w:r w:rsidRPr="001E68E9">
              <w:rPr>
                <w:rFonts w:ascii="Times New Roman" w:hAnsi="Times New Roman" w:cs="Times New Roman"/>
                <w:iCs/>
                <w:color w:val="231F20"/>
                <w:sz w:val="16"/>
                <w:szCs w:val="16"/>
                <w:u w:val="single"/>
              </w:rPr>
              <w:t>:</w:t>
            </w:r>
          </w:p>
          <w:p w14:paraId="18277A8A" w14:textId="77777777" w:rsidR="00C8349D" w:rsidRPr="001E68E9" w:rsidRDefault="00C8349D" w:rsidP="001E68E9">
            <w:pPr>
              <w:widowControl/>
              <w:spacing w:before="120"/>
              <w:rPr>
                <w:rFonts w:eastAsia="Arial Unicode MS"/>
                <w:sz w:val="16"/>
                <w:szCs w:val="16"/>
              </w:rPr>
            </w:pPr>
            <w:r w:rsidRPr="001E68E9">
              <w:rPr>
                <w:rFonts w:eastAsia="Arial Unicode MS"/>
                <w:sz w:val="16"/>
                <w:szCs w:val="16"/>
              </w:rPr>
              <w:t>Week 1 Day 1: 1-3 h post dose</w:t>
            </w:r>
          </w:p>
          <w:p w14:paraId="3D94B8DB" w14:textId="77777777" w:rsidR="00C8349D" w:rsidRPr="001E68E9" w:rsidRDefault="00C8349D" w:rsidP="001E68E9">
            <w:pPr>
              <w:widowControl/>
              <w:spacing w:before="120"/>
              <w:rPr>
                <w:rFonts w:eastAsia="Arial Unicode MS"/>
                <w:sz w:val="16"/>
                <w:szCs w:val="16"/>
              </w:rPr>
            </w:pPr>
            <w:r w:rsidRPr="001E68E9">
              <w:rPr>
                <w:rFonts w:eastAsia="Arial Unicode MS"/>
                <w:sz w:val="16"/>
                <w:szCs w:val="16"/>
              </w:rPr>
              <w:t>Week 1 Day 2 (alternative treatment days acceptable): pre, 0.5, 1, 1.5, 2, 3, 4, 6, 8 h post dose</w:t>
            </w:r>
          </w:p>
          <w:p w14:paraId="0D84704B" w14:textId="774AFAB0" w:rsidR="00C8349D" w:rsidRPr="001E68E9" w:rsidRDefault="00C8349D" w:rsidP="001E68E9">
            <w:pPr>
              <w:widowControl/>
              <w:spacing w:before="120"/>
              <w:rPr>
                <w:rFonts w:eastAsia="Arial Unicode MS"/>
                <w:sz w:val="16"/>
                <w:szCs w:val="16"/>
                <w:u w:val="single"/>
              </w:rPr>
            </w:pPr>
            <w:r w:rsidRPr="001E68E9">
              <w:rPr>
                <w:rFonts w:eastAsia="Arial Unicode MS"/>
                <w:sz w:val="16"/>
                <w:szCs w:val="16"/>
                <w:u w:val="single"/>
              </w:rPr>
              <w:t xml:space="preserve">Only for select patients at City of Hope </w:t>
            </w:r>
            <w:r w:rsidR="00B826A2">
              <w:rPr>
                <w:rFonts w:eastAsia="Arial Unicode MS"/>
                <w:sz w:val="16"/>
                <w:szCs w:val="16"/>
                <w:u w:val="single"/>
              </w:rPr>
              <w:t>on the window-of-opportunity</w:t>
            </w:r>
            <w:r w:rsidR="008950FB">
              <w:rPr>
                <w:rFonts w:eastAsia="Arial Unicode MS"/>
                <w:sz w:val="16"/>
                <w:szCs w:val="16"/>
                <w:u w:val="single"/>
              </w:rPr>
              <w:t xml:space="preserve"> PK sub-study</w:t>
            </w:r>
            <w:r w:rsidRPr="001E68E9">
              <w:rPr>
                <w:rFonts w:eastAsia="Arial Unicode MS"/>
                <w:sz w:val="16"/>
                <w:szCs w:val="16"/>
                <w:u w:val="single"/>
              </w:rPr>
              <w:t>:</w:t>
            </w:r>
          </w:p>
          <w:p w14:paraId="7FE732D4" w14:textId="2CD4B2B5" w:rsidR="00C8349D" w:rsidRPr="001E68E9" w:rsidRDefault="00C8349D" w:rsidP="001E68E9">
            <w:pPr>
              <w:spacing w:before="120"/>
              <w:rPr>
                <w:i/>
                <w:color w:val="auto"/>
                <w:sz w:val="16"/>
                <w:szCs w:val="16"/>
              </w:rPr>
            </w:pPr>
            <w:r w:rsidRPr="001E68E9">
              <w:rPr>
                <w:rFonts w:eastAsia="Arial Unicode MS"/>
                <w:sz w:val="16"/>
                <w:szCs w:val="16"/>
              </w:rPr>
              <w:t>At least 24 h after surgery: pre, 0.5, 1, 1.5, 2, 3, 4, 6, 8 h post dose</w:t>
            </w:r>
          </w:p>
        </w:tc>
        <w:tc>
          <w:tcPr>
            <w:tcW w:w="486" w:type="pct"/>
          </w:tcPr>
          <w:p w14:paraId="6C7998E2" w14:textId="77777777" w:rsidR="00C8349D" w:rsidRPr="001E68E9" w:rsidRDefault="00C8349D" w:rsidP="00C8349D">
            <w:pPr>
              <w:widowControl/>
              <w:spacing w:before="120"/>
              <w:ind w:left="43"/>
              <w:rPr>
                <w:rFonts w:eastAsia="Arial Unicode MS"/>
                <w:sz w:val="16"/>
                <w:szCs w:val="16"/>
              </w:rPr>
            </w:pPr>
          </w:p>
          <w:p w14:paraId="0FEB17F5" w14:textId="6D68C8B5" w:rsidR="00C8349D" w:rsidRPr="001E68E9" w:rsidRDefault="002B5495" w:rsidP="004E6C69">
            <w:pPr>
              <w:widowControl/>
              <w:spacing w:before="120"/>
              <w:rPr>
                <w:rFonts w:eastAsia="Arial Unicode MS"/>
                <w:sz w:val="16"/>
                <w:szCs w:val="16"/>
              </w:rPr>
            </w:pPr>
            <w:r>
              <w:rPr>
                <w:rFonts w:eastAsia="Arial Unicode MS"/>
                <w:sz w:val="16"/>
                <w:szCs w:val="16"/>
              </w:rPr>
              <w:br/>
            </w:r>
            <w:r>
              <w:rPr>
                <w:rFonts w:eastAsia="Arial Unicode MS"/>
                <w:sz w:val="16"/>
                <w:szCs w:val="16"/>
              </w:rPr>
              <w:br/>
            </w:r>
            <w:r w:rsidR="00C8349D" w:rsidRPr="001E68E9">
              <w:rPr>
                <w:rFonts w:eastAsia="Arial Unicode MS"/>
                <w:sz w:val="16"/>
                <w:szCs w:val="16"/>
              </w:rPr>
              <w:t>M</w:t>
            </w:r>
          </w:p>
          <w:p w14:paraId="6E280833" w14:textId="77777777" w:rsidR="004E6C69" w:rsidRDefault="004E6C69" w:rsidP="00C8349D">
            <w:pPr>
              <w:widowControl/>
              <w:spacing w:before="120"/>
              <w:ind w:left="43"/>
              <w:rPr>
                <w:rFonts w:eastAsia="Arial Unicode MS"/>
                <w:sz w:val="16"/>
                <w:szCs w:val="16"/>
              </w:rPr>
            </w:pPr>
          </w:p>
          <w:p w14:paraId="09229F96" w14:textId="153D5D11" w:rsidR="00C8349D" w:rsidRPr="001E68E9" w:rsidRDefault="00C8349D" w:rsidP="00CC2690">
            <w:pPr>
              <w:widowControl/>
              <w:rPr>
                <w:rFonts w:eastAsia="Arial Unicode MS"/>
                <w:sz w:val="16"/>
                <w:szCs w:val="16"/>
              </w:rPr>
            </w:pPr>
            <w:r w:rsidRPr="001E68E9">
              <w:rPr>
                <w:rFonts w:eastAsia="Arial Unicode MS"/>
                <w:sz w:val="16"/>
                <w:szCs w:val="16"/>
              </w:rPr>
              <w:t>M</w:t>
            </w:r>
          </w:p>
          <w:p w14:paraId="0CD0ED71" w14:textId="77777777" w:rsidR="00C8349D" w:rsidRPr="001E68E9" w:rsidRDefault="00C8349D" w:rsidP="00C8349D">
            <w:pPr>
              <w:widowControl/>
              <w:spacing w:before="120"/>
              <w:rPr>
                <w:rFonts w:eastAsia="Arial Unicode MS"/>
                <w:sz w:val="16"/>
                <w:szCs w:val="16"/>
              </w:rPr>
            </w:pPr>
          </w:p>
          <w:p w14:paraId="5796E89F" w14:textId="77777777" w:rsidR="00CC2690" w:rsidRDefault="00CC2690" w:rsidP="00C8349D">
            <w:pPr>
              <w:rPr>
                <w:rFonts w:eastAsia="Arial Unicode MS"/>
                <w:sz w:val="16"/>
                <w:szCs w:val="16"/>
              </w:rPr>
            </w:pPr>
          </w:p>
          <w:p w14:paraId="2FFA25D8" w14:textId="77777777" w:rsidR="00CC2690" w:rsidRDefault="00CC2690" w:rsidP="00C8349D">
            <w:pPr>
              <w:rPr>
                <w:rFonts w:eastAsia="Arial Unicode MS"/>
                <w:sz w:val="16"/>
                <w:szCs w:val="16"/>
              </w:rPr>
            </w:pPr>
          </w:p>
          <w:p w14:paraId="20C838D4" w14:textId="77777777" w:rsidR="00CC2690" w:rsidRDefault="00CC2690" w:rsidP="00C8349D">
            <w:pPr>
              <w:rPr>
                <w:rFonts w:eastAsia="Arial Unicode MS"/>
                <w:sz w:val="16"/>
                <w:szCs w:val="16"/>
              </w:rPr>
            </w:pPr>
          </w:p>
          <w:p w14:paraId="6B1BFE03" w14:textId="77777777" w:rsidR="00CC2690" w:rsidRDefault="00CC2690" w:rsidP="00C8349D">
            <w:pPr>
              <w:rPr>
                <w:rFonts w:eastAsia="Arial Unicode MS"/>
                <w:sz w:val="16"/>
                <w:szCs w:val="16"/>
              </w:rPr>
            </w:pPr>
          </w:p>
          <w:p w14:paraId="308AE6A7" w14:textId="77777777" w:rsidR="00CC2690" w:rsidRDefault="00CC2690" w:rsidP="00C8349D">
            <w:pPr>
              <w:rPr>
                <w:rFonts w:eastAsia="Arial Unicode MS"/>
                <w:sz w:val="16"/>
                <w:szCs w:val="16"/>
              </w:rPr>
            </w:pPr>
          </w:p>
          <w:p w14:paraId="17235FE2" w14:textId="77777777" w:rsidR="00CC2690" w:rsidRDefault="00CC2690" w:rsidP="00C8349D">
            <w:pPr>
              <w:rPr>
                <w:rFonts w:eastAsia="Arial Unicode MS"/>
                <w:sz w:val="16"/>
                <w:szCs w:val="16"/>
              </w:rPr>
            </w:pPr>
          </w:p>
          <w:p w14:paraId="6395E660" w14:textId="1B2E4859" w:rsidR="00C8349D" w:rsidRPr="001E68E9" w:rsidRDefault="006B3377" w:rsidP="00CC2690">
            <w:pPr>
              <w:spacing w:before="120"/>
              <w:rPr>
                <w:i/>
                <w:sz w:val="16"/>
                <w:szCs w:val="16"/>
              </w:rPr>
            </w:pPr>
            <w:r>
              <w:rPr>
                <w:rFonts w:eastAsia="Arial Unicode MS"/>
                <w:sz w:val="16"/>
                <w:szCs w:val="16"/>
              </w:rPr>
              <w:br/>
            </w:r>
            <w:r w:rsidR="00C8349D" w:rsidRPr="001E68E9">
              <w:rPr>
                <w:rFonts w:eastAsia="Arial Unicode MS"/>
                <w:sz w:val="16"/>
                <w:szCs w:val="16"/>
              </w:rPr>
              <w:t>M</w:t>
            </w:r>
          </w:p>
        </w:tc>
        <w:tc>
          <w:tcPr>
            <w:tcW w:w="763" w:type="pct"/>
          </w:tcPr>
          <w:p w14:paraId="0CE0261A" w14:textId="77777777" w:rsidR="00480461" w:rsidRPr="001E68E9" w:rsidRDefault="00480461" w:rsidP="00480461">
            <w:pPr>
              <w:widowControl/>
              <w:spacing w:before="120"/>
              <w:rPr>
                <w:rFonts w:eastAsia="Arial Unicode MS"/>
                <w:sz w:val="16"/>
                <w:szCs w:val="16"/>
              </w:rPr>
            </w:pPr>
            <w:r w:rsidRPr="001E68E9">
              <w:rPr>
                <w:rFonts w:eastAsia="Arial Unicode MS"/>
                <w:sz w:val="16"/>
                <w:szCs w:val="16"/>
              </w:rPr>
              <w:t>Analytical Pharmacology Core, City of Hope</w:t>
            </w:r>
          </w:p>
          <w:p w14:paraId="0E226D5E" w14:textId="77777777" w:rsidR="00480461" w:rsidRPr="001E68E9" w:rsidRDefault="00480461" w:rsidP="00480461">
            <w:pPr>
              <w:widowControl/>
              <w:spacing w:before="120"/>
              <w:rPr>
                <w:rFonts w:eastAsia="Arial Unicode MS"/>
                <w:sz w:val="16"/>
                <w:szCs w:val="16"/>
              </w:rPr>
            </w:pPr>
            <w:r w:rsidRPr="001E68E9">
              <w:rPr>
                <w:rFonts w:eastAsia="Arial Unicode MS"/>
                <w:sz w:val="16"/>
                <w:szCs w:val="16"/>
              </w:rPr>
              <w:t>Tim Synold</w:t>
            </w:r>
          </w:p>
          <w:p w14:paraId="59CA7248" w14:textId="77777777" w:rsidR="00480461" w:rsidRPr="001E68E9" w:rsidRDefault="00480461" w:rsidP="00480461">
            <w:pPr>
              <w:widowControl/>
              <w:spacing w:before="120"/>
              <w:rPr>
                <w:rFonts w:eastAsia="Arial Unicode MS"/>
                <w:sz w:val="16"/>
                <w:szCs w:val="16"/>
              </w:rPr>
            </w:pPr>
            <w:r w:rsidRPr="001E68E9">
              <w:rPr>
                <w:rFonts w:eastAsia="Arial Unicode MS"/>
                <w:sz w:val="16"/>
                <w:szCs w:val="16"/>
              </w:rPr>
              <w:t>TSynold@coh.org</w:t>
            </w:r>
          </w:p>
          <w:p w14:paraId="08B3D85B" w14:textId="7F835E3A" w:rsidR="00C8349D" w:rsidRPr="001E68E9" w:rsidRDefault="00C8349D" w:rsidP="00A6242C">
            <w:pPr>
              <w:rPr>
                <w:rFonts w:eastAsia="Arial Unicode MS"/>
                <w:sz w:val="16"/>
                <w:szCs w:val="16"/>
              </w:rPr>
            </w:pPr>
          </w:p>
        </w:tc>
      </w:tr>
      <w:tr w:rsidR="00C8349D" w:rsidRPr="005C623C" w14:paraId="6565FBD6" w14:textId="77777777" w:rsidTr="0070250E">
        <w:trPr>
          <w:cantSplit/>
        </w:trPr>
        <w:tc>
          <w:tcPr>
            <w:tcW w:w="346" w:type="pct"/>
          </w:tcPr>
          <w:p w14:paraId="1F4019A9" w14:textId="003CE5BE" w:rsidR="00C8349D" w:rsidRPr="001E68E9" w:rsidRDefault="00C8349D" w:rsidP="00A6242C">
            <w:pPr>
              <w:widowControl/>
              <w:spacing w:before="120"/>
              <w:jc w:val="center"/>
              <w:rPr>
                <w:rFonts w:eastAsia="Arial Unicode MS"/>
                <w:sz w:val="16"/>
                <w:szCs w:val="16"/>
              </w:rPr>
            </w:pPr>
            <w:r w:rsidRPr="001E68E9">
              <w:rPr>
                <w:rFonts w:eastAsia="Arial Unicode MS"/>
                <w:sz w:val="16"/>
                <w:szCs w:val="16"/>
              </w:rPr>
              <w:t>2</w:t>
            </w:r>
          </w:p>
        </w:tc>
        <w:tc>
          <w:tcPr>
            <w:tcW w:w="608" w:type="pct"/>
          </w:tcPr>
          <w:p w14:paraId="79252E26" w14:textId="163E6083" w:rsidR="00C8349D" w:rsidRPr="001E68E9" w:rsidRDefault="00C8349D" w:rsidP="00A6242C">
            <w:pPr>
              <w:widowControl/>
              <w:spacing w:before="120"/>
              <w:rPr>
                <w:rFonts w:eastAsia="Arial Unicode MS"/>
                <w:sz w:val="16"/>
                <w:szCs w:val="16"/>
              </w:rPr>
            </w:pPr>
            <w:r w:rsidRPr="001E68E9">
              <w:rPr>
                <w:rFonts w:eastAsia="Arial Unicode MS"/>
                <w:sz w:val="16"/>
                <w:szCs w:val="16"/>
              </w:rPr>
              <w:t>Whole exome sequencing (WES)</w:t>
            </w:r>
          </w:p>
        </w:tc>
        <w:tc>
          <w:tcPr>
            <w:tcW w:w="608" w:type="pct"/>
          </w:tcPr>
          <w:p w14:paraId="6739F3DA" w14:textId="77777777" w:rsidR="00C8349D" w:rsidRPr="001E68E9" w:rsidRDefault="00C8349D" w:rsidP="00A6242C">
            <w:pPr>
              <w:widowControl/>
              <w:spacing w:before="120"/>
              <w:ind w:left="43"/>
              <w:rPr>
                <w:rFonts w:eastAsia="Arial Unicode MS"/>
                <w:sz w:val="16"/>
                <w:szCs w:val="16"/>
              </w:rPr>
            </w:pPr>
            <w:r w:rsidRPr="001E68E9">
              <w:rPr>
                <w:rFonts w:eastAsia="Arial Unicode MS"/>
                <w:sz w:val="16"/>
                <w:szCs w:val="16"/>
              </w:rPr>
              <w:t>NGS</w:t>
            </w:r>
          </w:p>
          <w:p w14:paraId="354CED01" w14:textId="77777777" w:rsidR="00C8349D" w:rsidRPr="001E68E9" w:rsidRDefault="00C8349D" w:rsidP="00A6242C">
            <w:pPr>
              <w:widowControl/>
              <w:spacing w:before="120"/>
              <w:ind w:left="43"/>
              <w:rPr>
                <w:rFonts w:eastAsia="Arial Unicode MS"/>
                <w:sz w:val="16"/>
                <w:szCs w:val="16"/>
              </w:rPr>
            </w:pPr>
            <w:r w:rsidRPr="001E68E9">
              <w:rPr>
                <w:rFonts w:eastAsia="Arial Unicode MS"/>
                <w:sz w:val="16"/>
                <w:szCs w:val="16"/>
              </w:rPr>
              <w:t>CLIA: N</w:t>
            </w:r>
          </w:p>
          <w:p w14:paraId="433C302C" w14:textId="7AFA3C28" w:rsidR="00C8349D" w:rsidRPr="001E68E9" w:rsidRDefault="00C8349D" w:rsidP="00A6242C">
            <w:pPr>
              <w:widowControl/>
              <w:spacing w:before="120"/>
              <w:rPr>
                <w:rFonts w:eastAsia="Arial Unicode MS"/>
                <w:sz w:val="16"/>
                <w:szCs w:val="16"/>
              </w:rPr>
            </w:pPr>
          </w:p>
        </w:tc>
        <w:tc>
          <w:tcPr>
            <w:tcW w:w="827" w:type="pct"/>
          </w:tcPr>
          <w:p w14:paraId="22A918FF" w14:textId="77777777" w:rsidR="00C8349D" w:rsidRPr="001E68E9" w:rsidRDefault="00C8349D" w:rsidP="00A6242C">
            <w:pPr>
              <w:widowControl/>
              <w:spacing w:before="120"/>
              <w:rPr>
                <w:rFonts w:eastAsia="Arial Unicode MS"/>
                <w:sz w:val="16"/>
                <w:szCs w:val="16"/>
              </w:rPr>
            </w:pPr>
            <w:r w:rsidRPr="001E68E9">
              <w:rPr>
                <w:rFonts w:eastAsia="Arial Unicode MS"/>
                <w:sz w:val="16"/>
                <w:szCs w:val="16"/>
              </w:rPr>
              <w:t>Integrated</w:t>
            </w:r>
          </w:p>
          <w:p w14:paraId="32FBC573" w14:textId="4C30AB67" w:rsidR="00C8349D" w:rsidRPr="001E68E9" w:rsidRDefault="00C8349D" w:rsidP="00A6242C">
            <w:pPr>
              <w:widowControl/>
              <w:spacing w:before="120"/>
              <w:rPr>
                <w:i/>
                <w:sz w:val="16"/>
                <w:szCs w:val="16"/>
              </w:rPr>
            </w:pPr>
            <w:r w:rsidRPr="001E68E9">
              <w:rPr>
                <w:rFonts w:eastAsia="Arial Unicode MS"/>
                <w:sz w:val="16"/>
                <w:szCs w:val="16"/>
              </w:rPr>
              <w:t>Germline control for WES</w:t>
            </w:r>
          </w:p>
        </w:tc>
        <w:tc>
          <w:tcPr>
            <w:tcW w:w="681" w:type="pct"/>
          </w:tcPr>
          <w:p w14:paraId="7FD29EBF" w14:textId="7E718915" w:rsidR="00C8349D" w:rsidRPr="001E68E9" w:rsidRDefault="00C8349D" w:rsidP="00A6242C">
            <w:pPr>
              <w:widowControl/>
              <w:spacing w:before="120"/>
              <w:rPr>
                <w:i/>
                <w:color w:val="auto"/>
                <w:sz w:val="16"/>
                <w:szCs w:val="16"/>
              </w:rPr>
            </w:pPr>
            <w:r w:rsidRPr="001E68E9">
              <w:rPr>
                <w:rFonts w:eastAsia="Arial Unicode MS"/>
                <w:sz w:val="16"/>
                <w:szCs w:val="16"/>
              </w:rPr>
              <w:t>Germline DNA from blood in K2 EDTA tube</w:t>
            </w:r>
          </w:p>
        </w:tc>
        <w:tc>
          <w:tcPr>
            <w:tcW w:w="681" w:type="pct"/>
          </w:tcPr>
          <w:p w14:paraId="254ABC35" w14:textId="61D5E21E" w:rsidR="00C8349D" w:rsidRPr="00F556A6" w:rsidRDefault="00C8349D" w:rsidP="001E68E9">
            <w:pPr>
              <w:widowControl/>
              <w:spacing w:before="120"/>
              <w:rPr>
                <w:rFonts w:eastAsia="Arial Unicode MS"/>
                <w:sz w:val="16"/>
                <w:szCs w:val="16"/>
              </w:rPr>
            </w:pPr>
            <w:r w:rsidRPr="00F556A6">
              <w:rPr>
                <w:rFonts w:eastAsia="Arial Unicode MS"/>
                <w:sz w:val="16"/>
                <w:szCs w:val="16"/>
                <w:u w:val="single"/>
              </w:rPr>
              <w:t>All patients</w:t>
            </w:r>
            <w:r w:rsidR="008D0197">
              <w:rPr>
                <w:rFonts w:eastAsia="Arial Unicode MS"/>
                <w:sz w:val="16"/>
                <w:szCs w:val="16"/>
                <w:u w:val="single"/>
              </w:rPr>
              <w:t xml:space="preserve"> on the treatment portion of the study</w:t>
            </w:r>
            <w:r w:rsidRPr="00F556A6">
              <w:rPr>
                <w:rFonts w:eastAsia="Arial Unicode MS"/>
                <w:sz w:val="16"/>
                <w:szCs w:val="16"/>
              </w:rPr>
              <w:t>:</w:t>
            </w:r>
          </w:p>
          <w:p w14:paraId="4E20FAA6" w14:textId="3F23166B" w:rsidR="00C8349D" w:rsidRPr="001E68E9" w:rsidRDefault="00C8349D" w:rsidP="001E68E9">
            <w:pPr>
              <w:spacing w:before="120"/>
              <w:rPr>
                <w:i/>
                <w:color w:val="auto"/>
                <w:sz w:val="16"/>
                <w:szCs w:val="16"/>
              </w:rPr>
            </w:pPr>
            <w:r w:rsidRPr="001E68E9">
              <w:rPr>
                <w:rFonts w:eastAsia="Arial Unicode MS"/>
                <w:sz w:val="16"/>
                <w:szCs w:val="16"/>
              </w:rPr>
              <w:t>Baseline</w:t>
            </w:r>
          </w:p>
        </w:tc>
        <w:tc>
          <w:tcPr>
            <w:tcW w:w="486" w:type="pct"/>
          </w:tcPr>
          <w:p w14:paraId="22DCADB4" w14:textId="77777777" w:rsidR="00C8349D" w:rsidRPr="001E68E9" w:rsidRDefault="00C8349D" w:rsidP="00C8349D">
            <w:pPr>
              <w:widowControl/>
              <w:spacing w:before="120"/>
              <w:ind w:left="43"/>
              <w:rPr>
                <w:rFonts w:eastAsia="Arial Unicode MS"/>
                <w:sz w:val="16"/>
                <w:szCs w:val="16"/>
              </w:rPr>
            </w:pPr>
          </w:p>
          <w:p w14:paraId="623C967B" w14:textId="001166D2" w:rsidR="00C8349D" w:rsidRPr="001E68E9" w:rsidRDefault="006B3377" w:rsidP="00394B8F">
            <w:pPr>
              <w:spacing w:before="120"/>
              <w:rPr>
                <w:i/>
                <w:sz w:val="16"/>
                <w:szCs w:val="16"/>
              </w:rPr>
            </w:pPr>
            <w:r>
              <w:rPr>
                <w:rFonts w:eastAsia="Arial Unicode MS"/>
                <w:sz w:val="16"/>
                <w:szCs w:val="16"/>
              </w:rPr>
              <w:br/>
            </w:r>
            <w:r>
              <w:rPr>
                <w:rFonts w:eastAsia="Arial Unicode MS"/>
                <w:sz w:val="16"/>
                <w:szCs w:val="16"/>
              </w:rPr>
              <w:br/>
            </w:r>
            <w:r w:rsidR="00C8349D" w:rsidRPr="001E68E9">
              <w:rPr>
                <w:rFonts w:eastAsia="Arial Unicode MS"/>
                <w:sz w:val="16"/>
                <w:szCs w:val="16"/>
              </w:rPr>
              <w:t>M, if tissue submitted for WES</w:t>
            </w:r>
          </w:p>
        </w:tc>
        <w:tc>
          <w:tcPr>
            <w:tcW w:w="763" w:type="pct"/>
          </w:tcPr>
          <w:p w14:paraId="54859C11" w14:textId="77777777" w:rsidR="00C8349D" w:rsidRPr="001E68E9" w:rsidRDefault="00C8349D" w:rsidP="00394B8F">
            <w:pPr>
              <w:widowControl/>
              <w:spacing w:before="120"/>
              <w:rPr>
                <w:rFonts w:eastAsia="Arial Unicode MS"/>
                <w:sz w:val="16"/>
                <w:szCs w:val="16"/>
              </w:rPr>
            </w:pPr>
            <w:r w:rsidRPr="001E68E9">
              <w:rPr>
                <w:rFonts w:eastAsia="Arial Unicode MS"/>
                <w:sz w:val="16"/>
                <w:szCs w:val="16"/>
              </w:rPr>
              <w:t>MoCha, Frederick National Laboratory for Cancer Research (FNLCR)</w:t>
            </w:r>
          </w:p>
          <w:p w14:paraId="24C10834" w14:textId="46AC250F" w:rsidR="00C8349D" w:rsidRPr="001E68E9" w:rsidRDefault="00C8349D" w:rsidP="00394B8F">
            <w:pPr>
              <w:widowControl/>
              <w:spacing w:before="120"/>
              <w:rPr>
                <w:rFonts w:eastAsia="Arial Unicode MS"/>
                <w:sz w:val="16"/>
                <w:szCs w:val="16"/>
              </w:rPr>
            </w:pPr>
            <w:r w:rsidRPr="001E68E9">
              <w:rPr>
                <w:rFonts w:eastAsia="Arial Unicode MS"/>
                <w:sz w:val="16"/>
                <w:szCs w:val="16"/>
              </w:rPr>
              <w:t>Chris Karlovich</w:t>
            </w:r>
          </w:p>
          <w:p w14:paraId="4965E744" w14:textId="1C646612" w:rsidR="00C8349D" w:rsidRPr="001E68E9" w:rsidRDefault="00C8349D" w:rsidP="00394B8F">
            <w:pPr>
              <w:spacing w:before="120"/>
              <w:rPr>
                <w:rFonts w:eastAsia="Arial Unicode MS"/>
                <w:sz w:val="16"/>
                <w:szCs w:val="16"/>
              </w:rPr>
            </w:pPr>
            <w:r w:rsidRPr="001E68E9">
              <w:rPr>
                <w:rFonts w:eastAsia="Arial Unicode MS"/>
                <w:sz w:val="16"/>
                <w:szCs w:val="16"/>
              </w:rPr>
              <w:t>chris.karlovich@nih.gov</w:t>
            </w:r>
          </w:p>
        </w:tc>
      </w:tr>
      <w:tr w:rsidR="00A445BD" w:rsidRPr="005C623C" w14:paraId="1FAB2502" w14:textId="77777777" w:rsidTr="002C47BA">
        <w:trPr>
          <w:cantSplit/>
          <w:trHeight w:val="216"/>
        </w:trPr>
        <w:tc>
          <w:tcPr>
            <w:tcW w:w="5000" w:type="pct"/>
            <w:gridSpan w:val="8"/>
            <w:shd w:val="clear" w:color="auto" w:fill="BFBFBF" w:themeFill="background1" w:themeFillShade="BF"/>
          </w:tcPr>
          <w:p w14:paraId="54E63C7B" w14:textId="6DAEB0F1" w:rsidR="00A445BD" w:rsidRPr="0009268A" w:rsidRDefault="002B2964" w:rsidP="0070250E">
            <w:pPr>
              <w:rPr>
                <w:b/>
                <w:iCs/>
                <w:color w:val="auto"/>
                <w:sz w:val="20"/>
                <w:szCs w:val="20"/>
              </w:rPr>
            </w:pPr>
            <w:r w:rsidRPr="0009268A">
              <w:rPr>
                <w:b/>
                <w:iCs/>
                <w:color w:val="auto"/>
                <w:sz w:val="20"/>
                <w:szCs w:val="20"/>
              </w:rPr>
              <w:t>CSF-Based</w:t>
            </w:r>
          </w:p>
        </w:tc>
      </w:tr>
      <w:tr w:rsidR="0009268A" w:rsidRPr="005C623C" w14:paraId="0139F987" w14:textId="77777777" w:rsidTr="0070250E">
        <w:trPr>
          <w:cantSplit/>
        </w:trPr>
        <w:tc>
          <w:tcPr>
            <w:tcW w:w="346" w:type="pct"/>
          </w:tcPr>
          <w:p w14:paraId="03B78DE7" w14:textId="72B0E82C" w:rsidR="0009268A" w:rsidRPr="001E68E9" w:rsidRDefault="0009268A" w:rsidP="00A6242C">
            <w:pPr>
              <w:widowControl/>
              <w:spacing w:before="120"/>
              <w:jc w:val="center"/>
              <w:rPr>
                <w:rFonts w:eastAsia="Arial Unicode MS"/>
                <w:sz w:val="16"/>
                <w:szCs w:val="16"/>
              </w:rPr>
            </w:pPr>
            <w:r w:rsidRPr="001E68E9">
              <w:rPr>
                <w:rFonts w:eastAsia="Arial Unicode MS"/>
                <w:sz w:val="16"/>
                <w:szCs w:val="16"/>
              </w:rPr>
              <w:t>1</w:t>
            </w:r>
          </w:p>
        </w:tc>
        <w:tc>
          <w:tcPr>
            <w:tcW w:w="608" w:type="pct"/>
          </w:tcPr>
          <w:p w14:paraId="33CB9808" w14:textId="1960A9A7" w:rsidR="0009268A" w:rsidRPr="001E68E9" w:rsidRDefault="0009268A" w:rsidP="00A6242C">
            <w:pPr>
              <w:widowControl/>
              <w:spacing w:before="120"/>
              <w:rPr>
                <w:rFonts w:eastAsia="Arial Unicode MS"/>
                <w:sz w:val="16"/>
                <w:szCs w:val="16"/>
              </w:rPr>
            </w:pPr>
            <w:r w:rsidRPr="001E68E9">
              <w:rPr>
                <w:rFonts w:eastAsia="Arial Unicode MS"/>
                <w:sz w:val="16"/>
                <w:szCs w:val="16"/>
              </w:rPr>
              <w:t>Triapine PK</w:t>
            </w:r>
          </w:p>
        </w:tc>
        <w:tc>
          <w:tcPr>
            <w:tcW w:w="608" w:type="pct"/>
          </w:tcPr>
          <w:p w14:paraId="7528DC49" w14:textId="77777777" w:rsidR="0009268A" w:rsidRPr="001E68E9" w:rsidRDefault="0009268A" w:rsidP="00A6242C">
            <w:pPr>
              <w:widowControl/>
              <w:spacing w:before="120"/>
              <w:ind w:left="43"/>
              <w:rPr>
                <w:rFonts w:eastAsia="Arial Unicode MS"/>
                <w:sz w:val="16"/>
                <w:szCs w:val="16"/>
              </w:rPr>
            </w:pPr>
            <w:r w:rsidRPr="001E68E9">
              <w:rPr>
                <w:rFonts w:eastAsia="Arial Unicode MS"/>
                <w:sz w:val="16"/>
                <w:szCs w:val="16"/>
              </w:rPr>
              <w:t>LC-MS/MS assay</w:t>
            </w:r>
          </w:p>
          <w:p w14:paraId="3B97E5A4" w14:textId="77777777" w:rsidR="0009268A" w:rsidRPr="001E68E9" w:rsidRDefault="0009268A" w:rsidP="00A6242C">
            <w:pPr>
              <w:widowControl/>
              <w:spacing w:before="120"/>
              <w:ind w:left="43"/>
              <w:rPr>
                <w:rFonts w:eastAsia="Arial Unicode MS"/>
                <w:sz w:val="16"/>
                <w:szCs w:val="16"/>
              </w:rPr>
            </w:pPr>
            <w:r w:rsidRPr="001E68E9">
              <w:rPr>
                <w:rFonts w:eastAsia="Arial Unicode MS"/>
                <w:sz w:val="16"/>
                <w:szCs w:val="16"/>
              </w:rPr>
              <w:t>CLIA: N</w:t>
            </w:r>
          </w:p>
          <w:p w14:paraId="02C5DC7B" w14:textId="6CE2B53A" w:rsidR="0009268A" w:rsidRPr="001E68E9" w:rsidRDefault="0009268A" w:rsidP="00A6242C">
            <w:pPr>
              <w:widowControl/>
              <w:spacing w:before="120"/>
              <w:rPr>
                <w:rFonts w:eastAsia="Arial Unicode MS"/>
                <w:sz w:val="16"/>
                <w:szCs w:val="16"/>
              </w:rPr>
            </w:pPr>
          </w:p>
        </w:tc>
        <w:tc>
          <w:tcPr>
            <w:tcW w:w="827" w:type="pct"/>
          </w:tcPr>
          <w:p w14:paraId="22162F20" w14:textId="77777777" w:rsidR="0009268A" w:rsidRPr="001E68E9" w:rsidRDefault="0009268A" w:rsidP="00234147">
            <w:pPr>
              <w:widowControl/>
              <w:spacing w:before="120"/>
              <w:rPr>
                <w:rFonts w:eastAsia="Arial Unicode MS"/>
                <w:sz w:val="16"/>
                <w:szCs w:val="16"/>
              </w:rPr>
            </w:pPr>
            <w:r w:rsidRPr="001E68E9">
              <w:rPr>
                <w:rFonts w:eastAsia="Arial Unicode MS"/>
                <w:sz w:val="16"/>
                <w:szCs w:val="16"/>
              </w:rPr>
              <w:t>Integrated</w:t>
            </w:r>
          </w:p>
          <w:p w14:paraId="481AAE0C" w14:textId="77777777" w:rsidR="0009268A" w:rsidRPr="001E68E9" w:rsidRDefault="0009268A" w:rsidP="00234147">
            <w:pPr>
              <w:widowControl/>
              <w:spacing w:before="120"/>
              <w:rPr>
                <w:rFonts w:eastAsia="Arial Unicode MS"/>
                <w:sz w:val="16"/>
                <w:szCs w:val="16"/>
              </w:rPr>
            </w:pPr>
            <w:r w:rsidRPr="001E68E9">
              <w:rPr>
                <w:rFonts w:eastAsia="Arial Unicode MS"/>
                <w:sz w:val="16"/>
                <w:szCs w:val="16"/>
              </w:rPr>
              <w:t>To evaluate pharmacokinetics of intervention drug</w:t>
            </w:r>
          </w:p>
          <w:p w14:paraId="7E5F4F4B" w14:textId="4BCD67DC" w:rsidR="0009268A" w:rsidRPr="001E68E9" w:rsidRDefault="0009268A" w:rsidP="00A6242C">
            <w:pPr>
              <w:widowControl/>
              <w:spacing w:before="120"/>
              <w:rPr>
                <w:rFonts w:eastAsia="Arial Unicode MS"/>
                <w:sz w:val="16"/>
                <w:szCs w:val="16"/>
              </w:rPr>
            </w:pPr>
          </w:p>
        </w:tc>
        <w:tc>
          <w:tcPr>
            <w:tcW w:w="681" w:type="pct"/>
          </w:tcPr>
          <w:p w14:paraId="2971FAF1" w14:textId="408CBE81" w:rsidR="0009268A" w:rsidRPr="001E68E9" w:rsidRDefault="0009268A" w:rsidP="00A6242C">
            <w:pPr>
              <w:widowControl/>
              <w:spacing w:before="120"/>
              <w:rPr>
                <w:i/>
                <w:color w:val="auto"/>
                <w:sz w:val="16"/>
                <w:szCs w:val="16"/>
              </w:rPr>
            </w:pPr>
            <w:r w:rsidRPr="001E68E9">
              <w:rPr>
                <w:rFonts w:eastAsia="Arial Unicode MS"/>
                <w:sz w:val="16"/>
                <w:szCs w:val="16"/>
              </w:rPr>
              <w:t>Peri-tumoral dialysate</w:t>
            </w:r>
          </w:p>
        </w:tc>
        <w:tc>
          <w:tcPr>
            <w:tcW w:w="681" w:type="pct"/>
          </w:tcPr>
          <w:p w14:paraId="1767D890" w14:textId="2505A636" w:rsidR="0009268A" w:rsidRPr="001E68E9" w:rsidRDefault="0009268A" w:rsidP="001E68E9">
            <w:pPr>
              <w:widowControl/>
              <w:spacing w:before="120"/>
              <w:rPr>
                <w:rFonts w:eastAsia="Arial Unicode MS"/>
                <w:sz w:val="16"/>
                <w:szCs w:val="16"/>
              </w:rPr>
            </w:pPr>
            <w:r w:rsidRPr="001E68E9">
              <w:rPr>
                <w:rFonts w:eastAsia="Arial Unicode MS"/>
                <w:sz w:val="16"/>
                <w:szCs w:val="16"/>
                <w:u w:val="single"/>
              </w:rPr>
              <w:t xml:space="preserve">Only for select patients at City of Hope </w:t>
            </w:r>
            <w:r w:rsidR="008D0197">
              <w:rPr>
                <w:rFonts w:eastAsia="Arial Unicode MS"/>
                <w:sz w:val="16"/>
                <w:szCs w:val="16"/>
                <w:u w:val="single"/>
              </w:rPr>
              <w:t>on the window-of-opportunity PK sub-study</w:t>
            </w:r>
            <w:r w:rsidRPr="001E68E9">
              <w:rPr>
                <w:rFonts w:eastAsia="Arial Unicode MS"/>
                <w:sz w:val="16"/>
                <w:szCs w:val="16"/>
              </w:rPr>
              <w:t>:</w:t>
            </w:r>
          </w:p>
          <w:p w14:paraId="05EBCB2E" w14:textId="77777777" w:rsidR="0009268A" w:rsidRPr="001E68E9" w:rsidRDefault="0009268A" w:rsidP="001E68E9">
            <w:pPr>
              <w:pStyle w:val="TableParagraph"/>
              <w:spacing w:before="120"/>
              <w:ind w:left="43"/>
              <w:rPr>
                <w:rFonts w:ascii="Times New Roman" w:hAnsi="Times New Roman" w:cs="Times New Roman"/>
                <w:sz w:val="16"/>
                <w:szCs w:val="16"/>
              </w:rPr>
            </w:pPr>
          </w:p>
          <w:p w14:paraId="14B4AB6C" w14:textId="22A04F3A" w:rsidR="0009268A" w:rsidRPr="001E68E9" w:rsidRDefault="0009268A" w:rsidP="001E68E9">
            <w:pPr>
              <w:spacing w:before="120"/>
              <w:rPr>
                <w:i/>
                <w:color w:val="auto"/>
                <w:sz w:val="16"/>
                <w:szCs w:val="16"/>
              </w:rPr>
            </w:pPr>
            <w:r w:rsidRPr="001E68E9">
              <w:rPr>
                <w:rFonts w:eastAsia="Arial Unicode MS"/>
                <w:sz w:val="16"/>
                <w:szCs w:val="16"/>
              </w:rPr>
              <w:t>At least 24 h after surgery: pre</w:t>
            </w:r>
            <w:r w:rsidR="009E57AD">
              <w:rPr>
                <w:rFonts w:eastAsia="Arial Unicode MS"/>
                <w:sz w:val="16"/>
                <w:szCs w:val="16"/>
              </w:rPr>
              <w:t xml:space="preserve">-dose </w:t>
            </w:r>
            <w:r w:rsidRPr="001E68E9">
              <w:rPr>
                <w:rFonts w:eastAsia="Arial Unicode MS"/>
                <w:sz w:val="16"/>
                <w:szCs w:val="16"/>
              </w:rPr>
              <w:t>and then every hour up to 24 h post dose</w:t>
            </w:r>
          </w:p>
        </w:tc>
        <w:tc>
          <w:tcPr>
            <w:tcW w:w="486" w:type="pct"/>
          </w:tcPr>
          <w:p w14:paraId="226B695E" w14:textId="77777777" w:rsidR="0009268A" w:rsidRPr="001E68E9" w:rsidRDefault="0009268A" w:rsidP="004A5378">
            <w:pPr>
              <w:widowControl/>
              <w:rPr>
                <w:color w:val="231F20"/>
                <w:spacing w:val="-2"/>
                <w:sz w:val="16"/>
                <w:szCs w:val="16"/>
              </w:rPr>
            </w:pPr>
          </w:p>
          <w:p w14:paraId="0DB608B4" w14:textId="77777777" w:rsidR="0009268A" w:rsidRPr="001E68E9" w:rsidRDefault="0009268A" w:rsidP="004A5378">
            <w:pPr>
              <w:widowControl/>
              <w:ind w:left="43"/>
              <w:rPr>
                <w:color w:val="231F20"/>
                <w:spacing w:val="-2"/>
                <w:sz w:val="16"/>
                <w:szCs w:val="16"/>
              </w:rPr>
            </w:pPr>
          </w:p>
          <w:p w14:paraId="1B7894CB" w14:textId="77777777" w:rsidR="0009268A" w:rsidRDefault="0009268A" w:rsidP="004A5378">
            <w:pPr>
              <w:widowControl/>
              <w:rPr>
                <w:color w:val="231F20"/>
                <w:spacing w:val="-2"/>
                <w:sz w:val="16"/>
                <w:szCs w:val="16"/>
              </w:rPr>
            </w:pPr>
          </w:p>
          <w:p w14:paraId="79BAF1F7" w14:textId="77777777" w:rsidR="004A5378" w:rsidRDefault="004A5378" w:rsidP="004A5378">
            <w:pPr>
              <w:widowControl/>
              <w:rPr>
                <w:color w:val="231F20"/>
                <w:spacing w:val="-2"/>
                <w:sz w:val="16"/>
                <w:szCs w:val="16"/>
              </w:rPr>
            </w:pPr>
          </w:p>
          <w:p w14:paraId="4FA19139" w14:textId="77777777" w:rsidR="004A5378" w:rsidRDefault="004A5378" w:rsidP="004A5378">
            <w:pPr>
              <w:widowControl/>
              <w:rPr>
                <w:color w:val="231F20"/>
                <w:spacing w:val="-2"/>
                <w:sz w:val="16"/>
                <w:szCs w:val="16"/>
              </w:rPr>
            </w:pPr>
          </w:p>
          <w:p w14:paraId="1CA10E48" w14:textId="77777777" w:rsidR="004A5378" w:rsidRPr="001E68E9" w:rsidRDefault="004A5378" w:rsidP="004A5378">
            <w:pPr>
              <w:widowControl/>
              <w:rPr>
                <w:color w:val="231F20"/>
                <w:spacing w:val="-2"/>
                <w:sz w:val="16"/>
                <w:szCs w:val="16"/>
              </w:rPr>
            </w:pPr>
          </w:p>
          <w:p w14:paraId="722106BA" w14:textId="2DFE485C" w:rsidR="0009268A" w:rsidRPr="001E68E9" w:rsidRDefault="006B3377" w:rsidP="004A5378">
            <w:pPr>
              <w:rPr>
                <w:i/>
                <w:sz w:val="16"/>
                <w:szCs w:val="16"/>
              </w:rPr>
            </w:pPr>
            <w:r>
              <w:rPr>
                <w:color w:val="231F20"/>
                <w:spacing w:val="-2"/>
                <w:sz w:val="16"/>
                <w:szCs w:val="16"/>
              </w:rPr>
              <w:br/>
            </w:r>
            <w:r w:rsidR="0009268A" w:rsidRPr="001E68E9">
              <w:rPr>
                <w:color w:val="231F20"/>
                <w:spacing w:val="-2"/>
                <w:sz w:val="16"/>
                <w:szCs w:val="16"/>
              </w:rPr>
              <w:t>M</w:t>
            </w:r>
          </w:p>
        </w:tc>
        <w:tc>
          <w:tcPr>
            <w:tcW w:w="763" w:type="pct"/>
          </w:tcPr>
          <w:p w14:paraId="7D4CCE3D" w14:textId="77777777" w:rsidR="0009268A" w:rsidRPr="001E68E9" w:rsidRDefault="0009268A" w:rsidP="00A6242C">
            <w:pPr>
              <w:widowControl/>
              <w:spacing w:before="120"/>
              <w:rPr>
                <w:rFonts w:eastAsia="Arial Unicode MS"/>
                <w:sz w:val="16"/>
                <w:szCs w:val="16"/>
              </w:rPr>
            </w:pPr>
            <w:r w:rsidRPr="001E68E9">
              <w:rPr>
                <w:rFonts w:eastAsia="Arial Unicode MS"/>
                <w:sz w:val="16"/>
                <w:szCs w:val="16"/>
              </w:rPr>
              <w:t>Analytical Pharmacology Core, City of Hope</w:t>
            </w:r>
          </w:p>
          <w:p w14:paraId="0691089B" w14:textId="1B3D2706" w:rsidR="0009268A" w:rsidRPr="001E68E9" w:rsidRDefault="0009268A" w:rsidP="00A6242C">
            <w:pPr>
              <w:widowControl/>
              <w:spacing w:before="120"/>
              <w:rPr>
                <w:rFonts w:eastAsia="Arial Unicode MS"/>
                <w:sz w:val="16"/>
                <w:szCs w:val="16"/>
              </w:rPr>
            </w:pPr>
            <w:r w:rsidRPr="001E68E9">
              <w:rPr>
                <w:rFonts w:eastAsia="Arial Unicode MS"/>
                <w:sz w:val="16"/>
                <w:szCs w:val="16"/>
              </w:rPr>
              <w:t>Tim Synold</w:t>
            </w:r>
          </w:p>
          <w:p w14:paraId="0503D1E4" w14:textId="77777777" w:rsidR="0009268A" w:rsidRPr="001E68E9" w:rsidRDefault="0009268A" w:rsidP="00A6242C">
            <w:pPr>
              <w:widowControl/>
              <w:spacing w:before="120"/>
              <w:rPr>
                <w:rFonts w:eastAsia="Arial Unicode MS"/>
                <w:sz w:val="16"/>
                <w:szCs w:val="16"/>
              </w:rPr>
            </w:pPr>
            <w:r w:rsidRPr="001E68E9">
              <w:rPr>
                <w:rFonts w:eastAsia="Arial Unicode MS"/>
                <w:sz w:val="16"/>
                <w:szCs w:val="16"/>
              </w:rPr>
              <w:t>TSynold@coh.org</w:t>
            </w:r>
          </w:p>
          <w:p w14:paraId="780C0C1F" w14:textId="65CA5292" w:rsidR="0009268A" w:rsidRPr="001E68E9" w:rsidRDefault="0009268A" w:rsidP="0009268A">
            <w:pPr>
              <w:rPr>
                <w:i/>
                <w:color w:val="auto"/>
                <w:sz w:val="16"/>
                <w:szCs w:val="16"/>
              </w:rPr>
            </w:pPr>
          </w:p>
        </w:tc>
      </w:tr>
    </w:tbl>
    <w:p w14:paraId="44919E13" w14:textId="7B6423CD" w:rsidR="00514FBB" w:rsidRPr="005C2A2A" w:rsidRDefault="00E36A5A" w:rsidP="00514FBB">
      <w:r w:rsidRPr="007834F3">
        <w:rPr>
          <w:rFonts w:eastAsia="Arial Unicode MS"/>
          <w:sz w:val="18"/>
          <w:szCs w:val="18"/>
          <w:vertAlign w:val="superscript"/>
        </w:rPr>
        <w:t>1</w:t>
      </w:r>
      <w:r w:rsidRPr="007834F3">
        <w:rPr>
          <w:rFonts w:eastAsia="Arial Unicode MS"/>
          <w:sz w:val="18"/>
          <w:szCs w:val="18"/>
        </w:rPr>
        <w:t>Archival tumor</w:t>
      </w:r>
      <w:r w:rsidR="00514FBB" w:rsidRPr="00911F36">
        <w:rPr>
          <w:rFonts w:eastAsia="Arial Unicode MS"/>
          <w:sz w:val="18"/>
          <w:szCs w:val="18"/>
        </w:rPr>
        <w:t xml:space="preserve"> from initial diagnosis or recurrence are allowed. No re-biopsies planned/allowed</w:t>
      </w:r>
      <w:r w:rsidR="00514FBB" w:rsidRPr="005C2A2A">
        <w:t>.</w:t>
      </w:r>
    </w:p>
    <w:p w14:paraId="79A3C89F" w14:textId="0D60BB35" w:rsidR="00E36A5A" w:rsidRPr="007834F3" w:rsidRDefault="00E36A5A" w:rsidP="008D08EB">
      <w:pPr>
        <w:ind w:left="-630" w:firstLine="630"/>
        <w:rPr>
          <w:rFonts w:eastAsia="Arial Unicode MS"/>
          <w:sz w:val="18"/>
          <w:szCs w:val="18"/>
        </w:rPr>
      </w:pPr>
      <w:r w:rsidRPr="007834F3">
        <w:rPr>
          <w:rFonts w:eastAsia="Arial Unicode MS"/>
          <w:sz w:val="18"/>
          <w:szCs w:val="18"/>
        </w:rPr>
        <w:t xml:space="preserve"> </w:t>
      </w:r>
    </w:p>
    <w:p w14:paraId="1B5483E9" w14:textId="77777777" w:rsidR="00E36A5A" w:rsidRPr="00E36A5A" w:rsidRDefault="00E36A5A" w:rsidP="008D08EB">
      <w:pPr>
        <w:ind w:left="-630" w:firstLine="630"/>
        <w:rPr>
          <w:rFonts w:eastAsia="Arial Unicode MS"/>
          <w:i/>
          <w:iCs/>
          <w:sz w:val="18"/>
          <w:szCs w:val="18"/>
        </w:rPr>
      </w:pPr>
      <w:r w:rsidRPr="007834F3">
        <w:rPr>
          <w:rFonts w:eastAsia="Arial Unicode MS"/>
          <w:sz w:val="18"/>
          <w:szCs w:val="18"/>
          <w:vertAlign w:val="superscript"/>
        </w:rPr>
        <w:t>2</w:t>
      </w:r>
      <w:r w:rsidRPr="00E36A5A">
        <w:rPr>
          <w:rFonts w:eastAsia="Arial Unicode MS"/>
          <w:sz w:val="18"/>
          <w:szCs w:val="18"/>
        </w:rPr>
        <w:t>F</w:t>
      </w:r>
      <w:r w:rsidRPr="00E36A5A">
        <w:rPr>
          <w:rStyle w:val="cf01"/>
          <w:rFonts w:ascii="Times New Roman" w:hAnsi="Times New Roman" w:cs="Times New Roman"/>
        </w:rPr>
        <w:t>or patients scheduled for surgery, surgical tissue may be used instead of archival.</w:t>
      </w:r>
    </w:p>
    <w:p w14:paraId="1F26ADA8" w14:textId="77777777" w:rsidR="004F4559" w:rsidRDefault="004F4559" w:rsidP="004F4559">
      <w:pPr>
        <w:rPr>
          <w:i/>
          <w:iCs/>
        </w:rPr>
        <w:sectPr w:rsidR="004F4559" w:rsidSect="00F155A2">
          <w:endnotePr>
            <w:numFmt w:val="decimal"/>
          </w:endnotePr>
          <w:pgSz w:w="15840" w:h="12240" w:orient="landscape" w:code="1"/>
          <w:pgMar w:top="1440" w:right="1440" w:bottom="1440" w:left="1440" w:header="720" w:footer="720" w:gutter="0"/>
          <w:cols w:space="720"/>
          <w:noEndnote/>
          <w:docGrid w:linePitch="360"/>
        </w:sectPr>
      </w:pPr>
    </w:p>
    <w:p w14:paraId="380C099E" w14:textId="77777777" w:rsidR="004F4559" w:rsidRDefault="004F4559" w:rsidP="00863CBE">
      <w:pPr>
        <w:pStyle w:val="Heading2"/>
      </w:pPr>
      <w:bookmarkStart w:id="75" w:name="_Toc176419912"/>
      <w:r>
        <w:lastRenderedPageBreak/>
        <w:t>Integrated Correlative Studies</w:t>
      </w:r>
      <w:bookmarkEnd w:id="75"/>
    </w:p>
    <w:p w14:paraId="40D9B922" w14:textId="77777777" w:rsidR="004F4559" w:rsidRDefault="004F4559" w:rsidP="004F4559"/>
    <w:p w14:paraId="7BA01E45" w14:textId="51B2D0DE" w:rsidR="004F4559" w:rsidRPr="00863CBE" w:rsidRDefault="007C651D" w:rsidP="00863CBE">
      <w:pPr>
        <w:pStyle w:val="Level3Heading"/>
        <w:rPr>
          <w:u w:val="single"/>
        </w:rPr>
      </w:pPr>
      <w:r>
        <w:rPr>
          <w:u w:val="single"/>
        </w:rPr>
        <w:t>IDH1/2</w:t>
      </w:r>
    </w:p>
    <w:p w14:paraId="48B643DD" w14:textId="2C6B10B1" w:rsidR="00BC3CD7" w:rsidRDefault="00BC3CD7" w:rsidP="00863CBE">
      <w:pPr>
        <w:pStyle w:val="Level4Heading"/>
      </w:pPr>
      <w:r>
        <w:t xml:space="preserve">Specimen(s) Receipt and Processing </w:t>
      </w:r>
      <w:r w:rsidRPr="00E41E37">
        <w:t>at</w:t>
      </w:r>
      <w:r w:rsidR="00B43DC0">
        <w:t xml:space="preserve"> Local Labs</w:t>
      </w:r>
    </w:p>
    <w:p w14:paraId="64E07966" w14:textId="77777777" w:rsidR="00723FAC" w:rsidRDefault="00723FAC" w:rsidP="00723FAC"/>
    <w:p w14:paraId="34CB63FF" w14:textId="0EA74F42" w:rsidR="00723FAC" w:rsidRPr="00391D2B" w:rsidRDefault="00723FAC" w:rsidP="00723FAC">
      <w:pPr>
        <w:rPr>
          <w:color w:val="auto"/>
        </w:rPr>
      </w:pPr>
      <w:r w:rsidRPr="00391D2B">
        <w:rPr>
          <w:color w:val="auto"/>
        </w:rPr>
        <w:t>Local labs should process these samples per institutional SOPs as part of standard of care.</w:t>
      </w:r>
    </w:p>
    <w:p w14:paraId="5685F82C" w14:textId="77777777" w:rsidR="00723FAC" w:rsidRPr="00391D2B" w:rsidRDefault="00723FAC" w:rsidP="00723FAC">
      <w:pPr>
        <w:rPr>
          <w:color w:val="auto"/>
        </w:rPr>
      </w:pPr>
    </w:p>
    <w:p w14:paraId="5D796FC7" w14:textId="12883472" w:rsidR="004F4559" w:rsidRPr="00391D2B" w:rsidRDefault="004F4559" w:rsidP="00863CBE">
      <w:pPr>
        <w:pStyle w:val="Level4Heading"/>
        <w:rPr>
          <w:color w:val="auto"/>
        </w:rPr>
      </w:pPr>
      <w:r w:rsidRPr="00391D2B">
        <w:rPr>
          <w:color w:val="auto"/>
        </w:rPr>
        <w:t>Site(s) Performing Correlative Study</w:t>
      </w:r>
      <w:r w:rsidR="00456B41" w:rsidRPr="00391D2B">
        <w:rPr>
          <w:color w:val="auto"/>
        </w:rPr>
        <w:t xml:space="preserve"> </w:t>
      </w:r>
    </w:p>
    <w:p w14:paraId="1B4C14AB" w14:textId="77777777" w:rsidR="00497238" w:rsidRPr="00391D2B" w:rsidRDefault="00497238" w:rsidP="00497238">
      <w:pPr>
        <w:rPr>
          <w:color w:val="auto"/>
        </w:rPr>
      </w:pPr>
    </w:p>
    <w:p w14:paraId="2E3216A2" w14:textId="3A7AA50F" w:rsidR="00497238" w:rsidRPr="00391D2B" w:rsidRDefault="00497238" w:rsidP="00497238">
      <w:pPr>
        <w:rPr>
          <w:color w:val="auto"/>
        </w:rPr>
      </w:pPr>
      <w:r w:rsidRPr="00391D2B">
        <w:rPr>
          <w:color w:val="auto"/>
        </w:rPr>
        <w:t>This study will be conducted at local CLIA certified labs.</w:t>
      </w:r>
    </w:p>
    <w:p w14:paraId="1453DA7B" w14:textId="77777777" w:rsidR="00DC544F" w:rsidRPr="00391D2B" w:rsidRDefault="00DC544F" w:rsidP="00D15854">
      <w:pPr>
        <w:rPr>
          <w:color w:val="auto"/>
        </w:rPr>
      </w:pPr>
    </w:p>
    <w:p w14:paraId="50DCBBC9" w14:textId="5F326108" w:rsidR="00FA742F" w:rsidRPr="00391D2B" w:rsidRDefault="00FA742F" w:rsidP="00863CBE">
      <w:pPr>
        <w:pStyle w:val="Level4Heading"/>
        <w:rPr>
          <w:i/>
          <w:iCs/>
          <w:color w:val="auto"/>
        </w:rPr>
      </w:pPr>
      <w:r w:rsidRPr="00391D2B">
        <w:rPr>
          <w:color w:val="auto"/>
        </w:rPr>
        <w:t xml:space="preserve">Contact </w:t>
      </w:r>
      <w:r w:rsidR="001B3BDC" w:rsidRPr="00391D2B">
        <w:rPr>
          <w:color w:val="auto"/>
        </w:rPr>
        <w:t>Information for Notification of Specimen Shipment</w:t>
      </w:r>
      <w:r w:rsidRPr="00391D2B">
        <w:rPr>
          <w:color w:val="auto"/>
        </w:rPr>
        <w:t xml:space="preserve"> </w:t>
      </w:r>
    </w:p>
    <w:p w14:paraId="5858C677" w14:textId="77777777" w:rsidR="00CE49AF" w:rsidRPr="00391D2B" w:rsidRDefault="00CE49AF" w:rsidP="00CE49AF">
      <w:pPr>
        <w:rPr>
          <w:color w:val="auto"/>
        </w:rPr>
      </w:pPr>
    </w:p>
    <w:p w14:paraId="27B12EF3" w14:textId="6D79230D" w:rsidR="00CE49AF" w:rsidRPr="00391D2B" w:rsidRDefault="00CE49AF" w:rsidP="00CE49AF">
      <w:pPr>
        <w:rPr>
          <w:color w:val="auto"/>
        </w:rPr>
      </w:pPr>
      <w:r w:rsidRPr="00391D2B">
        <w:rPr>
          <w:color w:val="auto"/>
        </w:rPr>
        <w:t>Not applicable.</w:t>
      </w:r>
    </w:p>
    <w:p w14:paraId="16C210F8" w14:textId="77777777" w:rsidR="004F4559" w:rsidRPr="00391D2B" w:rsidRDefault="004F4559" w:rsidP="004F4559">
      <w:pPr>
        <w:rPr>
          <w:color w:val="auto"/>
        </w:rPr>
      </w:pPr>
    </w:p>
    <w:p w14:paraId="2E11AE3F" w14:textId="330A7362" w:rsidR="004F4559" w:rsidRPr="00391D2B" w:rsidRDefault="00085D6A" w:rsidP="00863CBE">
      <w:pPr>
        <w:pStyle w:val="Level3Heading"/>
        <w:rPr>
          <w:color w:val="auto"/>
          <w:u w:val="single"/>
        </w:rPr>
      </w:pPr>
      <w:r w:rsidRPr="00391D2B">
        <w:rPr>
          <w:color w:val="auto"/>
          <w:u w:val="single"/>
        </w:rPr>
        <w:t>MGMT Methylation Status</w:t>
      </w:r>
    </w:p>
    <w:p w14:paraId="7A6133D7" w14:textId="77777777" w:rsidR="00E41E37" w:rsidRPr="00391D2B" w:rsidRDefault="00E41E37" w:rsidP="00E41E37">
      <w:pPr>
        <w:pStyle w:val="Level4Heading"/>
        <w:rPr>
          <w:color w:val="auto"/>
        </w:rPr>
      </w:pPr>
      <w:r w:rsidRPr="00391D2B">
        <w:rPr>
          <w:color w:val="auto"/>
        </w:rPr>
        <w:t>Specimen(s) Receipt and Processing at Local Labs</w:t>
      </w:r>
    </w:p>
    <w:p w14:paraId="7E0EA800" w14:textId="77777777" w:rsidR="00E41E37" w:rsidRPr="00391D2B" w:rsidRDefault="00E41E37" w:rsidP="00E41E37">
      <w:pPr>
        <w:rPr>
          <w:color w:val="auto"/>
        </w:rPr>
      </w:pPr>
    </w:p>
    <w:p w14:paraId="13501398" w14:textId="77777777" w:rsidR="00E41E37" w:rsidRPr="00391D2B" w:rsidRDefault="00E41E37" w:rsidP="00E41E37">
      <w:pPr>
        <w:rPr>
          <w:color w:val="auto"/>
        </w:rPr>
      </w:pPr>
      <w:r w:rsidRPr="00391D2B">
        <w:rPr>
          <w:color w:val="auto"/>
        </w:rPr>
        <w:t>Local labs should process these samples per institutional SOPs as part of standard of care.</w:t>
      </w:r>
    </w:p>
    <w:p w14:paraId="020C70FC" w14:textId="77777777" w:rsidR="00E41E37" w:rsidRPr="00391D2B" w:rsidRDefault="00E41E37" w:rsidP="00E41E37">
      <w:pPr>
        <w:rPr>
          <w:color w:val="auto"/>
        </w:rPr>
      </w:pPr>
    </w:p>
    <w:p w14:paraId="325720F4" w14:textId="77777777" w:rsidR="00E41E37" w:rsidRPr="00391D2B" w:rsidRDefault="00E41E37" w:rsidP="00E41E37">
      <w:pPr>
        <w:pStyle w:val="Level4Heading"/>
        <w:rPr>
          <w:color w:val="auto"/>
        </w:rPr>
      </w:pPr>
      <w:r w:rsidRPr="00391D2B">
        <w:rPr>
          <w:color w:val="auto"/>
        </w:rPr>
        <w:t xml:space="preserve">Site(s) Performing Correlative Study </w:t>
      </w:r>
    </w:p>
    <w:p w14:paraId="53980D54" w14:textId="77777777" w:rsidR="00E41E37" w:rsidRPr="00391D2B" w:rsidRDefault="00E41E37" w:rsidP="00E41E37">
      <w:pPr>
        <w:rPr>
          <w:color w:val="auto"/>
        </w:rPr>
      </w:pPr>
    </w:p>
    <w:p w14:paraId="0B443473" w14:textId="77777777" w:rsidR="00E41E37" w:rsidRPr="00391D2B" w:rsidRDefault="00E41E37" w:rsidP="00E41E37">
      <w:pPr>
        <w:rPr>
          <w:color w:val="auto"/>
        </w:rPr>
      </w:pPr>
      <w:r w:rsidRPr="00391D2B">
        <w:rPr>
          <w:color w:val="auto"/>
        </w:rPr>
        <w:t>This study will be conducted at local CLIA certified labs.</w:t>
      </w:r>
    </w:p>
    <w:p w14:paraId="529CC697" w14:textId="77777777" w:rsidR="00E41E37" w:rsidRPr="00391D2B" w:rsidRDefault="00E41E37" w:rsidP="00E41E37">
      <w:pPr>
        <w:rPr>
          <w:color w:val="auto"/>
        </w:rPr>
      </w:pPr>
    </w:p>
    <w:p w14:paraId="637B6C24" w14:textId="77777777" w:rsidR="00E41E37" w:rsidRPr="00391D2B" w:rsidRDefault="00E41E37" w:rsidP="00E41E37">
      <w:pPr>
        <w:pStyle w:val="Level4Heading"/>
        <w:rPr>
          <w:i/>
          <w:iCs/>
          <w:color w:val="auto"/>
        </w:rPr>
      </w:pPr>
      <w:r w:rsidRPr="00391D2B">
        <w:rPr>
          <w:color w:val="auto"/>
        </w:rPr>
        <w:t xml:space="preserve">Contact Information for Notification of Specimen Shipment </w:t>
      </w:r>
    </w:p>
    <w:p w14:paraId="10F08064" w14:textId="77777777" w:rsidR="00E41E37" w:rsidRPr="00391D2B" w:rsidRDefault="00E41E37" w:rsidP="00E41E37">
      <w:pPr>
        <w:rPr>
          <w:color w:val="auto"/>
        </w:rPr>
      </w:pPr>
    </w:p>
    <w:p w14:paraId="757A3199" w14:textId="77777777" w:rsidR="00E41E37" w:rsidRPr="00391D2B" w:rsidRDefault="00E41E37" w:rsidP="00E41E37">
      <w:pPr>
        <w:rPr>
          <w:color w:val="auto"/>
        </w:rPr>
      </w:pPr>
      <w:r w:rsidRPr="00391D2B">
        <w:rPr>
          <w:color w:val="auto"/>
        </w:rPr>
        <w:t>Not applicable.</w:t>
      </w:r>
    </w:p>
    <w:p w14:paraId="60F6E013" w14:textId="77777777" w:rsidR="00576B17" w:rsidRDefault="00576B17" w:rsidP="00576B17"/>
    <w:p w14:paraId="3F32D004" w14:textId="6097E0A8" w:rsidR="00576B17" w:rsidRPr="00863CBE" w:rsidRDefault="00085D6A" w:rsidP="00576B17">
      <w:pPr>
        <w:pStyle w:val="Level3Heading"/>
        <w:rPr>
          <w:u w:val="single"/>
        </w:rPr>
      </w:pPr>
      <w:r>
        <w:rPr>
          <w:u w:val="single"/>
        </w:rPr>
        <w:t>Whole Exome Sequencing</w:t>
      </w:r>
    </w:p>
    <w:p w14:paraId="1B630D1C" w14:textId="5B43BC43" w:rsidR="00576B17" w:rsidRDefault="00576B17" w:rsidP="00576B17">
      <w:pPr>
        <w:pStyle w:val="Level4Heading"/>
      </w:pPr>
      <w:r>
        <w:t xml:space="preserve">Specimen(s) Receipt and Processing </w:t>
      </w:r>
      <w:r w:rsidRPr="005E07C0">
        <w:t>at the EET Biobank</w:t>
      </w:r>
    </w:p>
    <w:p w14:paraId="157AF8F7" w14:textId="77777777" w:rsidR="00FC6E4E" w:rsidRDefault="00FC6E4E" w:rsidP="00FC6E4E"/>
    <w:p w14:paraId="654D8A5D" w14:textId="4D40497D" w:rsidR="002B6778" w:rsidRPr="00391D2B" w:rsidRDefault="00A26AE0" w:rsidP="00FC6E4E">
      <w:pPr>
        <w:rPr>
          <w:color w:val="auto"/>
        </w:rPr>
      </w:pPr>
      <w:r w:rsidRPr="00391D2B">
        <w:rPr>
          <w:color w:val="auto"/>
        </w:rPr>
        <w:t xml:space="preserve">The EET Biobank will receive </w:t>
      </w:r>
      <w:r w:rsidR="00714A87" w:rsidRPr="00391D2B">
        <w:rPr>
          <w:color w:val="auto"/>
        </w:rPr>
        <w:t>FFPE tumor tissue and blood</w:t>
      </w:r>
      <w:r w:rsidRPr="00391D2B">
        <w:rPr>
          <w:color w:val="auto"/>
        </w:rPr>
        <w:t xml:space="preserve"> from participating sites.</w:t>
      </w:r>
    </w:p>
    <w:p w14:paraId="31DCECB9" w14:textId="77777777" w:rsidR="002B6778" w:rsidRPr="00391D2B" w:rsidRDefault="002B6778" w:rsidP="00FC6E4E">
      <w:pPr>
        <w:rPr>
          <w:color w:val="auto"/>
        </w:rPr>
      </w:pPr>
    </w:p>
    <w:p w14:paraId="226A0B39" w14:textId="30ADBA1E" w:rsidR="002B6778" w:rsidRPr="00391D2B" w:rsidRDefault="002B6778" w:rsidP="002B6778">
      <w:pPr>
        <w:rPr>
          <w:i/>
          <w:iCs/>
          <w:color w:val="auto"/>
        </w:rPr>
      </w:pPr>
      <w:r w:rsidRPr="00391D2B">
        <w:rPr>
          <w:color w:val="auto"/>
        </w:rPr>
        <w:t xml:space="preserve">FFPE tissue will be received as an FFPE tissue block or an H&amp;E-stained and unstained slides. </w:t>
      </w:r>
      <w:r w:rsidR="00574137" w:rsidRPr="00391D2B">
        <w:rPr>
          <w:color w:val="auto"/>
        </w:rPr>
        <w:t xml:space="preserve"> </w:t>
      </w:r>
      <w:r w:rsidRPr="00391D2B">
        <w:rPr>
          <w:color w:val="auto"/>
        </w:rPr>
        <w:t>FFPE tissue blocks and stained slides will be stored at room temperature, and unstained slides will be vacuum sealed and banked in refrigerated storage until processing.</w:t>
      </w:r>
    </w:p>
    <w:p w14:paraId="23540CC1" w14:textId="77777777" w:rsidR="00574137" w:rsidRPr="00391D2B" w:rsidRDefault="00574137" w:rsidP="002B6778">
      <w:pPr>
        <w:rPr>
          <w:color w:val="auto"/>
        </w:rPr>
      </w:pPr>
    </w:p>
    <w:p w14:paraId="593D5503" w14:textId="7C9D977A" w:rsidR="002B6778" w:rsidRPr="00391D2B" w:rsidRDefault="002B6778" w:rsidP="002B6778">
      <w:pPr>
        <w:rPr>
          <w:color w:val="auto"/>
        </w:rPr>
      </w:pPr>
      <w:r w:rsidRPr="00391D2B">
        <w:rPr>
          <w:color w:val="auto"/>
        </w:rPr>
        <w:t xml:space="preserve">H&amp;E stained slides will undergo a pathology QA review to assess tumor content and annotate for </w:t>
      </w:r>
      <w:proofErr w:type="spellStart"/>
      <w:r w:rsidRPr="00391D2B">
        <w:rPr>
          <w:color w:val="auto"/>
        </w:rPr>
        <w:t>macrodissection</w:t>
      </w:r>
      <w:proofErr w:type="spellEnd"/>
      <w:r w:rsidRPr="00391D2B">
        <w:rPr>
          <w:color w:val="auto"/>
        </w:rPr>
        <w:t xml:space="preserve">, when needed.  Following </w:t>
      </w:r>
      <w:proofErr w:type="spellStart"/>
      <w:r w:rsidRPr="00391D2B">
        <w:rPr>
          <w:color w:val="auto"/>
        </w:rPr>
        <w:t>macrodissection</w:t>
      </w:r>
      <w:proofErr w:type="spellEnd"/>
      <w:r w:rsidRPr="00391D2B">
        <w:rPr>
          <w:color w:val="auto"/>
        </w:rPr>
        <w:t xml:space="preserve">, tumor tissue from unstained slides will be scraped for co-extraction of DNA and RNA.  The nucleic acids will be analyzed to determine concentration and quality prior to storage in a -80°C freezer. </w:t>
      </w:r>
      <w:r w:rsidR="006F5A9D" w:rsidRPr="00391D2B">
        <w:rPr>
          <w:color w:val="auto"/>
        </w:rPr>
        <w:t xml:space="preserve"> </w:t>
      </w:r>
      <w:r w:rsidRPr="00391D2B">
        <w:rPr>
          <w:color w:val="auto"/>
        </w:rPr>
        <w:t xml:space="preserve">The remaining FFPE block and H&amp;E stained slides will be stored at room temperature. </w:t>
      </w:r>
      <w:r w:rsidR="006F5A9D" w:rsidRPr="00391D2B">
        <w:rPr>
          <w:color w:val="auto"/>
        </w:rPr>
        <w:t xml:space="preserve"> </w:t>
      </w:r>
      <w:r w:rsidRPr="00391D2B">
        <w:rPr>
          <w:color w:val="auto"/>
        </w:rPr>
        <w:t>Aliquots of DNA will be shipped for analysis.</w:t>
      </w:r>
    </w:p>
    <w:p w14:paraId="29008EBE" w14:textId="77777777" w:rsidR="00120B15" w:rsidRPr="00391D2B" w:rsidRDefault="00120B15" w:rsidP="002B6778">
      <w:pPr>
        <w:rPr>
          <w:color w:val="auto"/>
        </w:rPr>
      </w:pPr>
    </w:p>
    <w:p w14:paraId="24D95808" w14:textId="2C646E4A" w:rsidR="00120B15" w:rsidRPr="00391D2B" w:rsidRDefault="00120B15" w:rsidP="002B6778">
      <w:pPr>
        <w:rPr>
          <w:color w:val="auto"/>
        </w:rPr>
      </w:pPr>
      <w:r w:rsidRPr="00391D2B">
        <w:rPr>
          <w:color w:val="auto"/>
        </w:rPr>
        <w:t xml:space="preserve">At </w:t>
      </w:r>
      <w:r w:rsidR="00894764" w:rsidRPr="00391D2B">
        <w:rPr>
          <w:color w:val="auto"/>
        </w:rPr>
        <w:t>baseline</w:t>
      </w:r>
      <w:r w:rsidRPr="00391D2B">
        <w:rPr>
          <w:color w:val="auto"/>
        </w:rPr>
        <w:t xml:space="preserve">, </w:t>
      </w:r>
      <w:r w:rsidR="006706EB" w:rsidRPr="00391D2B">
        <w:rPr>
          <w:color w:val="auto"/>
        </w:rPr>
        <w:t>g</w:t>
      </w:r>
      <w:r w:rsidRPr="00391D2B">
        <w:rPr>
          <w:color w:val="auto"/>
        </w:rPr>
        <w:t>ermline DNA will be extracted from whole blood collected in EDTA tubes</w:t>
      </w:r>
      <w:r w:rsidR="006706EB" w:rsidRPr="00391D2B">
        <w:rPr>
          <w:color w:val="auto"/>
        </w:rPr>
        <w:t xml:space="preserve">.  DNA will be quantitated and then stored in </w:t>
      </w:r>
      <w:proofErr w:type="gramStart"/>
      <w:r w:rsidR="006706EB" w:rsidRPr="00391D2B">
        <w:rPr>
          <w:color w:val="auto"/>
        </w:rPr>
        <w:t>a -</w:t>
      </w:r>
      <w:proofErr w:type="gramEnd"/>
      <w:r w:rsidR="006706EB" w:rsidRPr="00391D2B">
        <w:rPr>
          <w:color w:val="auto"/>
        </w:rPr>
        <w:t xml:space="preserve">80°C freezer.  An aliquot of germline DNA will be </w:t>
      </w:r>
      <w:r w:rsidR="006706EB" w:rsidRPr="00391D2B">
        <w:rPr>
          <w:color w:val="auto"/>
        </w:rPr>
        <w:lastRenderedPageBreak/>
        <w:t>shipped for analysis.</w:t>
      </w:r>
    </w:p>
    <w:p w14:paraId="509A6869" w14:textId="77777777" w:rsidR="00FC6E4E" w:rsidRPr="00391D2B" w:rsidRDefault="00FC6E4E" w:rsidP="00FC6E4E">
      <w:pPr>
        <w:rPr>
          <w:color w:val="auto"/>
        </w:rPr>
      </w:pPr>
    </w:p>
    <w:p w14:paraId="49FDB170" w14:textId="5138A4FD" w:rsidR="00576B17" w:rsidRPr="00391D2B" w:rsidRDefault="00576B17" w:rsidP="007A70E6">
      <w:pPr>
        <w:pStyle w:val="Level4Heading"/>
        <w:rPr>
          <w:color w:val="auto"/>
        </w:rPr>
      </w:pPr>
      <w:r w:rsidRPr="00391D2B">
        <w:rPr>
          <w:color w:val="auto"/>
        </w:rPr>
        <w:t xml:space="preserve">Site(s) Performing Correlative Study </w:t>
      </w:r>
    </w:p>
    <w:p w14:paraId="7A4015DE" w14:textId="77777777" w:rsidR="009171BD" w:rsidRPr="00391D2B" w:rsidRDefault="009171BD" w:rsidP="009171BD">
      <w:pPr>
        <w:rPr>
          <w:color w:val="auto"/>
        </w:rPr>
      </w:pPr>
    </w:p>
    <w:p w14:paraId="4EE019A3" w14:textId="0E17F39D" w:rsidR="009171BD" w:rsidRPr="00391D2B" w:rsidRDefault="009171BD" w:rsidP="009171BD">
      <w:pPr>
        <w:rPr>
          <w:color w:val="auto"/>
        </w:rPr>
      </w:pPr>
      <w:r w:rsidRPr="00391D2B">
        <w:rPr>
          <w:color w:val="auto"/>
        </w:rPr>
        <w:t>The assay will be performed at MoCha, Frederick National Laboratory for Cancer Research (FNLCR) under the supervision of Chris Karlovich, PhD.</w:t>
      </w:r>
    </w:p>
    <w:p w14:paraId="7B830B1A" w14:textId="77777777" w:rsidR="007A70E6" w:rsidRPr="007A70E6" w:rsidRDefault="007A70E6" w:rsidP="007A70E6"/>
    <w:p w14:paraId="248CEEA1" w14:textId="4B7FB3C9" w:rsidR="00576B17" w:rsidRPr="00A20F4A" w:rsidRDefault="00576B17" w:rsidP="00576B17">
      <w:pPr>
        <w:pStyle w:val="Level4Heading"/>
      </w:pPr>
      <w:r w:rsidRPr="00A20F4A">
        <w:t xml:space="preserve">Shipment of specimens from the EET Biobank to Site Performing Correlative Study </w:t>
      </w:r>
    </w:p>
    <w:p w14:paraId="4DAB6144" w14:textId="77777777" w:rsidR="00576B17" w:rsidRPr="00A20F4A" w:rsidRDefault="00576B17" w:rsidP="00576B17"/>
    <w:p w14:paraId="42BF522F" w14:textId="77777777" w:rsidR="00576B17" w:rsidRPr="00A20F4A" w:rsidRDefault="00576B17" w:rsidP="00576B17">
      <w:pPr>
        <w:ind w:firstLine="1080"/>
      </w:pPr>
      <w:r w:rsidRPr="00A20F4A">
        <w:t>Specimens will be shipped from the EET Biobank to:</w:t>
      </w:r>
    </w:p>
    <w:p w14:paraId="40C09ECE" w14:textId="2462BD70" w:rsidR="00576B17" w:rsidRPr="00A20F4A" w:rsidRDefault="00576B17" w:rsidP="00576B17">
      <w:pPr>
        <w:ind w:firstLine="1080"/>
        <w:rPr>
          <w:i/>
          <w:iCs/>
        </w:rPr>
      </w:pPr>
    </w:p>
    <w:p w14:paraId="6062CAE3" w14:textId="77777777" w:rsidR="00A20F4A" w:rsidRPr="00391D2B" w:rsidRDefault="00A20F4A" w:rsidP="00A20F4A">
      <w:pPr>
        <w:ind w:firstLine="1080"/>
        <w:rPr>
          <w:color w:val="auto"/>
        </w:rPr>
      </w:pPr>
      <w:r w:rsidRPr="00391D2B">
        <w:rPr>
          <w:color w:val="auto"/>
        </w:rPr>
        <w:t>MoCha Lab, Frederick National Laboratory for Cancer Research (FNLCR)</w:t>
      </w:r>
    </w:p>
    <w:p w14:paraId="490E446D" w14:textId="77777777" w:rsidR="00A20F4A" w:rsidRPr="00391D2B" w:rsidRDefault="00A20F4A" w:rsidP="00A20F4A">
      <w:pPr>
        <w:ind w:firstLine="1080"/>
        <w:rPr>
          <w:color w:val="auto"/>
        </w:rPr>
      </w:pPr>
      <w:r w:rsidRPr="00391D2B">
        <w:rPr>
          <w:color w:val="auto"/>
        </w:rPr>
        <w:t>1050 Boyles St.</w:t>
      </w:r>
    </w:p>
    <w:p w14:paraId="4363DAE5" w14:textId="77777777" w:rsidR="00A20F4A" w:rsidRPr="00391D2B" w:rsidRDefault="00A20F4A" w:rsidP="00A20F4A">
      <w:pPr>
        <w:ind w:firstLine="1080"/>
        <w:rPr>
          <w:color w:val="auto"/>
        </w:rPr>
      </w:pPr>
      <w:r w:rsidRPr="00391D2B">
        <w:rPr>
          <w:color w:val="auto"/>
        </w:rPr>
        <w:t>Bldg. 459, Rm. 125</w:t>
      </w:r>
    </w:p>
    <w:p w14:paraId="68D1601A" w14:textId="77777777" w:rsidR="00A20F4A" w:rsidRPr="00391D2B" w:rsidRDefault="00A20F4A" w:rsidP="00A20F4A">
      <w:pPr>
        <w:ind w:firstLine="1080"/>
        <w:rPr>
          <w:color w:val="auto"/>
        </w:rPr>
      </w:pPr>
      <w:r w:rsidRPr="00391D2B">
        <w:rPr>
          <w:color w:val="auto"/>
        </w:rPr>
        <w:t>Frederick, MD 21702</w:t>
      </w:r>
    </w:p>
    <w:p w14:paraId="52C16594" w14:textId="4360A847" w:rsidR="00A20F4A" w:rsidRPr="00391D2B" w:rsidRDefault="00A20F4A" w:rsidP="00A20F4A">
      <w:pPr>
        <w:ind w:firstLine="1080"/>
        <w:rPr>
          <w:i/>
          <w:iCs/>
          <w:color w:val="auto"/>
        </w:rPr>
      </w:pPr>
      <w:r w:rsidRPr="00391D2B">
        <w:rPr>
          <w:color w:val="auto"/>
        </w:rPr>
        <w:t>Attn: Alyssa Chapman or Ruth Thornton</w:t>
      </w:r>
    </w:p>
    <w:p w14:paraId="3899147C" w14:textId="77777777" w:rsidR="00576B17" w:rsidRPr="00456B41" w:rsidRDefault="00576B17" w:rsidP="00576B17"/>
    <w:p w14:paraId="63B3B61B" w14:textId="50F2F575" w:rsidR="00576B17" w:rsidRDefault="00576B17" w:rsidP="00576B17">
      <w:pPr>
        <w:pStyle w:val="Level4Heading"/>
        <w:rPr>
          <w:i/>
          <w:iCs/>
        </w:rPr>
      </w:pPr>
      <w:r w:rsidRPr="00394A65">
        <w:t xml:space="preserve">Contact </w:t>
      </w:r>
      <w:r>
        <w:t>I</w:t>
      </w:r>
      <w:r w:rsidRPr="00394A65">
        <w:t xml:space="preserve">nformation for </w:t>
      </w:r>
      <w:r>
        <w:t>N</w:t>
      </w:r>
      <w:r w:rsidRPr="00394A65">
        <w:t xml:space="preserve">otification of </w:t>
      </w:r>
      <w:r>
        <w:t>S</w:t>
      </w:r>
      <w:r w:rsidRPr="00394A65">
        <w:t xml:space="preserve">pecimen </w:t>
      </w:r>
      <w:r>
        <w:t>S</w:t>
      </w:r>
      <w:r w:rsidRPr="00394A65">
        <w:t>hipment</w:t>
      </w:r>
    </w:p>
    <w:p w14:paraId="33C867D0" w14:textId="77777777" w:rsidR="007147F7" w:rsidRDefault="007147F7" w:rsidP="007147F7"/>
    <w:p w14:paraId="76506734" w14:textId="3DA96614" w:rsidR="007147F7" w:rsidRPr="007147F7" w:rsidRDefault="007147F7" w:rsidP="007147F7">
      <w:r>
        <w:t xml:space="preserve">Thomas Forbes, </w:t>
      </w:r>
      <w:hyperlink r:id="rId56" w:history="1">
        <w:r w:rsidRPr="00DF7A24">
          <w:rPr>
            <w:rStyle w:val="Hyperlink"/>
          </w:rPr>
          <w:t>mochasamplereceiving@nih.gov</w:t>
        </w:r>
      </w:hyperlink>
      <w:r>
        <w:t xml:space="preserve"> </w:t>
      </w:r>
    </w:p>
    <w:p w14:paraId="49B8521C" w14:textId="77777777" w:rsidR="00576B17" w:rsidRDefault="00576B17" w:rsidP="00576B17"/>
    <w:p w14:paraId="4727C360" w14:textId="13ADB5E3" w:rsidR="00576B17" w:rsidRPr="00863CBE" w:rsidRDefault="0022157E" w:rsidP="00576B17">
      <w:pPr>
        <w:pStyle w:val="Level3Heading"/>
        <w:rPr>
          <w:u w:val="single"/>
        </w:rPr>
      </w:pPr>
      <w:r>
        <w:rPr>
          <w:u w:val="single"/>
        </w:rPr>
        <w:t>RNAseq</w:t>
      </w:r>
    </w:p>
    <w:p w14:paraId="5B7F0241" w14:textId="498C6EDA" w:rsidR="00576B17" w:rsidRPr="006F5A9D" w:rsidRDefault="00576B17" w:rsidP="00576B17">
      <w:pPr>
        <w:pStyle w:val="Level4Heading"/>
      </w:pPr>
      <w:r>
        <w:t xml:space="preserve">Specimen(s) Receipt and Processing </w:t>
      </w:r>
      <w:r w:rsidRPr="006F5A9D">
        <w:t>at the EET Biobank</w:t>
      </w:r>
    </w:p>
    <w:p w14:paraId="3CE761C2" w14:textId="77777777" w:rsidR="004B3EB1" w:rsidRDefault="004B3EB1" w:rsidP="004B3EB1"/>
    <w:p w14:paraId="73534B82" w14:textId="6AFE30AF" w:rsidR="006F5A9D" w:rsidRPr="00391D2B" w:rsidRDefault="006F5A9D" w:rsidP="006F5A9D">
      <w:pPr>
        <w:rPr>
          <w:color w:val="auto"/>
        </w:rPr>
      </w:pPr>
      <w:r w:rsidRPr="00391D2B">
        <w:rPr>
          <w:color w:val="auto"/>
        </w:rPr>
        <w:t>FFPE tissue will be received as an FFPE tissue block or an H&amp;E-stained and unstained slides.  FFPE tissue blocks and stained slides will be stored at room temperature, and unstained slides will be vacuum sealed and banked in refrigerated storage until processing.</w:t>
      </w:r>
    </w:p>
    <w:p w14:paraId="13B3923F" w14:textId="77777777" w:rsidR="006F5A9D" w:rsidRPr="00391D2B" w:rsidRDefault="006F5A9D" w:rsidP="006F5A9D">
      <w:pPr>
        <w:rPr>
          <w:color w:val="auto"/>
        </w:rPr>
      </w:pPr>
    </w:p>
    <w:p w14:paraId="351140B2" w14:textId="7A446192" w:rsidR="004B3EB1" w:rsidRPr="00391D2B" w:rsidRDefault="006F5A9D" w:rsidP="006F5A9D">
      <w:pPr>
        <w:rPr>
          <w:color w:val="auto"/>
        </w:rPr>
      </w:pPr>
      <w:r w:rsidRPr="00391D2B">
        <w:rPr>
          <w:color w:val="auto"/>
        </w:rPr>
        <w:t xml:space="preserve">H&amp;E stained slides will undergo a pathology QA review to assess tumor content and annotate for </w:t>
      </w:r>
      <w:proofErr w:type="spellStart"/>
      <w:r w:rsidRPr="00391D2B">
        <w:rPr>
          <w:color w:val="auto"/>
        </w:rPr>
        <w:t>macrodissection</w:t>
      </w:r>
      <w:proofErr w:type="spellEnd"/>
      <w:r w:rsidRPr="00391D2B">
        <w:rPr>
          <w:color w:val="auto"/>
        </w:rPr>
        <w:t xml:space="preserve">, when needed.  Following </w:t>
      </w:r>
      <w:proofErr w:type="spellStart"/>
      <w:r w:rsidRPr="00391D2B">
        <w:rPr>
          <w:color w:val="auto"/>
        </w:rPr>
        <w:t>macrodissection</w:t>
      </w:r>
      <w:proofErr w:type="spellEnd"/>
      <w:r w:rsidRPr="00391D2B">
        <w:rPr>
          <w:color w:val="auto"/>
        </w:rPr>
        <w:t>, tumor tissue from unstained slides will be scraped for co-extraction of DNA and RNA.  The nucleic acids will be analyzed to determine concentration and quality prior to storage in a -80°C freezer.  The remaining FFPE block and H&amp;E stained slides will be stored at room temperature.  Aliquots of RNA will be shipped for analysis.</w:t>
      </w:r>
    </w:p>
    <w:p w14:paraId="7A1A57D6" w14:textId="77777777" w:rsidR="004B3EB1" w:rsidRPr="00391D2B" w:rsidRDefault="004B3EB1" w:rsidP="004B3EB1">
      <w:pPr>
        <w:rPr>
          <w:color w:val="auto"/>
        </w:rPr>
      </w:pPr>
    </w:p>
    <w:p w14:paraId="689BC208" w14:textId="0D06D0DF" w:rsidR="00576B17" w:rsidRPr="00391D2B" w:rsidRDefault="00576B17" w:rsidP="004B3EB1">
      <w:pPr>
        <w:pStyle w:val="Level4Heading"/>
        <w:rPr>
          <w:color w:val="auto"/>
        </w:rPr>
      </w:pPr>
      <w:r w:rsidRPr="00391D2B">
        <w:rPr>
          <w:color w:val="auto"/>
        </w:rPr>
        <w:t xml:space="preserve">Site(s) Performing Correlative Study </w:t>
      </w:r>
    </w:p>
    <w:p w14:paraId="434F5953" w14:textId="77777777" w:rsidR="004B3EB1" w:rsidRPr="00391D2B" w:rsidRDefault="004B3EB1" w:rsidP="004B3EB1">
      <w:pPr>
        <w:rPr>
          <w:color w:val="auto"/>
        </w:rPr>
      </w:pPr>
    </w:p>
    <w:p w14:paraId="0BE6692B" w14:textId="03E98EFF" w:rsidR="004B3EB1" w:rsidRPr="00391D2B" w:rsidRDefault="00706ACD" w:rsidP="004B3EB1">
      <w:pPr>
        <w:rPr>
          <w:color w:val="auto"/>
        </w:rPr>
      </w:pPr>
      <w:r w:rsidRPr="00391D2B">
        <w:rPr>
          <w:color w:val="auto"/>
        </w:rPr>
        <w:t>The assay will be performed at MoCha, Frederick National Laboratory for Cancer Research (FNLCR) under the supervision of Chris Karlovich, PhD.</w:t>
      </w:r>
    </w:p>
    <w:p w14:paraId="155D56D3" w14:textId="77777777" w:rsidR="004B3EB1" w:rsidRPr="004B3EB1" w:rsidRDefault="004B3EB1" w:rsidP="004B3EB1"/>
    <w:p w14:paraId="3A6F96EE" w14:textId="78540164" w:rsidR="00576B17" w:rsidRPr="00706ACD" w:rsidRDefault="00576B17" w:rsidP="00576B17">
      <w:pPr>
        <w:pStyle w:val="Level4Heading"/>
      </w:pPr>
      <w:r w:rsidRPr="00706ACD">
        <w:t xml:space="preserve">Shipment of specimens from the EET Biobank to Site Performing Correlative Study </w:t>
      </w:r>
    </w:p>
    <w:p w14:paraId="65FE031F" w14:textId="77777777" w:rsidR="00576B17" w:rsidRPr="00706ACD" w:rsidRDefault="00576B17" w:rsidP="00576B17"/>
    <w:p w14:paraId="5CCAB438" w14:textId="77777777" w:rsidR="00576B17" w:rsidRPr="00447BF2" w:rsidRDefault="00576B17" w:rsidP="00576B17">
      <w:pPr>
        <w:ind w:firstLine="1080"/>
        <w:rPr>
          <w:color w:val="auto"/>
        </w:rPr>
      </w:pPr>
      <w:r w:rsidRPr="00447BF2">
        <w:rPr>
          <w:color w:val="auto"/>
        </w:rPr>
        <w:t>Specimens will be shipped from the EET Biobank to:</w:t>
      </w:r>
    </w:p>
    <w:p w14:paraId="42F294E4" w14:textId="77777777" w:rsidR="000936A8" w:rsidRPr="00447BF2" w:rsidRDefault="000936A8" w:rsidP="000936A8">
      <w:pPr>
        <w:ind w:firstLine="1080"/>
        <w:rPr>
          <w:color w:val="auto"/>
        </w:rPr>
      </w:pPr>
    </w:p>
    <w:p w14:paraId="38C6CB52" w14:textId="355CC4B1" w:rsidR="000936A8" w:rsidRPr="00391D2B" w:rsidRDefault="000936A8" w:rsidP="000936A8">
      <w:pPr>
        <w:ind w:firstLine="1080"/>
        <w:rPr>
          <w:color w:val="auto"/>
        </w:rPr>
      </w:pPr>
      <w:r w:rsidRPr="00447BF2">
        <w:rPr>
          <w:color w:val="auto"/>
        </w:rPr>
        <w:t>MoCha Lab</w:t>
      </w:r>
      <w:r w:rsidRPr="00391D2B">
        <w:rPr>
          <w:color w:val="auto"/>
        </w:rPr>
        <w:t>, Frederick National Laboratory for Cancer Research (FNLCR)</w:t>
      </w:r>
    </w:p>
    <w:p w14:paraId="3D72D07F" w14:textId="77777777" w:rsidR="000936A8" w:rsidRPr="00391D2B" w:rsidRDefault="000936A8" w:rsidP="000936A8">
      <w:pPr>
        <w:ind w:firstLine="1080"/>
        <w:rPr>
          <w:color w:val="auto"/>
        </w:rPr>
      </w:pPr>
      <w:r w:rsidRPr="00391D2B">
        <w:rPr>
          <w:color w:val="auto"/>
        </w:rPr>
        <w:t>1050 Boyles St.</w:t>
      </w:r>
    </w:p>
    <w:p w14:paraId="78B56B74" w14:textId="77777777" w:rsidR="000936A8" w:rsidRPr="00391D2B" w:rsidRDefault="000936A8" w:rsidP="000936A8">
      <w:pPr>
        <w:ind w:firstLine="1080"/>
        <w:rPr>
          <w:color w:val="auto"/>
        </w:rPr>
      </w:pPr>
      <w:r w:rsidRPr="00391D2B">
        <w:rPr>
          <w:color w:val="auto"/>
        </w:rPr>
        <w:lastRenderedPageBreak/>
        <w:t>Bldg. 459, Rm. 125</w:t>
      </w:r>
    </w:p>
    <w:p w14:paraId="62E840BE" w14:textId="77777777" w:rsidR="000936A8" w:rsidRPr="00391D2B" w:rsidRDefault="000936A8" w:rsidP="000936A8">
      <w:pPr>
        <w:ind w:firstLine="1080"/>
        <w:rPr>
          <w:color w:val="auto"/>
        </w:rPr>
      </w:pPr>
      <w:r w:rsidRPr="00391D2B">
        <w:rPr>
          <w:color w:val="auto"/>
        </w:rPr>
        <w:t>Frederick, MD 21702</w:t>
      </w:r>
    </w:p>
    <w:p w14:paraId="03089FC1" w14:textId="77777777" w:rsidR="000936A8" w:rsidRPr="00391D2B" w:rsidRDefault="000936A8" w:rsidP="000936A8">
      <w:pPr>
        <w:ind w:firstLine="1080"/>
        <w:rPr>
          <w:i/>
          <w:iCs/>
          <w:color w:val="auto"/>
        </w:rPr>
      </w:pPr>
      <w:r w:rsidRPr="00391D2B">
        <w:rPr>
          <w:color w:val="auto"/>
        </w:rPr>
        <w:t>Attn: Alyssa Chapman or Ruth Thornton</w:t>
      </w:r>
    </w:p>
    <w:p w14:paraId="6BADE155" w14:textId="77777777" w:rsidR="00576B17" w:rsidRPr="00456B41" w:rsidRDefault="00576B17" w:rsidP="00576B17"/>
    <w:p w14:paraId="08AA6BA0" w14:textId="134D6269" w:rsidR="00576B17" w:rsidRDefault="00576B17" w:rsidP="00576B17">
      <w:pPr>
        <w:pStyle w:val="Level4Heading"/>
        <w:rPr>
          <w:i/>
          <w:iCs/>
        </w:rPr>
      </w:pPr>
      <w:r w:rsidRPr="00394A65">
        <w:t xml:space="preserve">Contact </w:t>
      </w:r>
      <w:r>
        <w:t>I</w:t>
      </w:r>
      <w:r w:rsidRPr="00394A65">
        <w:t xml:space="preserve">nformation for </w:t>
      </w:r>
      <w:r>
        <w:t>N</w:t>
      </w:r>
      <w:r w:rsidRPr="00394A65">
        <w:t xml:space="preserve">otification of </w:t>
      </w:r>
      <w:r>
        <w:t>S</w:t>
      </w:r>
      <w:r w:rsidRPr="00394A65">
        <w:t xml:space="preserve">pecimen </w:t>
      </w:r>
      <w:r>
        <w:t>S</w:t>
      </w:r>
      <w:r w:rsidRPr="00394A65">
        <w:t>hipment</w:t>
      </w:r>
    </w:p>
    <w:p w14:paraId="1376914A" w14:textId="77777777" w:rsidR="000936A8" w:rsidRDefault="000936A8" w:rsidP="000936A8"/>
    <w:p w14:paraId="7ECB08F5" w14:textId="60601112" w:rsidR="000936A8" w:rsidRPr="000936A8" w:rsidRDefault="000936A8" w:rsidP="000936A8">
      <w:r>
        <w:t xml:space="preserve">Thomas Forbes, </w:t>
      </w:r>
      <w:hyperlink r:id="rId57" w:history="1">
        <w:r w:rsidRPr="00DF7A24">
          <w:rPr>
            <w:rStyle w:val="Hyperlink"/>
          </w:rPr>
          <w:t>mochasamplereceiving@nih.gov</w:t>
        </w:r>
      </w:hyperlink>
    </w:p>
    <w:p w14:paraId="1575115C" w14:textId="77777777" w:rsidR="00576B17" w:rsidRDefault="00576B17" w:rsidP="00576B17"/>
    <w:p w14:paraId="52345CCC" w14:textId="746839C2" w:rsidR="00576B17" w:rsidRPr="00863CBE" w:rsidRDefault="005F7C84" w:rsidP="00576B17">
      <w:pPr>
        <w:pStyle w:val="Level3Heading"/>
        <w:rPr>
          <w:u w:val="single"/>
        </w:rPr>
      </w:pPr>
      <w:r>
        <w:rPr>
          <w:u w:val="single"/>
        </w:rPr>
        <w:t>Triapine PK (Blood)</w:t>
      </w:r>
    </w:p>
    <w:p w14:paraId="3DD8EB21" w14:textId="7AAB8C8A" w:rsidR="00576B17" w:rsidRDefault="00576B17" w:rsidP="00576B17">
      <w:pPr>
        <w:pStyle w:val="Level4Heading"/>
      </w:pPr>
      <w:r>
        <w:t xml:space="preserve">Specimen(s) Receipt and </w:t>
      </w:r>
      <w:r w:rsidRPr="005475CA">
        <w:t xml:space="preserve">Processing at the </w:t>
      </w:r>
      <w:r w:rsidR="00E54AB1">
        <w:t>A</w:t>
      </w:r>
      <w:r w:rsidR="0053557E">
        <w:t>nalytical Pharmacology Core, City of Hope</w:t>
      </w:r>
    </w:p>
    <w:p w14:paraId="09A78057" w14:textId="77777777" w:rsidR="001F3238" w:rsidRDefault="001F3238" w:rsidP="001F3238"/>
    <w:p w14:paraId="598EC6A0" w14:textId="223B908E" w:rsidR="003F2DD9" w:rsidRPr="001737D5" w:rsidRDefault="003F2DD9" w:rsidP="001F3238">
      <w:pPr>
        <w:rPr>
          <w:color w:val="auto"/>
          <w:highlight w:val="yellow"/>
        </w:rPr>
      </w:pPr>
      <w:r w:rsidRPr="001737D5">
        <w:rPr>
          <w:color w:val="auto"/>
        </w:rPr>
        <w:t xml:space="preserve">Frozen plasma will be received at the </w:t>
      </w:r>
      <w:r w:rsidR="0098078A">
        <w:t>Analytical Pharmacology Core, City of Hope</w:t>
      </w:r>
      <w:r w:rsidRPr="001737D5">
        <w:rPr>
          <w:color w:val="auto"/>
        </w:rPr>
        <w:t>.  Samples will be processed to assess triapine PK.</w:t>
      </w:r>
    </w:p>
    <w:p w14:paraId="33844E8F" w14:textId="77777777" w:rsidR="001F3238" w:rsidRPr="001737D5" w:rsidRDefault="001F3238" w:rsidP="001F3238">
      <w:pPr>
        <w:rPr>
          <w:color w:val="auto"/>
        </w:rPr>
      </w:pPr>
    </w:p>
    <w:p w14:paraId="203B65AE" w14:textId="498A4FE1" w:rsidR="00576B17" w:rsidRPr="001737D5" w:rsidRDefault="00576B17" w:rsidP="001F3238">
      <w:pPr>
        <w:pStyle w:val="Level4Heading"/>
        <w:rPr>
          <w:color w:val="auto"/>
        </w:rPr>
      </w:pPr>
      <w:r w:rsidRPr="001737D5">
        <w:rPr>
          <w:color w:val="auto"/>
        </w:rPr>
        <w:t xml:space="preserve">Site(s) Performing Correlative Study </w:t>
      </w:r>
    </w:p>
    <w:p w14:paraId="31927B83" w14:textId="77777777" w:rsidR="001F3238" w:rsidRPr="001737D5" w:rsidRDefault="001F3238" w:rsidP="001F3238">
      <w:pPr>
        <w:rPr>
          <w:color w:val="auto"/>
        </w:rPr>
      </w:pPr>
    </w:p>
    <w:p w14:paraId="1EA72801" w14:textId="0096F3E5" w:rsidR="001F3238" w:rsidRPr="001737D5" w:rsidRDefault="003724BC" w:rsidP="001F3238">
      <w:pPr>
        <w:rPr>
          <w:color w:val="auto"/>
        </w:rPr>
      </w:pPr>
      <w:r w:rsidRPr="001737D5">
        <w:rPr>
          <w:color w:val="auto"/>
        </w:rPr>
        <w:t xml:space="preserve">This assay will be performed at the </w:t>
      </w:r>
      <w:r w:rsidR="009B0AD5">
        <w:t>Analytical Pharmacology Core, City of Hope</w:t>
      </w:r>
      <w:r w:rsidRPr="001737D5">
        <w:rPr>
          <w:color w:val="auto"/>
        </w:rPr>
        <w:t xml:space="preserve">, under supervision of </w:t>
      </w:r>
      <w:r w:rsidR="009B0AD5">
        <w:rPr>
          <w:color w:val="auto"/>
        </w:rPr>
        <w:t>Tim Synold</w:t>
      </w:r>
      <w:r w:rsidRPr="001737D5">
        <w:rPr>
          <w:color w:val="auto"/>
        </w:rPr>
        <w:t>, PharmD</w:t>
      </w:r>
      <w:r w:rsidR="00F719F6" w:rsidRPr="001737D5">
        <w:rPr>
          <w:color w:val="auto"/>
        </w:rPr>
        <w:t>.</w:t>
      </w:r>
    </w:p>
    <w:p w14:paraId="4B8ACDA7" w14:textId="77777777" w:rsidR="00576B17" w:rsidRPr="001737D5" w:rsidRDefault="00576B17" w:rsidP="00576B17">
      <w:pPr>
        <w:rPr>
          <w:color w:val="auto"/>
        </w:rPr>
      </w:pPr>
    </w:p>
    <w:p w14:paraId="2700687F" w14:textId="247D6368" w:rsidR="00576B17" w:rsidRPr="001737D5" w:rsidRDefault="00576B17" w:rsidP="00576B17">
      <w:pPr>
        <w:pStyle w:val="Level4Heading"/>
        <w:rPr>
          <w:color w:val="auto"/>
        </w:rPr>
      </w:pPr>
      <w:r w:rsidRPr="001737D5">
        <w:rPr>
          <w:color w:val="auto"/>
        </w:rPr>
        <w:t>Contact Information for Notification of Specimen Shipment</w:t>
      </w:r>
    </w:p>
    <w:p w14:paraId="3D8917F8" w14:textId="77777777" w:rsidR="003D72FF" w:rsidRPr="001737D5" w:rsidRDefault="003D72FF" w:rsidP="003D72FF">
      <w:pPr>
        <w:rPr>
          <w:color w:val="auto"/>
        </w:rPr>
      </w:pPr>
    </w:p>
    <w:p w14:paraId="16F61950" w14:textId="24F142A1" w:rsidR="003D72FF" w:rsidRPr="001737D5" w:rsidRDefault="003D72FF" w:rsidP="003D72FF">
      <w:pPr>
        <w:rPr>
          <w:color w:val="auto"/>
        </w:rPr>
      </w:pPr>
      <w:r w:rsidRPr="001737D5">
        <w:rPr>
          <w:color w:val="auto"/>
        </w:rPr>
        <w:t>See Section 5.7.</w:t>
      </w:r>
      <w:r w:rsidR="00CB7501" w:rsidRPr="001737D5">
        <w:rPr>
          <w:color w:val="auto"/>
        </w:rPr>
        <w:t>1.3.</w:t>
      </w:r>
    </w:p>
    <w:p w14:paraId="6CD56945" w14:textId="77777777" w:rsidR="00576B17" w:rsidRPr="001737D5" w:rsidRDefault="00576B17" w:rsidP="00576B17">
      <w:pPr>
        <w:rPr>
          <w:color w:val="auto"/>
        </w:rPr>
      </w:pPr>
    </w:p>
    <w:p w14:paraId="32BD34A4" w14:textId="3BBAF464" w:rsidR="00576B17" w:rsidRPr="001737D5" w:rsidRDefault="005F7C84" w:rsidP="00576B17">
      <w:pPr>
        <w:pStyle w:val="Level3Heading"/>
        <w:rPr>
          <w:color w:val="auto"/>
          <w:u w:val="single"/>
        </w:rPr>
      </w:pPr>
      <w:r w:rsidRPr="001737D5">
        <w:rPr>
          <w:color w:val="auto"/>
          <w:u w:val="single"/>
        </w:rPr>
        <w:t>Triapine PK (CSF)</w:t>
      </w:r>
    </w:p>
    <w:p w14:paraId="1F994428" w14:textId="3A174CF1" w:rsidR="00576B17" w:rsidRPr="001737D5" w:rsidRDefault="00F719F6" w:rsidP="00576B17">
      <w:pPr>
        <w:pStyle w:val="Level4Heading"/>
        <w:rPr>
          <w:color w:val="auto"/>
        </w:rPr>
      </w:pPr>
      <w:r w:rsidRPr="001737D5">
        <w:rPr>
          <w:color w:val="auto"/>
        </w:rPr>
        <w:t xml:space="preserve">Specimen(s) Receipt and Processing at the </w:t>
      </w:r>
      <w:r w:rsidR="00D516D4">
        <w:t>Analytical Pharmacology Core, City of Hope</w:t>
      </w:r>
    </w:p>
    <w:p w14:paraId="088577D3" w14:textId="77777777" w:rsidR="00F719F6" w:rsidRPr="001737D5" w:rsidRDefault="00F719F6" w:rsidP="00F719F6">
      <w:pPr>
        <w:rPr>
          <w:color w:val="auto"/>
        </w:rPr>
      </w:pPr>
    </w:p>
    <w:p w14:paraId="6DA3F77D" w14:textId="2AEF8E99" w:rsidR="00C00B3C" w:rsidRPr="001737D5" w:rsidRDefault="00C00B3C" w:rsidP="00C00B3C">
      <w:pPr>
        <w:rPr>
          <w:color w:val="auto"/>
          <w:highlight w:val="yellow"/>
        </w:rPr>
      </w:pPr>
      <w:r w:rsidRPr="001737D5">
        <w:rPr>
          <w:color w:val="auto"/>
        </w:rPr>
        <w:t xml:space="preserve">Frozen CSF will be received at the </w:t>
      </w:r>
      <w:r w:rsidR="00D516D4">
        <w:t>Analytical Pharmacology Core, City of Hope</w:t>
      </w:r>
      <w:r w:rsidRPr="001737D5">
        <w:rPr>
          <w:color w:val="auto"/>
        </w:rPr>
        <w:t>.  Samples will be processed to assess triapine PK.</w:t>
      </w:r>
    </w:p>
    <w:p w14:paraId="2ABD025A" w14:textId="77777777" w:rsidR="00F719F6" w:rsidRPr="001737D5" w:rsidRDefault="00F719F6" w:rsidP="00F719F6">
      <w:pPr>
        <w:rPr>
          <w:color w:val="auto"/>
        </w:rPr>
      </w:pPr>
    </w:p>
    <w:p w14:paraId="6D77423C" w14:textId="122E5E76" w:rsidR="00576B17" w:rsidRPr="001737D5" w:rsidRDefault="00576B17" w:rsidP="00F719F6">
      <w:pPr>
        <w:pStyle w:val="Level4Heading"/>
        <w:rPr>
          <w:color w:val="auto"/>
        </w:rPr>
      </w:pPr>
      <w:r w:rsidRPr="001737D5">
        <w:rPr>
          <w:color w:val="auto"/>
        </w:rPr>
        <w:t xml:space="preserve">Site(s) Performing Correlative Study </w:t>
      </w:r>
    </w:p>
    <w:p w14:paraId="1E6033E8" w14:textId="77777777" w:rsidR="00F719F6" w:rsidRPr="001737D5" w:rsidRDefault="00F719F6" w:rsidP="00F719F6">
      <w:pPr>
        <w:rPr>
          <w:color w:val="auto"/>
        </w:rPr>
      </w:pPr>
    </w:p>
    <w:p w14:paraId="77A3A7A5" w14:textId="186E78DA" w:rsidR="00F719F6" w:rsidRPr="001737D5" w:rsidRDefault="00F719F6" w:rsidP="00F719F6">
      <w:pPr>
        <w:rPr>
          <w:color w:val="auto"/>
        </w:rPr>
      </w:pPr>
      <w:r w:rsidRPr="001737D5">
        <w:rPr>
          <w:color w:val="auto"/>
        </w:rPr>
        <w:t xml:space="preserve">This assay will be performed at the </w:t>
      </w:r>
      <w:r w:rsidR="009B0AD5">
        <w:t>Analytical Pharmacology Core, City of Hope</w:t>
      </w:r>
      <w:r w:rsidRPr="001737D5">
        <w:rPr>
          <w:color w:val="auto"/>
        </w:rPr>
        <w:t xml:space="preserve">, under supervision of </w:t>
      </w:r>
      <w:r w:rsidR="009B0AD5">
        <w:rPr>
          <w:color w:val="auto"/>
        </w:rPr>
        <w:t>Tim Synold</w:t>
      </w:r>
      <w:r w:rsidRPr="001737D5">
        <w:rPr>
          <w:color w:val="auto"/>
        </w:rPr>
        <w:t>, PharmD</w:t>
      </w:r>
      <w:r w:rsidR="00771939" w:rsidRPr="001737D5">
        <w:rPr>
          <w:color w:val="auto"/>
        </w:rPr>
        <w:t>.</w:t>
      </w:r>
    </w:p>
    <w:p w14:paraId="379F60BD" w14:textId="77777777" w:rsidR="00576B17" w:rsidRPr="001737D5" w:rsidRDefault="00576B17" w:rsidP="00576B17">
      <w:pPr>
        <w:rPr>
          <w:color w:val="auto"/>
        </w:rPr>
      </w:pPr>
    </w:p>
    <w:p w14:paraId="784F09A6" w14:textId="351B9E54" w:rsidR="00576B17" w:rsidRPr="001737D5" w:rsidRDefault="00576B17" w:rsidP="00576B17">
      <w:pPr>
        <w:pStyle w:val="Level4Heading"/>
        <w:rPr>
          <w:i/>
          <w:iCs/>
          <w:color w:val="auto"/>
        </w:rPr>
      </w:pPr>
      <w:r w:rsidRPr="001737D5">
        <w:rPr>
          <w:color w:val="auto"/>
        </w:rPr>
        <w:t>Contact Information for Notification of Specimen Shipment</w:t>
      </w:r>
    </w:p>
    <w:p w14:paraId="31A0BA7E" w14:textId="77777777" w:rsidR="0037185B" w:rsidRPr="001737D5" w:rsidRDefault="0037185B" w:rsidP="0037185B">
      <w:pPr>
        <w:rPr>
          <w:color w:val="auto"/>
        </w:rPr>
      </w:pPr>
    </w:p>
    <w:p w14:paraId="6A2E5035" w14:textId="77777777" w:rsidR="00CB7501" w:rsidRPr="001737D5" w:rsidRDefault="00CB7501" w:rsidP="00CB7501">
      <w:pPr>
        <w:rPr>
          <w:color w:val="auto"/>
        </w:rPr>
      </w:pPr>
      <w:r w:rsidRPr="001737D5">
        <w:rPr>
          <w:color w:val="auto"/>
        </w:rPr>
        <w:t>See Section 5.7.1.3.</w:t>
      </w:r>
    </w:p>
    <w:p w14:paraId="158D047C" w14:textId="77777777" w:rsidR="00016502" w:rsidRDefault="00016502" w:rsidP="004F4559">
      <w:pPr>
        <w:widowControl/>
      </w:pPr>
    </w:p>
    <w:p w14:paraId="5DF1BF25" w14:textId="1AB807CE" w:rsidR="009E246E" w:rsidRPr="007300F3" w:rsidRDefault="009E246E" w:rsidP="00C94562">
      <w:pPr>
        <w:pStyle w:val="Heading1"/>
      </w:pPr>
      <w:bookmarkStart w:id="76" w:name="_Toc485990222"/>
      <w:bookmarkStart w:id="77" w:name="_Toc486864740"/>
      <w:bookmarkStart w:id="78" w:name="_Toc487204838"/>
      <w:bookmarkStart w:id="79" w:name="_Toc318813009"/>
      <w:bookmarkStart w:id="80" w:name="_Toc176419913"/>
      <w:bookmarkEnd w:id="50"/>
      <w:bookmarkEnd w:id="76"/>
      <w:bookmarkEnd w:id="77"/>
      <w:bookmarkEnd w:id="78"/>
      <w:r w:rsidRPr="007300F3">
        <w:t>TREATMENT PLAN</w:t>
      </w:r>
      <w:bookmarkEnd w:id="79"/>
      <w:bookmarkEnd w:id="80"/>
    </w:p>
    <w:p w14:paraId="250F9151" w14:textId="77777777" w:rsidR="009E246E" w:rsidRPr="0044415E" w:rsidRDefault="009E246E" w:rsidP="009E246E">
      <w:pPr>
        <w:suppressAutoHyphens/>
      </w:pPr>
    </w:p>
    <w:p w14:paraId="61469402" w14:textId="336326F2" w:rsidR="009E246E" w:rsidRPr="0005788D" w:rsidRDefault="009E246E" w:rsidP="00C94562">
      <w:pPr>
        <w:pStyle w:val="Heading2"/>
      </w:pPr>
      <w:bookmarkStart w:id="81" w:name="_Toc318813010"/>
      <w:bookmarkStart w:id="82" w:name="_Toc176419914"/>
      <w:r w:rsidRPr="0005788D">
        <w:t>Agent Administration</w:t>
      </w:r>
      <w:bookmarkEnd w:id="81"/>
      <w:bookmarkEnd w:id="82"/>
    </w:p>
    <w:p w14:paraId="6BA90AC8" w14:textId="77777777" w:rsidR="009E246E" w:rsidRPr="007300F3" w:rsidRDefault="009E246E" w:rsidP="009E246E">
      <w:pPr>
        <w:suppressAutoHyphens/>
      </w:pPr>
    </w:p>
    <w:p w14:paraId="4F0F96BD" w14:textId="76E3C584" w:rsidR="009E246E" w:rsidRPr="007300F3" w:rsidRDefault="009E246E" w:rsidP="009E246E">
      <w:pPr>
        <w:suppressAutoHyphens/>
      </w:pPr>
      <w:r w:rsidRPr="007300F3">
        <w:t>Treatment will be administered on an</w:t>
      </w:r>
      <w:r w:rsidR="00ED2249">
        <w:t xml:space="preserve"> outpatient </w:t>
      </w:r>
      <w:r w:rsidRPr="007300F3">
        <w:t>basis</w:t>
      </w:r>
      <w:r w:rsidR="00ED2249">
        <w:t>; the City of Hope sub-study will be administered on an inpatient basis</w:t>
      </w:r>
      <w:r w:rsidR="003D4160">
        <w:t xml:space="preserve"> for only select patients </w:t>
      </w:r>
      <w:r w:rsidR="006C4A2E">
        <w:t xml:space="preserve">treated </w:t>
      </w:r>
      <w:r w:rsidR="003D4160">
        <w:t>at City of Hope</w:t>
      </w:r>
      <w:r w:rsidRPr="007300F3">
        <w:t xml:space="preserve">.  Reported </w:t>
      </w:r>
      <w:r w:rsidRPr="007300F3">
        <w:lastRenderedPageBreak/>
        <w:t xml:space="preserve">adverse events and potential risks are described in Section </w:t>
      </w:r>
      <w:r w:rsidR="00F53684">
        <w:t>10</w:t>
      </w:r>
      <w:r w:rsidRPr="007300F3">
        <w:t xml:space="preserve">.  Appropriate dose modifications are described in Section </w:t>
      </w:r>
      <w:r w:rsidR="00F53684">
        <w:t>7</w:t>
      </w:r>
      <w:r w:rsidRPr="007300F3">
        <w:t>.  No investigational or commercial agents or therapies other than those described below may be administered with the intent to treat the patient's malignancy.</w:t>
      </w:r>
    </w:p>
    <w:p w14:paraId="2416A2B5" w14:textId="77777777" w:rsidR="009E246E" w:rsidRPr="007300F3" w:rsidRDefault="009E246E" w:rsidP="009E246E">
      <w:pPr>
        <w:suppressAutoHyphens/>
      </w:pPr>
    </w:p>
    <w:tbl>
      <w:tblPr>
        <w:tblW w:w="9360" w:type="dxa"/>
        <w:tblInd w:w="144" w:type="dxa"/>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619"/>
        <w:gridCol w:w="2233"/>
        <w:gridCol w:w="4508"/>
      </w:tblGrid>
      <w:tr w:rsidR="00B37109" w:rsidRPr="000E48D1" w14:paraId="66EEF9F1" w14:textId="77777777">
        <w:trPr>
          <w:trHeight w:val="465"/>
        </w:trPr>
        <w:tc>
          <w:tcPr>
            <w:tcW w:w="9360" w:type="dxa"/>
            <w:gridSpan w:val="3"/>
            <w:tcBorders>
              <w:top w:val="single" w:sz="8" w:space="0" w:color="000000"/>
              <w:bottom w:val="single" w:sz="4" w:space="0" w:color="auto"/>
            </w:tcBorders>
            <w:vAlign w:val="center"/>
          </w:tcPr>
          <w:p w14:paraId="32043842" w14:textId="77777777" w:rsidR="00B37109" w:rsidRPr="00B72DF0" w:rsidRDefault="00B37109">
            <w:pPr>
              <w:jc w:val="center"/>
              <w:rPr>
                <w:b/>
                <w:sz w:val="20"/>
                <w:szCs w:val="20"/>
              </w:rPr>
            </w:pPr>
            <w:r w:rsidRPr="00B72DF0">
              <w:rPr>
                <w:b/>
                <w:sz w:val="20"/>
                <w:szCs w:val="20"/>
              </w:rPr>
              <w:t>Dose Escalation Schedule</w:t>
            </w:r>
          </w:p>
        </w:tc>
      </w:tr>
      <w:tr w:rsidR="00B37109" w:rsidRPr="000E48D1" w14:paraId="1E426555" w14:textId="77777777">
        <w:trPr>
          <w:trHeight w:val="360"/>
        </w:trPr>
        <w:tc>
          <w:tcPr>
            <w:tcW w:w="2619" w:type="dxa"/>
            <w:vMerge w:val="restart"/>
            <w:tcBorders>
              <w:top w:val="single" w:sz="4" w:space="0" w:color="auto"/>
              <w:bottom w:val="single" w:sz="4" w:space="0" w:color="auto"/>
            </w:tcBorders>
            <w:vAlign w:val="center"/>
          </w:tcPr>
          <w:p w14:paraId="78F774B4" w14:textId="77777777" w:rsidR="00B37109" w:rsidRPr="00B72DF0" w:rsidRDefault="00B37109">
            <w:pPr>
              <w:jc w:val="center"/>
              <w:rPr>
                <w:b/>
                <w:sz w:val="20"/>
                <w:szCs w:val="20"/>
              </w:rPr>
            </w:pPr>
            <w:r w:rsidRPr="00B72DF0">
              <w:rPr>
                <w:b/>
                <w:sz w:val="20"/>
                <w:szCs w:val="20"/>
              </w:rPr>
              <w:t>Dose Level</w:t>
            </w:r>
          </w:p>
        </w:tc>
        <w:tc>
          <w:tcPr>
            <w:tcW w:w="6741" w:type="dxa"/>
            <w:gridSpan w:val="2"/>
            <w:tcBorders>
              <w:top w:val="single" w:sz="4" w:space="0" w:color="auto"/>
              <w:bottom w:val="single" w:sz="4" w:space="0" w:color="auto"/>
            </w:tcBorders>
            <w:vAlign w:val="center"/>
          </w:tcPr>
          <w:p w14:paraId="48451BA5" w14:textId="77777777" w:rsidR="00B37109" w:rsidRPr="00B72DF0" w:rsidRDefault="00B37109">
            <w:pPr>
              <w:jc w:val="center"/>
              <w:rPr>
                <w:b/>
                <w:sz w:val="20"/>
                <w:szCs w:val="20"/>
              </w:rPr>
            </w:pPr>
            <w:r w:rsidRPr="00B72DF0">
              <w:rPr>
                <w:b/>
                <w:sz w:val="20"/>
                <w:szCs w:val="20"/>
              </w:rPr>
              <w:t>Dose*</w:t>
            </w:r>
          </w:p>
        </w:tc>
      </w:tr>
      <w:tr w:rsidR="00B37109" w:rsidRPr="000E48D1" w14:paraId="192794E0" w14:textId="77777777">
        <w:tc>
          <w:tcPr>
            <w:tcW w:w="2619" w:type="dxa"/>
            <w:vMerge/>
            <w:tcBorders>
              <w:top w:val="single" w:sz="4" w:space="0" w:color="auto"/>
              <w:bottom w:val="single" w:sz="4" w:space="0" w:color="auto"/>
            </w:tcBorders>
          </w:tcPr>
          <w:p w14:paraId="74361FEE" w14:textId="77777777" w:rsidR="00B37109" w:rsidRPr="00B72DF0" w:rsidRDefault="00B37109">
            <w:pPr>
              <w:rPr>
                <w:b/>
                <w:sz w:val="20"/>
                <w:szCs w:val="20"/>
              </w:rPr>
            </w:pPr>
          </w:p>
        </w:tc>
        <w:tc>
          <w:tcPr>
            <w:tcW w:w="2233" w:type="dxa"/>
            <w:tcBorders>
              <w:top w:val="single" w:sz="4" w:space="0" w:color="auto"/>
              <w:bottom w:val="single" w:sz="4" w:space="0" w:color="auto"/>
            </w:tcBorders>
            <w:vAlign w:val="center"/>
          </w:tcPr>
          <w:p w14:paraId="5B73D430" w14:textId="77777777" w:rsidR="00B37109" w:rsidRPr="00B72DF0" w:rsidRDefault="00B37109">
            <w:pPr>
              <w:jc w:val="center"/>
              <w:rPr>
                <w:b/>
                <w:iCs/>
                <w:sz w:val="20"/>
                <w:szCs w:val="20"/>
              </w:rPr>
            </w:pPr>
            <w:r>
              <w:rPr>
                <w:b/>
                <w:iCs/>
                <w:sz w:val="20"/>
                <w:szCs w:val="20"/>
              </w:rPr>
              <w:t>Triapine</w:t>
            </w:r>
          </w:p>
          <w:p w14:paraId="05A0107B" w14:textId="77777777" w:rsidR="00B37109" w:rsidRPr="00B72DF0" w:rsidRDefault="00B37109">
            <w:pPr>
              <w:jc w:val="center"/>
              <w:rPr>
                <w:b/>
                <w:iCs/>
                <w:sz w:val="20"/>
                <w:szCs w:val="20"/>
              </w:rPr>
            </w:pPr>
            <w:r w:rsidRPr="00B72DF0">
              <w:rPr>
                <w:b/>
                <w:iCs/>
                <w:sz w:val="20"/>
                <w:szCs w:val="20"/>
              </w:rPr>
              <w:t>(</w:t>
            </w:r>
            <w:r>
              <w:rPr>
                <w:b/>
                <w:iCs/>
                <w:sz w:val="20"/>
                <w:szCs w:val="20"/>
              </w:rPr>
              <w:t>mg</w:t>
            </w:r>
            <w:r w:rsidRPr="00B72DF0">
              <w:rPr>
                <w:b/>
                <w:iCs/>
                <w:sz w:val="20"/>
                <w:szCs w:val="20"/>
              </w:rPr>
              <w:t>)</w:t>
            </w:r>
            <w:r>
              <w:rPr>
                <w:b/>
                <w:iCs/>
                <w:sz w:val="20"/>
                <w:szCs w:val="20"/>
              </w:rPr>
              <w:t>**</w:t>
            </w:r>
          </w:p>
        </w:tc>
        <w:tc>
          <w:tcPr>
            <w:tcW w:w="4508" w:type="dxa"/>
            <w:tcBorders>
              <w:top w:val="single" w:sz="4" w:space="0" w:color="auto"/>
              <w:bottom w:val="single" w:sz="4" w:space="0" w:color="auto"/>
            </w:tcBorders>
            <w:vAlign w:val="center"/>
          </w:tcPr>
          <w:p w14:paraId="68A4E665" w14:textId="77777777" w:rsidR="00B37109" w:rsidRPr="00B72DF0" w:rsidRDefault="00B37109">
            <w:pPr>
              <w:jc w:val="center"/>
              <w:rPr>
                <w:b/>
                <w:iCs/>
                <w:sz w:val="20"/>
                <w:szCs w:val="20"/>
              </w:rPr>
            </w:pPr>
            <w:r>
              <w:rPr>
                <w:b/>
                <w:iCs/>
                <w:sz w:val="20"/>
                <w:szCs w:val="20"/>
              </w:rPr>
              <w:t>Radiation</w:t>
            </w:r>
          </w:p>
        </w:tc>
      </w:tr>
      <w:tr w:rsidR="00B37109" w:rsidRPr="000E48D1" w14:paraId="7A0D38A6" w14:textId="77777777">
        <w:trPr>
          <w:trHeight w:val="376"/>
        </w:trPr>
        <w:tc>
          <w:tcPr>
            <w:tcW w:w="2619" w:type="dxa"/>
            <w:tcBorders>
              <w:top w:val="single" w:sz="4" w:space="0" w:color="auto"/>
              <w:bottom w:val="single" w:sz="4" w:space="0" w:color="auto"/>
            </w:tcBorders>
            <w:vAlign w:val="center"/>
          </w:tcPr>
          <w:p w14:paraId="1E87033C" w14:textId="69A64E32" w:rsidR="00B37109" w:rsidRPr="00B72DF0" w:rsidRDefault="00B37109">
            <w:pPr>
              <w:jc w:val="center"/>
              <w:rPr>
                <w:sz w:val="20"/>
                <w:szCs w:val="20"/>
              </w:rPr>
            </w:pPr>
            <w:r w:rsidRPr="00B72DF0">
              <w:rPr>
                <w:sz w:val="20"/>
                <w:szCs w:val="20"/>
              </w:rPr>
              <w:t>Level 1</w:t>
            </w:r>
            <w:r w:rsidR="0047103C">
              <w:rPr>
                <w:sz w:val="20"/>
                <w:szCs w:val="20"/>
              </w:rPr>
              <w:t xml:space="preserve"> (starting)</w:t>
            </w:r>
          </w:p>
        </w:tc>
        <w:tc>
          <w:tcPr>
            <w:tcW w:w="2233" w:type="dxa"/>
            <w:tcBorders>
              <w:top w:val="single" w:sz="4" w:space="0" w:color="auto"/>
              <w:bottom w:val="single" w:sz="4" w:space="0" w:color="auto"/>
            </w:tcBorders>
            <w:vAlign w:val="center"/>
          </w:tcPr>
          <w:p w14:paraId="3C93CE91" w14:textId="77777777" w:rsidR="00B37109" w:rsidRPr="00B72DF0" w:rsidRDefault="00B37109">
            <w:pPr>
              <w:jc w:val="center"/>
              <w:rPr>
                <w:sz w:val="20"/>
                <w:szCs w:val="20"/>
              </w:rPr>
            </w:pPr>
            <w:r>
              <w:rPr>
                <w:sz w:val="20"/>
                <w:szCs w:val="20"/>
              </w:rPr>
              <w:t>50</w:t>
            </w:r>
          </w:p>
        </w:tc>
        <w:tc>
          <w:tcPr>
            <w:tcW w:w="4508" w:type="dxa"/>
            <w:tcBorders>
              <w:top w:val="single" w:sz="4" w:space="0" w:color="auto"/>
              <w:bottom w:val="single" w:sz="4" w:space="0" w:color="auto"/>
            </w:tcBorders>
            <w:vAlign w:val="center"/>
          </w:tcPr>
          <w:p w14:paraId="0D686C3E" w14:textId="77777777" w:rsidR="00B37109" w:rsidRPr="00B72DF0" w:rsidRDefault="00B37109">
            <w:pPr>
              <w:jc w:val="center"/>
              <w:rPr>
                <w:sz w:val="20"/>
                <w:szCs w:val="20"/>
              </w:rPr>
            </w:pPr>
            <w:r>
              <w:rPr>
                <w:sz w:val="20"/>
                <w:szCs w:val="20"/>
              </w:rPr>
              <w:t>35Gy in 10 fractions</w:t>
            </w:r>
          </w:p>
        </w:tc>
      </w:tr>
      <w:tr w:rsidR="00B37109" w:rsidRPr="000E48D1" w14:paraId="60278434" w14:textId="77777777">
        <w:trPr>
          <w:trHeight w:val="377"/>
        </w:trPr>
        <w:tc>
          <w:tcPr>
            <w:tcW w:w="2619" w:type="dxa"/>
            <w:tcBorders>
              <w:top w:val="single" w:sz="4" w:space="0" w:color="auto"/>
              <w:bottom w:val="single" w:sz="4" w:space="0" w:color="auto"/>
            </w:tcBorders>
            <w:vAlign w:val="center"/>
          </w:tcPr>
          <w:p w14:paraId="684325FF" w14:textId="77777777" w:rsidR="00B37109" w:rsidRPr="00B72DF0" w:rsidRDefault="00B37109">
            <w:pPr>
              <w:jc w:val="center"/>
              <w:rPr>
                <w:sz w:val="20"/>
                <w:szCs w:val="20"/>
              </w:rPr>
            </w:pPr>
            <w:r w:rsidRPr="00B72DF0">
              <w:rPr>
                <w:sz w:val="20"/>
                <w:szCs w:val="20"/>
              </w:rPr>
              <w:t>Level 2</w:t>
            </w:r>
          </w:p>
        </w:tc>
        <w:tc>
          <w:tcPr>
            <w:tcW w:w="2233" w:type="dxa"/>
            <w:tcBorders>
              <w:top w:val="single" w:sz="4" w:space="0" w:color="auto"/>
              <w:bottom w:val="single" w:sz="4" w:space="0" w:color="auto"/>
            </w:tcBorders>
            <w:vAlign w:val="center"/>
          </w:tcPr>
          <w:p w14:paraId="7315A4D7" w14:textId="77777777" w:rsidR="00B37109" w:rsidRPr="00B72DF0" w:rsidRDefault="00B37109">
            <w:pPr>
              <w:jc w:val="center"/>
              <w:rPr>
                <w:sz w:val="20"/>
                <w:szCs w:val="20"/>
              </w:rPr>
            </w:pPr>
            <w:r>
              <w:rPr>
                <w:sz w:val="20"/>
                <w:szCs w:val="20"/>
              </w:rPr>
              <w:t>100</w:t>
            </w:r>
          </w:p>
        </w:tc>
        <w:tc>
          <w:tcPr>
            <w:tcW w:w="4508" w:type="dxa"/>
            <w:tcBorders>
              <w:top w:val="single" w:sz="4" w:space="0" w:color="auto"/>
              <w:bottom w:val="single" w:sz="4" w:space="0" w:color="auto"/>
            </w:tcBorders>
            <w:vAlign w:val="center"/>
          </w:tcPr>
          <w:p w14:paraId="2061B9F4" w14:textId="77777777" w:rsidR="00B37109" w:rsidRPr="00B72DF0" w:rsidRDefault="00B37109">
            <w:pPr>
              <w:jc w:val="center"/>
              <w:rPr>
                <w:sz w:val="20"/>
                <w:szCs w:val="20"/>
              </w:rPr>
            </w:pPr>
            <w:r>
              <w:rPr>
                <w:sz w:val="20"/>
                <w:szCs w:val="20"/>
              </w:rPr>
              <w:t>35Gy in 10 fractions</w:t>
            </w:r>
          </w:p>
        </w:tc>
      </w:tr>
      <w:tr w:rsidR="00B37109" w:rsidRPr="000E48D1" w14:paraId="5A05C4CD" w14:textId="77777777">
        <w:trPr>
          <w:trHeight w:val="377"/>
        </w:trPr>
        <w:tc>
          <w:tcPr>
            <w:tcW w:w="2619" w:type="dxa"/>
            <w:tcBorders>
              <w:top w:val="single" w:sz="4" w:space="0" w:color="auto"/>
              <w:bottom w:val="single" w:sz="4" w:space="0" w:color="auto"/>
            </w:tcBorders>
            <w:vAlign w:val="center"/>
          </w:tcPr>
          <w:p w14:paraId="6707B26E" w14:textId="77777777" w:rsidR="00B37109" w:rsidRPr="00B72DF0" w:rsidRDefault="00B37109">
            <w:pPr>
              <w:jc w:val="center"/>
              <w:rPr>
                <w:sz w:val="20"/>
                <w:szCs w:val="20"/>
              </w:rPr>
            </w:pPr>
            <w:r w:rsidRPr="00B72DF0">
              <w:rPr>
                <w:sz w:val="20"/>
                <w:szCs w:val="20"/>
              </w:rPr>
              <w:t>Level 3</w:t>
            </w:r>
          </w:p>
        </w:tc>
        <w:tc>
          <w:tcPr>
            <w:tcW w:w="2233" w:type="dxa"/>
            <w:tcBorders>
              <w:top w:val="single" w:sz="4" w:space="0" w:color="auto"/>
              <w:bottom w:val="single" w:sz="4" w:space="0" w:color="auto"/>
            </w:tcBorders>
            <w:vAlign w:val="center"/>
          </w:tcPr>
          <w:p w14:paraId="2D550340" w14:textId="77777777" w:rsidR="00B37109" w:rsidRPr="00B72DF0" w:rsidRDefault="00B37109">
            <w:pPr>
              <w:jc w:val="center"/>
              <w:rPr>
                <w:sz w:val="20"/>
                <w:szCs w:val="20"/>
              </w:rPr>
            </w:pPr>
            <w:r>
              <w:rPr>
                <w:sz w:val="20"/>
                <w:szCs w:val="20"/>
              </w:rPr>
              <w:t>150</w:t>
            </w:r>
          </w:p>
        </w:tc>
        <w:tc>
          <w:tcPr>
            <w:tcW w:w="4508" w:type="dxa"/>
            <w:tcBorders>
              <w:top w:val="single" w:sz="4" w:space="0" w:color="auto"/>
              <w:bottom w:val="single" w:sz="4" w:space="0" w:color="auto"/>
            </w:tcBorders>
            <w:vAlign w:val="center"/>
          </w:tcPr>
          <w:p w14:paraId="316A6732" w14:textId="77777777" w:rsidR="00B37109" w:rsidRPr="00B72DF0" w:rsidRDefault="00B37109">
            <w:pPr>
              <w:jc w:val="center"/>
              <w:rPr>
                <w:sz w:val="20"/>
                <w:szCs w:val="20"/>
              </w:rPr>
            </w:pPr>
            <w:r>
              <w:rPr>
                <w:sz w:val="20"/>
                <w:szCs w:val="20"/>
              </w:rPr>
              <w:t>35Gy in 10 fractions</w:t>
            </w:r>
          </w:p>
        </w:tc>
      </w:tr>
      <w:tr w:rsidR="00B37109" w:rsidRPr="000E48D1" w14:paraId="08321A60" w14:textId="77777777">
        <w:trPr>
          <w:trHeight w:val="377"/>
        </w:trPr>
        <w:tc>
          <w:tcPr>
            <w:tcW w:w="2619" w:type="dxa"/>
            <w:tcBorders>
              <w:top w:val="single" w:sz="4" w:space="0" w:color="auto"/>
              <w:bottom w:val="single" w:sz="4" w:space="0" w:color="auto"/>
            </w:tcBorders>
            <w:vAlign w:val="center"/>
          </w:tcPr>
          <w:p w14:paraId="2A5BCBEF" w14:textId="77777777" w:rsidR="00B37109" w:rsidRPr="00B72DF0" w:rsidRDefault="00B37109">
            <w:pPr>
              <w:jc w:val="center"/>
              <w:rPr>
                <w:sz w:val="20"/>
                <w:szCs w:val="20"/>
              </w:rPr>
            </w:pPr>
            <w:r w:rsidRPr="00B72DF0">
              <w:rPr>
                <w:sz w:val="20"/>
                <w:szCs w:val="20"/>
              </w:rPr>
              <w:t>Level 4</w:t>
            </w:r>
          </w:p>
        </w:tc>
        <w:tc>
          <w:tcPr>
            <w:tcW w:w="2233" w:type="dxa"/>
            <w:tcBorders>
              <w:top w:val="single" w:sz="4" w:space="0" w:color="auto"/>
              <w:bottom w:val="single" w:sz="4" w:space="0" w:color="auto"/>
            </w:tcBorders>
            <w:vAlign w:val="center"/>
          </w:tcPr>
          <w:p w14:paraId="1EAB530A" w14:textId="77777777" w:rsidR="00B37109" w:rsidRPr="00B72DF0" w:rsidRDefault="00B37109">
            <w:pPr>
              <w:jc w:val="center"/>
              <w:rPr>
                <w:sz w:val="20"/>
                <w:szCs w:val="20"/>
              </w:rPr>
            </w:pPr>
            <w:r>
              <w:rPr>
                <w:sz w:val="20"/>
                <w:szCs w:val="20"/>
              </w:rPr>
              <w:t>200</w:t>
            </w:r>
          </w:p>
        </w:tc>
        <w:tc>
          <w:tcPr>
            <w:tcW w:w="4508" w:type="dxa"/>
            <w:tcBorders>
              <w:top w:val="single" w:sz="4" w:space="0" w:color="auto"/>
              <w:bottom w:val="single" w:sz="4" w:space="0" w:color="auto"/>
            </w:tcBorders>
            <w:vAlign w:val="center"/>
          </w:tcPr>
          <w:p w14:paraId="2D9D577D" w14:textId="77777777" w:rsidR="00B37109" w:rsidRPr="00B72DF0" w:rsidRDefault="00B37109">
            <w:pPr>
              <w:jc w:val="center"/>
              <w:rPr>
                <w:sz w:val="20"/>
                <w:szCs w:val="20"/>
              </w:rPr>
            </w:pPr>
            <w:r>
              <w:rPr>
                <w:sz w:val="20"/>
                <w:szCs w:val="20"/>
              </w:rPr>
              <w:t>35Gy in 10 fractions</w:t>
            </w:r>
          </w:p>
        </w:tc>
      </w:tr>
      <w:tr w:rsidR="00B37109" w:rsidRPr="00791F6D" w14:paraId="368EB1A5" w14:textId="77777777">
        <w:trPr>
          <w:trHeight w:val="575"/>
        </w:trPr>
        <w:tc>
          <w:tcPr>
            <w:tcW w:w="9360" w:type="dxa"/>
            <w:gridSpan w:val="3"/>
            <w:tcBorders>
              <w:top w:val="single" w:sz="4" w:space="0" w:color="auto"/>
              <w:bottom w:val="single" w:sz="8" w:space="0" w:color="000000"/>
            </w:tcBorders>
          </w:tcPr>
          <w:p w14:paraId="052A7EB0" w14:textId="77777777" w:rsidR="00B37109" w:rsidRDefault="00B37109">
            <w:pPr>
              <w:rPr>
                <w:i/>
                <w:sz w:val="20"/>
                <w:szCs w:val="20"/>
              </w:rPr>
            </w:pPr>
            <w:r w:rsidRPr="00B72DF0">
              <w:rPr>
                <w:i/>
                <w:sz w:val="20"/>
                <w:szCs w:val="20"/>
              </w:rPr>
              <w:t>*Doses are stated as exact dose in units (</w:t>
            </w:r>
            <w:r w:rsidRPr="00B72DF0">
              <w:rPr>
                <w:sz w:val="20"/>
                <w:szCs w:val="20"/>
              </w:rPr>
              <w:t>e.g.</w:t>
            </w:r>
            <w:r w:rsidRPr="00B72DF0">
              <w:rPr>
                <w:i/>
                <w:sz w:val="20"/>
                <w:szCs w:val="20"/>
              </w:rPr>
              <w:t>, mg/m</w:t>
            </w:r>
            <w:r w:rsidRPr="00B72DF0">
              <w:rPr>
                <w:i/>
                <w:sz w:val="20"/>
                <w:szCs w:val="20"/>
                <w:vertAlign w:val="superscript"/>
              </w:rPr>
              <w:t>2</w:t>
            </w:r>
            <w:r w:rsidRPr="00B72DF0">
              <w:rPr>
                <w:i/>
                <w:sz w:val="20"/>
                <w:szCs w:val="20"/>
              </w:rPr>
              <w:t xml:space="preserve">, mcg/kg, </w:t>
            </w:r>
            <w:r w:rsidRPr="00B72DF0">
              <w:rPr>
                <w:sz w:val="20"/>
                <w:szCs w:val="20"/>
              </w:rPr>
              <w:t>etc.</w:t>
            </w:r>
            <w:r w:rsidRPr="00B72DF0">
              <w:rPr>
                <w:i/>
                <w:sz w:val="20"/>
                <w:szCs w:val="20"/>
              </w:rPr>
              <w:t>) rather than as a percentage.</w:t>
            </w:r>
          </w:p>
          <w:p w14:paraId="4A4AE70D" w14:textId="6B8EFADD" w:rsidR="00B37109" w:rsidRPr="00B72DF0" w:rsidRDefault="00B37109">
            <w:pPr>
              <w:rPr>
                <w:sz w:val="20"/>
                <w:szCs w:val="20"/>
              </w:rPr>
            </w:pPr>
            <w:r>
              <w:rPr>
                <w:i/>
                <w:sz w:val="20"/>
                <w:szCs w:val="20"/>
              </w:rPr>
              <w:t>**Doses are administered once daily within 2 hours prior to radiation treatments.</w:t>
            </w:r>
          </w:p>
        </w:tc>
      </w:tr>
    </w:tbl>
    <w:p w14:paraId="670EA3DA" w14:textId="77777777" w:rsidR="009E246E" w:rsidRDefault="009E246E" w:rsidP="009E246E">
      <w:pPr>
        <w:suppressAutoHyphens/>
        <w:rPr>
          <w:i/>
        </w:rPr>
      </w:pPr>
    </w:p>
    <w:tbl>
      <w:tblPr>
        <w:tblW w:w="9360" w:type="dxa"/>
        <w:tblInd w:w="14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2" w:type="dxa"/>
          <w:right w:w="72" w:type="dxa"/>
        </w:tblCellMar>
        <w:tblLook w:val="01E0" w:firstRow="1" w:lastRow="1" w:firstColumn="1" w:lastColumn="1" w:noHBand="0" w:noVBand="0"/>
      </w:tblPr>
      <w:tblGrid>
        <w:gridCol w:w="2207"/>
        <w:gridCol w:w="1783"/>
        <w:gridCol w:w="1241"/>
        <w:gridCol w:w="1732"/>
        <w:gridCol w:w="1287"/>
        <w:gridCol w:w="1110"/>
      </w:tblGrid>
      <w:tr w:rsidR="00CD5E44" w:rsidRPr="00791F6D" w14:paraId="45B72018" w14:textId="77777777" w:rsidTr="00344878">
        <w:trPr>
          <w:trHeight w:val="573"/>
        </w:trPr>
        <w:tc>
          <w:tcPr>
            <w:tcW w:w="9360" w:type="dxa"/>
            <w:gridSpan w:val="6"/>
            <w:vAlign w:val="center"/>
          </w:tcPr>
          <w:p w14:paraId="29B5FCFC" w14:textId="77777777" w:rsidR="00CD5E44" w:rsidRPr="00801FD9" w:rsidRDefault="00CD5E4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szCs w:val="20"/>
              </w:rPr>
            </w:pPr>
            <w:r w:rsidRPr="00801FD9">
              <w:rPr>
                <w:b/>
                <w:sz w:val="20"/>
                <w:szCs w:val="20"/>
              </w:rPr>
              <w:t>Regimen Description</w:t>
            </w:r>
          </w:p>
        </w:tc>
      </w:tr>
      <w:tr w:rsidR="00CD5E44" w:rsidRPr="00791F6D" w14:paraId="36EAC6F4" w14:textId="77777777" w:rsidTr="00344878">
        <w:tc>
          <w:tcPr>
            <w:tcW w:w="2207" w:type="dxa"/>
            <w:shd w:val="clear" w:color="auto" w:fill="auto"/>
            <w:vAlign w:val="center"/>
          </w:tcPr>
          <w:p w14:paraId="1D571CAD" w14:textId="77777777" w:rsidR="00CD5E44" w:rsidRPr="007074E5" w:rsidRDefault="00CD5E4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Cs/>
                <w:sz w:val="20"/>
                <w:szCs w:val="20"/>
              </w:rPr>
            </w:pPr>
            <w:r w:rsidRPr="007074E5">
              <w:rPr>
                <w:b/>
                <w:iCs/>
                <w:sz w:val="20"/>
                <w:szCs w:val="20"/>
              </w:rPr>
              <w:t>Agent</w:t>
            </w:r>
          </w:p>
        </w:tc>
        <w:tc>
          <w:tcPr>
            <w:tcW w:w="1783" w:type="dxa"/>
            <w:shd w:val="clear" w:color="auto" w:fill="auto"/>
            <w:vAlign w:val="center"/>
          </w:tcPr>
          <w:p w14:paraId="31F3D82A" w14:textId="77777777" w:rsidR="00CD5E44" w:rsidRPr="007074E5" w:rsidRDefault="00CD5E4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Cs/>
                <w:sz w:val="20"/>
                <w:szCs w:val="20"/>
              </w:rPr>
            </w:pPr>
            <w:proofErr w:type="spellStart"/>
            <w:r w:rsidRPr="007074E5">
              <w:rPr>
                <w:b/>
                <w:iCs/>
                <w:sz w:val="20"/>
                <w:szCs w:val="20"/>
              </w:rPr>
              <w:t>Premedications</w:t>
            </w:r>
            <w:proofErr w:type="spellEnd"/>
            <w:r w:rsidRPr="007074E5">
              <w:rPr>
                <w:b/>
                <w:iCs/>
                <w:sz w:val="20"/>
                <w:szCs w:val="20"/>
              </w:rPr>
              <w:t>; Precautions</w:t>
            </w:r>
          </w:p>
        </w:tc>
        <w:tc>
          <w:tcPr>
            <w:tcW w:w="1241" w:type="dxa"/>
            <w:shd w:val="clear" w:color="auto" w:fill="auto"/>
            <w:vAlign w:val="center"/>
          </w:tcPr>
          <w:p w14:paraId="72B88963" w14:textId="77777777" w:rsidR="00CD5E44" w:rsidRPr="00801FD9" w:rsidRDefault="00CD5E4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Cs/>
                <w:sz w:val="20"/>
                <w:szCs w:val="20"/>
              </w:rPr>
            </w:pPr>
            <w:r w:rsidRPr="00801FD9">
              <w:rPr>
                <w:b/>
                <w:iCs/>
                <w:sz w:val="20"/>
                <w:szCs w:val="20"/>
              </w:rPr>
              <w:t>Dose</w:t>
            </w:r>
          </w:p>
        </w:tc>
        <w:tc>
          <w:tcPr>
            <w:tcW w:w="1732" w:type="dxa"/>
            <w:shd w:val="clear" w:color="auto" w:fill="auto"/>
            <w:vAlign w:val="center"/>
          </w:tcPr>
          <w:p w14:paraId="2C7B9BC5" w14:textId="77777777" w:rsidR="00CD5E44" w:rsidRPr="00801FD9" w:rsidRDefault="00CD5E4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Cs/>
                <w:sz w:val="20"/>
                <w:szCs w:val="20"/>
              </w:rPr>
            </w:pPr>
            <w:r w:rsidRPr="00801FD9">
              <w:rPr>
                <w:b/>
                <w:iCs/>
                <w:sz w:val="20"/>
                <w:szCs w:val="20"/>
              </w:rPr>
              <w:t>Route</w:t>
            </w:r>
          </w:p>
        </w:tc>
        <w:tc>
          <w:tcPr>
            <w:tcW w:w="1287" w:type="dxa"/>
            <w:shd w:val="clear" w:color="auto" w:fill="auto"/>
            <w:vAlign w:val="center"/>
          </w:tcPr>
          <w:p w14:paraId="1D139156" w14:textId="77777777" w:rsidR="00CD5E44" w:rsidRPr="00801FD9" w:rsidRDefault="00CD5E4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Cs/>
                <w:sz w:val="20"/>
                <w:szCs w:val="20"/>
              </w:rPr>
            </w:pPr>
            <w:r w:rsidRPr="00801FD9">
              <w:rPr>
                <w:b/>
                <w:iCs/>
                <w:sz w:val="20"/>
                <w:szCs w:val="20"/>
              </w:rPr>
              <w:t>Schedule</w:t>
            </w:r>
          </w:p>
        </w:tc>
        <w:tc>
          <w:tcPr>
            <w:tcW w:w="1110" w:type="dxa"/>
            <w:shd w:val="clear" w:color="auto" w:fill="auto"/>
            <w:vAlign w:val="center"/>
          </w:tcPr>
          <w:p w14:paraId="12BB4FA2" w14:textId="77777777" w:rsidR="00CD5E44" w:rsidRPr="007074E5" w:rsidRDefault="00CD5E4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Cs/>
                <w:sz w:val="20"/>
                <w:szCs w:val="20"/>
              </w:rPr>
            </w:pPr>
            <w:r w:rsidRPr="007074E5">
              <w:rPr>
                <w:b/>
                <w:iCs/>
                <w:sz w:val="20"/>
                <w:szCs w:val="20"/>
              </w:rPr>
              <w:t>Cycle Length</w:t>
            </w:r>
          </w:p>
        </w:tc>
      </w:tr>
      <w:tr w:rsidR="00CD5E44" w:rsidRPr="00791F6D" w14:paraId="7C53FB47" w14:textId="77777777" w:rsidTr="00344878">
        <w:tc>
          <w:tcPr>
            <w:tcW w:w="2207" w:type="dxa"/>
            <w:shd w:val="clear" w:color="auto" w:fill="auto"/>
          </w:tcPr>
          <w:p w14:paraId="67DF54F5" w14:textId="77777777" w:rsidR="00CD5E44" w:rsidRPr="00801FD9" w:rsidRDefault="00CD5E4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 w:val="20"/>
                <w:szCs w:val="20"/>
              </w:rPr>
            </w:pPr>
            <w:r w:rsidRPr="00801FD9">
              <w:rPr>
                <w:iCs/>
                <w:sz w:val="20"/>
                <w:szCs w:val="20"/>
              </w:rPr>
              <w:t>Triapine</w:t>
            </w:r>
          </w:p>
        </w:tc>
        <w:tc>
          <w:tcPr>
            <w:tcW w:w="1783" w:type="dxa"/>
            <w:shd w:val="clear" w:color="auto" w:fill="auto"/>
          </w:tcPr>
          <w:p w14:paraId="7DCB1E6E" w14:textId="36037CD9" w:rsidR="00CD5E44" w:rsidRPr="00801FD9" w:rsidRDefault="00CD5E4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 w:val="20"/>
                <w:szCs w:val="20"/>
              </w:rPr>
            </w:pPr>
            <w:r w:rsidRPr="00801FD9">
              <w:rPr>
                <w:iCs/>
                <w:sz w:val="20"/>
                <w:szCs w:val="20"/>
              </w:rPr>
              <w:t>Fast (except for water) for 2 hours prior to dosing and for 1 hour after ingesting the oral dose</w:t>
            </w:r>
            <w:r w:rsidR="003E5838">
              <w:rPr>
                <w:iCs/>
                <w:sz w:val="20"/>
                <w:szCs w:val="20"/>
              </w:rPr>
              <w:t>*</w:t>
            </w:r>
          </w:p>
          <w:p w14:paraId="745B6396" w14:textId="77777777" w:rsidR="00CD5E44" w:rsidRPr="00801FD9" w:rsidRDefault="00CD5E4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 w:val="20"/>
                <w:szCs w:val="20"/>
              </w:rPr>
            </w:pPr>
          </w:p>
        </w:tc>
        <w:tc>
          <w:tcPr>
            <w:tcW w:w="1241" w:type="dxa"/>
            <w:shd w:val="clear" w:color="auto" w:fill="auto"/>
          </w:tcPr>
          <w:p w14:paraId="7108549F" w14:textId="46AEABD9" w:rsidR="00CD5E44" w:rsidRPr="00801FD9" w:rsidRDefault="00CD5E4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 w:val="20"/>
                <w:szCs w:val="20"/>
              </w:rPr>
            </w:pPr>
            <w:r w:rsidRPr="00801FD9">
              <w:rPr>
                <w:iCs/>
                <w:sz w:val="20"/>
                <w:szCs w:val="20"/>
              </w:rPr>
              <w:t>*</w:t>
            </w:r>
            <w:r w:rsidR="003E5838">
              <w:rPr>
                <w:iCs/>
                <w:sz w:val="20"/>
                <w:szCs w:val="20"/>
              </w:rPr>
              <w:t>*</w:t>
            </w:r>
          </w:p>
        </w:tc>
        <w:tc>
          <w:tcPr>
            <w:tcW w:w="1732" w:type="dxa"/>
            <w:shd w:val="clear" w:color="auto" w:fill="auto"/>
          </w:tcPr>
          <w:p w14:paraId="67A33D96" w14:textId="77777777" w:rsidR="00CD5E44" w:rsidRPr="00801FD9" w:rsidRDefault="00CD5E4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 w:val="20"/>
                <w:szCs w:val="20"/>
              </w:rPr>
            </w:pPr>
            <w:r w:rsidRPr="00801FD9">
              <w:rPr>
                <w:iCs/>
                <w:sz w:val="20"/>
                <w:szCs w:val="20"/>
              </w:rPr>
              <w:t>Oral administration</w:t>
            </w:r>
          </w:p>
        </w:tc>
        <w:tc>
          <w:tcPr>
            <w:tcW w:w="1287" w:type="dxa"/>
            <w:shd w:val="clear" w:color="auto" w:fill="auto"/>
          </w:tcPr>
          <w:p w14:paraId="7C7E9DFF" w14:textId="77777777" w:rsidR="00CD5E44" w:rsidRPr="00801FD9" w:rsidRDefault="00CD5E4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 w:val="20"/>
                <w:szCs w:val="20"/>
              </w:rPr>
            </w:pPr>
            <w:r w:rsidRPr="00801FD9">
              <w:rPr>
                <w:iCs/>
                <w:sz w:val="20"/>
                <w:szCs w:val="20"/>
              </w:rPr>
              <w:t xml:space="preserve">Within 2 hours prior to radiation therapy </w:t>
            </w:r>
          </w:p>
        </w:tc>
        <w:tc>
          <w:tcPr>
            <w:tcW w:w="1110" w:type="dxa"/>
            <w:vMerge w:val="restart"/>
            <w:shd w:val="clear" w:color="auto" w:fill="auto"/>
            <w:vAlign w:val="center"/>
          </w:tcPr>
          <w:p w14:paraId="20803F2B" w14:textId="77777777" w:rsidR="00CD5E44" w:rsidRPr="008515DD" w:rsidRDefault="00CD5E4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Cs/>
                <w:sz w:val="20"/>
                <w:szCs w:val="20"/>
              </w:rPr>
            </w:pPr>
            <w:r w:rsidRPr="008515DD">
              <w:rPr>
                <w:iCs/>
                <w:sz w:val="20"/>
                <w:szCs w:val="20"/>
              </w:rPr>
              <w:t xml:space="preserve">28 days </w:t>
            </w:r>
          </w:p>
          <w:p w14:paraId="73040E17" w14:textId="77777777" w:rsidR="00CD5E44" w:rsidRPr="008515DD" w:rsidRDefault="00CD5E4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Cs/>
                <w:sz w:val="20"/>
                <w:szCs w:val="20"/>
              </w:rPr>
            </w:pPr>
            <w:r w:rsidRPr="008515DD">
              <w:rPr>
                <w:iCs/>
                <w:sz w:val="20"/>
                <w:szCs w:val="20"/>
              </w:rPr>
              <w:t>(4 weeks)</w:t>
            </w:r>
          </w:p>
          <w:p w14:paraId="7D9D6E68" w14:textId="77777777" w:rsidR="00CD5E44" w:rsidRPr="00AE34EF" w:rsidRDefault="00CD5E4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Cs/>
                <w:sz w:val="20"/>
                <w:szCs w:val="20"/>
                <w:highlight w:val="green"/>
              </w:rPr>
            </w:pPr>
          </w:p>
          <w:p w14:paraId="1BA174E8" w14:textId="77777777" w:rsidR="00CD5E44" w:rsidRPr="00AE34EF" w:rsidRDefault="00CD5E4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Cs/>
                <w:sz w:val="20"/>
                <w:szCs w:val="20"/>
                <w:highlight w:val="green"/>
              </w:rPr>
            </w:pPr>
          </w:p>
          <w:p w14:paraId="1C0EBC21" w14:textId="77777777" w:rsidR="00CD5E44" w:rsidRPr="00AE34EF" w:rsidRDefault="00CD5E4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Cs/>
                <w:sz w:val="20"/>
                <w:szCs w:val="20"/>
                <w:highlight w:val="green"/>
              </w:rPr>
            </w:pPr>
          </w:p>
        </w:tc>
      </w:tr>
      <w:tr w:rsidR="00CD5E44" w:rsidRPr="00791F6D" w14:paraId="70427500" w14:textId="77777777" w:rsidTr="00344878">
        <w:tc>
          <w:tcPr>
            <w:tcW w:w="2207" w:type="dxa"/>
          </w:tcPr>
          <w:p w14:paraId="3CDBC2F6" w14:textId="77777777" w:rsidR="00CD5E44" w:rsidRPr="00801FD9" w:rsidRDefault="00CD5E4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 w:val="20"/>
                <w:szCs w:val="20"/>
              </w:rPr>
            </w:pPr>
            <w:r w:rsidRPr="00801FD9">
              <w:rPr>
                <w:iCs/>
                <w:sz w:val="20"/>
                <w:szCs w:val="20"/>
              </w:rPr>
              <w:t>Radiation</w:t>
            </w:r>
          </w:p>
        </w:tc>
        <w:tc>
          <w:tcPr>
            <w:tcW w:w="1783" w:type="dxa"/>
          </w:tcPr>
          <w:p w14:paraId="55D32E0F" w14:textId="77777777" w:rsidR="00CD5E44" w:rsidRPr="00801FD9" w:rsidRDefault="00CD5E4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 w:val="20"/>
                <w:szCs w:val="20"/>
              </w:rPr>
            </w:pPr>
            <w:r w:rsidRPr="00801FD9">
              <w:rPr>
                <w:iCs/>
                <w:sz w:val="20"/>
                <w:szCs w:val="20"/>
              </w:rPr>
              <w:t>N/A</w:t>
            </w:r>
          </w:p>
        </w:tc>
        <w:tc>
          <w:tcPr>
            <w:tcW w:w="1241" w:type="dxa"/>
          </w:tcPr>
          <w:p w14:paraId="219AD55C" w14:textId="6CBA519D" w:rsidR="00CD5E44" w:rsidRPr="00801FD9" w:rsidRDefault="00CD5E4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 w:val="20"/>
                <w:szCs w:val="20"/>
              </w:rPr>
            </w:pPr>
            <w:r w:rsidRPr="00801FD9">
              <w:rPr>
                <w:iCs/>
                <w:sz w:val="20"/>
                <w:szCs w:val="20"/>
              </w:rPr>
              <w:t xml:space="preserve">35Gy in 10 fractions </w:t>
            </w:r>
          </w:p>
        </w:tc>
        <w:tc>
          <w:tcPr>
            <w:tcW w:w="1732" w:type="dxa"/>
          </w:tcPr>
          <w:p w14:paraId="4BF7F114" w14:textId="77777777" w:rsidR="00CD5E44" w:rsidRPr="00801FD9" w:rsidRDefault="00CD5E4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 w:val="20"/>
                <w:szCs w:val="20"/>
              </w:rPr>
            </w:pPr>
            <w:r w:rsidRPr="00801FD9">
              <w:rPr>
                <w:iCs/>
                <w:sz w:val="20"/>
                <w:szCs w:val="20"/>
              </w:rPr>
              <w:t>N/A</w:t>
            </w:r>
          </w:p>
        </w:tc>
        <w:tc>
          <w:tcPr>
            <w:tcW w:w="1287" w:type="dxa"/>
          </w:tcPr>
          <w:p w14:paraId="01E87120" w14:textId="07996059" w:rsidR="00CD5E44" w:rsidRPr="00801FD9" w:rsidRDefault="00996D30">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 w:val="20"/>
                <w:szCs w:val="20"/>
              </w:rPr>
            </w:pPr>
            <w:r>
              <w:rPr>
                <w:iCs/>
                <w:sz w:val="20"/>
                <w:szCs w:val="20"/>
              </w:rPr>
              <w:t>Once daily</w:t>
            </w:r>
            <w:r w:rsidR="00CD5E44" w:rsidRPr="00801FD9">
              <w:rPr>
                <w:iCs/>
                <w:sz w:val="20"/>
                <w:szCs w:val="20"/>
              </w:rPr>
              <w:t xml:space="preserve"> on weekdays</w:t>
            </w:r>
          </w:p>
        </w:tc>
        <w:tc>
          <w:tcPr>
            <w:tcW w:w="1110" w:type="dxa"/>
            <w:vMerge/>
          </w:tcPr>
          <w:p w14:paraId="4D487878" w14:textId="77777777" w:rsidR="00CD5E44" w:rsidRPr="00AE34EF" w:rsidRDefault="00CD5E4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 w:val="20"/>
                <w:szCs w:val="20"/>
                <w:highlight w:val="green"/>
              </w:rPr>
            </w:pPr>
          </w:p>
        </w:tc>
      </w:tr>
      <w:tr w:rsidR="00CD5E44" w:rsidRPr="00791F6D" w14:paraId="60CB45AB" w14:textId="77777777" w:rsidTr="00344878">
        <w:tc>
          <w:tcPr>
            <w:tcW w:w="9360" w:type="dxa"/>
            <w:gridSpan w:val="6"/>
          </w:tcPr>
          <w:p w14:paraId="6B01E60D" w14:textId="23F9F166" w:rsidR="003E5838" w:rsidRDefault="003E583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0"/>
                <w:szCs w:val="20"/>
              </w:rPr>
            </w:pPr>
            <w:r>
              <w:rPr>
                <w:i/>
                <w:sz w:val="20"/>
                <w:szCs w:val="20"/>
              </w:rPr>
              <w:t>*Patients will be requested to maintain a medication diary of each dose of medication. The medication diary will be returned to clinic staff at the end of the course.</w:t>
            </w:r>
          </w:p>
          <w:p w14:paraId="275AC884" w14:textId="6463FD86" w:rsidR="00CD5E44" w:rsidRPr="00801FD9" w:rsidRDefault="00CD5E4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0"/>
                <w:szCs w:val="20"/>
              </w:rPr>
            </w:pPr>
            <w:r w:rsidRPr="00801FD9">
              <w:rPr>
                <w:i/>
                <w:sz w:val="20"/>
                <w:szCs w:val="20"/>
              </w:rPr>
              <w:t>*</w:t>
            </w:r>
            <w:r w:rsidR="003E5838">
              <w:rPr>
                <w:i/>
                <w:sz w:val="20"/>
                <w:szCs w:val="20"/>
              </w:rPr>
              <w:t>*</w:t>
            </w:r>
            <w:r w:rsidRPr="00801FD9">
              <w:rPr>
                <w:i/>
                <w:sz w:val="20"/>
                <w:szCs w:val="20"/>
              </w:rPr>
              <w:t>Doses as appropriate for assigned dose level.</w:t>
            </w:r>
          </w:p>
        </w:tc>
      </w:tr>
    </w:tbl>
    <w:p w14:paraId="0B0DBC45" w14:textId="77777777" w:rsidR="004B0C25" w:rsidRPr="00402905" w:rsidRDefault="004B0C25" w:rsidP="004B0C25">
      <w:pPr>
        <w:suppressAutoHyphens/>
      </w:pPr>
    </w:p>
    <w:p w14:paraId="6C462DB1" w14:textId="24942EF5" w:rsidR="009E246E" w:rsidRPr="007300F3" w:rsidRDefault="00A17311">
      <w:pPr>
        <w:pStyle w:val="Level3Heading"/>
      </w:pPr>
      <w:r>
        <w:rPr>
          <w:u w:val="single"/>
        </w:rPr>
        <w:t>Triapine</w:t>
      </w:r>
    </w:p>
    <w:p w14:paraId="42509E07" w14:textId="77777777" w:rsidR="00A17311" w:rsidRPr="005E559E" w:rsidRDefault="00A17311" w:rsidP="00E75E87">
      <w:pPr>
        <w:suppressAutoHyphens/>
        <w:rPr>
          <w:color w:val="auto"/>
        </w:rPr>
      </w:pPr>
    </w:p>
    <w:p w14:paraId="3046965D" w14:textId="63DA21D4" w:rsidR="00DC3249" w:rsidRPr="005E559E" w:rsidRDefault="00DC3249" w:rsidP="00E75E87">
      <w:pPr>
        <w:suppressAutoHyphens/>
        <w:rPr>
          <w:color w:val="auto"/>
        </w:rPr>
      </w:pPr>
      <w:r w:rsidRPr="005E559E">
        <w:rPr>
          <w:color w:val="auto"/>
        </w:rPr>
        <w:t xml:space="preserve">Triapine is administered orally on an empty stomach (except for water </w:t>
      </w:r>
      <w:r w:rsidR="002354E1" w:rsidRPr="005E559E">
        <w:rPr>
          <w:color w:val="auto"/>
        </w:rPr>
        <w:t>2 hours prior to dosing and 1 hour after ingesting).  Patients will take triapine within 2 hours prior to radiation therapy, and thus will only take triapine on weekdays when radiation treatment is scheduled.  Capsules should not be opened.</w:t>
      </w:r>
    </w:p>
    <w:p w14:paraId="4264501A" w14:textId="77777777" w:rsidR="00DC3249" w:rsidRPr="005E559E" w:rsidRDefault="00DC3249" w:rsidP="00E75E87">
      <w:pPr>
        <w:suppressAutoHyphens/>
        <w:rPr>
          <w:color w:val="auto"/>
        </w:rPr>
      </w:pPr>
    </w:p>
    <w:p w14:paraId="743019AA" w14:textId="135359E9" w:rsidR="00A17311" w:rsidRPr="005E559E" w:rsidRDefault="00A17311" w:rsidP="00A17311">
      <w:pPr>
        <w:pStyle w:val="BodyText"/>
        <w:spacing w:after="0"/>
        <w:rPr>
          <w:color w:val="auto"/>
        </w:rPr>
      </w:pPr>
      <w:r w:rsidRPr="005E559E">
        <w:rPr>
          <w:color w:val="auto"/>
        </w:rPr>
        <w:t>If a patient misses a scheduled dose of triapine, it is acceptable to take the missed dose within a window of 12 hours.  If more than 12 hours have passed after the scheduled dose time, the missed dose should not be taken, and the patient should be instructed to take the next dose at the next scheduled time.  If a patient vomits after taking their dose, they should not make up for this dose but should take the next scheduled dose.</w:t>
      </w:r>
      <w:r w:rsidR="009E3381">
        <w:rPr>
          <w:color w:val="auto"/>
        </w:rPr>
        <w:t xml:space="preserve"> </w:t>
      </w:r>
      <w:r w:rsidR="00B67F28">
        <w:rPr>
          <w:color w:val="auto"/>
        </w:rPr>
        <w:t xml:space="preserve"> The patient will be requested to maintain a medication diary of each dose of medication</w:t>
      </w:r>
      <w:r w:rsidR="00C10E09">
        <w:rPr>
          <w:color w:val="auto"/>
        </w:rPr>
        <w:t xml:space="preserve"> </w:t>
      </w:r>
      <w:r w:rsidR="009B66C3">
        <w:rPr>
          <w:color w:val="auto"/>
        </w:rPr>
        <w:t>(</w:t>
      </w:r>
      <w:hyperlink w:anchor="appendixD" w:history="1">
        <w:r w:rsidR="00C10E09" w:rsidRPr="00C10E09">
          <w:rPr>
            <w:rStyle w:val="Hyperlink"/>
          </w:rPr>
          <w:t>Appendix D</w:t>
        </w:r>
      </w:hyperlink>
      <w:r w:rsidR="009B66C3">
        <w:rPr>
          <w:color w:val="auto"/>
        </w:rPr>
        <w:t>).</w:t>
      </w:r>
      <w:r w:rsidR="00C10E09">
        <w:rPr>
          <w:color w:val="auto"/>
        </w:rPr>
        <w:t xml:space="preserve"> The medication diary will be returned to clinic staff at the end of each course.</w:t>
      </w:r>
    </w:p>
    <w:p w14:paraId="37779BC2" w14:textId="77777777" w:rsidR="009E246E" w:rsidRPr="005E559E" w:rsidRDefault="009E246E" w:rsidP="0000681B">
      <w:pPr>
        <w:rPr>
          <w:i/>
          <w:color w:val="auto"/>
          <w:highlight w:val="cyan"/>
        </w:rPr>
      </w:pPr>
    </w:p>
    <w:p w14:paraId="029F29F0" w14:textId="26274DD1" w:rsidR="009E246E" w:rsidRPr="005E559E" w:rsidRDefault="0048036E" w:rsidP="00C312CF">
      <w:pPr>
        <w:pStyle w:val="Level3Heading"/>
        <w:rPr>
          <w:color w:val="auto"/>
          <w:u w:val="single"/>
        </w:rPr>
      </w:pPr>
      <w:r w:rsidRPr="005E559E">
        <w:rPr>
          <w:color w:val="auto"/>
          <w:u w:val="single"/>
        </w:rPr>
        <w:t xml:space="preserve">Definition of </w:t>
      </w:r>
      <w:r w:rsidR="00966F11" w:rsidRPr="005E559E">
        <w:rPr>
          <w:color w:val="auto"/>
          <w:u w:val="single"/>
        </w:rPr>
        <w:t>Intensity-Modulated Radiation Therapy (IMRT) Targeting and Treatment</w:t>
      </w:r>
    </w:p>
    <w:p w14:paraId="4A14ACFA" w14:textId="77777777" w:rsidR="00B9620D" w:rsidRPr="005E559E" w:rsidRDefault="00B9620D" w:rsidP="007F0A8F">
      <w:pPr>
        <w:suppressAutoHyphens/>
        <w:rPr>
          <w:color w:val="auto"/>
        </w:rPr>
      </w:pPr>
    </w:p>
    <w:p w14:paraId="4A8F7799" w14:textId="1E53F436" w:rsidR="007F0A8F" w:rsidRPr="005E559E" w:rsidRDefault="007F0A8F" w:rsidP="007F0A8F">
      <w:pPr>
        <w:suppressAutoHyphens/>
        <w:rPr>
          <w:color w:val="auto"/>
        </w:rPr>
      </w:pPr>
      <w:r w:rsidRPr="005E559E">
        <w:rPr>
          <w:color w:val="auto"/>
        </w:rPr>
        <w:t xml:space="preserve">For the purposes of this protocol, the term ‘intensity-modulated radiation therapy’ (IMRT) implies the targeting, planning, and aiming of radiation beams along any trajectory in 3-D space toward a target of known 3-D coordinates.  The coordinate system is defined by reliable orthogonal alignment to in-treatment room lasers and patient body tattoos. </w:t>
      </w:r>
      <w:r w:rsidR="00B9620D" w:rsidRPr="005E559E">
        <w:rPr>
          <w:color w:val="auto"/>
        </w:rPr>
        <w:t xml:space="preserve"> </w:t>
      </w:r>
      <w:r w:rsidRPr="005E559E">
        <w:rPr>
          <w:color w:val="auto"/>
        </w:rPr>
        <w:t xml:space="preserve">Fiducial marker(s) may be used and located external or internal to the patient’s body. </w:t>
      </w:r>
      <w:r w:rsidR="00B9620D" w:rsidRPr="005E559E">
        <w:rPr>
          <w:color w:val="auto"/>
        </w:rPr>
        <w:t xml:space="preserve"> </w:t>
      </w:r>
      <w:r w:rsidRPr="005E559E">
        <w:rPr>
          <w:color w:val="auto"/>
        </w:rPr>
        <w:t xml:space="preserve">External fiducials may relate to a frame or treatment device. </w:t>
      </w:r>
      <w:r w:rsidR="00B9620D" w:rsidRPr="005E559E">
        <w:rPr>
          <w:color w:val="auto"/>
        </w:rPr>
        <w:t xml:space="preserve"> </w:t>
      </w:r>
      <w:r w:rsidRPr="005E559E">
        <w:rPr>
          <w:color w:val="auto"/>
        </w:rPr>
        <w:t xml:space="preserve">Internal fiducials may be implanted markers or reliably identifiable anatomy that is clearly visible on orthogonal kilovolt (KV) imaging inclusive of the tumor itself. </w:t>
      </w:r>
      <w:r w:rsidR="00B9620D" w:rsidRPr="005E559E">
        <w:rPr>
          <w:color w:val="auto"/>
        </w:rPr>
        <w:t xml:space="preserve"> </w:t>
      </w:r>
      <w:r w:rsidRPr="005E559E">
        <w:rPr>
          <w:color w:val="auto"/>
        </w:rPr>
        <w:t>In all cases, the relationship between the fiducial and the actual tumor position in real time should be reliably understood for both 3-D treatment planning and treatment delivery.</w:t>
      </w:r>
    </w:p>
    <w:p w14:paraId="1DF29D5D" w14:textId="77777777" w:rsidR="009E246E" w:rsidRPr="005E559E" w:rsidRDefault="009E246E" w:rsidP="00724DD8">
      <w:pPr>
        <w:suppressAutoHyphens/>
        <w:rPr>
          <w:color w:val="auto"/>
        </w:rPr>
      </w:pPr>
    </w:p>
    <w:p w14:paraId="6E667B6F" w14:textId="6FD1BA47" w:rsidR="007F0A8F" w:rsidRPr="005E559E" w:rsidRDefault="00CF1EF6" w:rsidP="00CF1EF6">
      <w:pPr>
        <w:pStyle w:val="Level4Heading"/>
        <w:suppressAutoHyphens/>
        <w:rPr>
          <w:color w:val="auto"/>
        </w:rPr>
      </w:pPr>
      <w:r w:rsidRPr="005E559E">
        <w:rPr>
          <w:color w:val="auto"/>
        </w:rPr>
        <w:t>Radiation Therapy Prescription</w:t>
      </w:r>
    </w:p>
    <w:p w14:paraId="322667EB" w14:textId="77777777" w:rsidR="00CF1EF6" w:rsidRPr="005E559E" w:rsidRDefault="00CF1EF6" w:rsidP="00724DD8">
      <w:pPr>
        <w:suppressAutoHyphens/>
        <w:rPr>
          <w:color w:val="auto"/>
        </w:rPr>
      </w:pPr>
    </w:p>
    <w:p w14:paraId="0FC7DCB9" w14:textId="4592302B" w:rsidR="00DA0CA7" w:rsidRPr="005E559E" w:rsidRDefault="001F0AC8" w:rsidP="00DA0CA7">
      <w:pPr>
        <w:suppressAutoHyphens/>
        <w:rPr>
          <w:color w:val="auto"/>
        </w:rPr>
      </w:pPr>
      <w:r>
        <w:rPr>
          <w:color w:val="auto"/>
        </w:rPr>
        <w:t xml:space="preserve">Radiation </w:t>
      </w:r>
      <w:r w:rsidR="00DA0CA7" w:rsidRPr="005E559E">
        <w:rPr>
          <w:color w:val="auto"/>
        </w:rPr>
        <w:t>will be administered in 10 daily fractions</w:t>
      </w:r>
      <w:r w:rsidR="000A00BD">
        <w:rPr>
          <w:color w:val="auto"/>
        </w:rPr>
        <w:t xml:space="preserve"> using IMRT </w:t>
      </w:r>
      <w:r w:rsidR="00046168">
        <w:rPr>
          <w:color w:val="auto"/>
        </w:rPr>
        <w:t xml:space="preserve">(including volumetric modulated </w:t>
      </w:r>
      <w:r w:rsidR="00CE3441">
        <w:rPr>
          <w:color w:val="auto"/>
        </w:rPr>
        <w:t>radiation therapy [</w:t>
      </w:r>
      <w:r w:rsidR="000A00BD">
        <w:rPr>
          <w:color w:val="auto"/>
        </w:rPr>
        <w:t>VMAT</w:t>
      </w:r>
      <w:r w:rsidR="00CE3441">
        <w:rPr>
          <w:color w:val="auto"/>
        </w:rPr>
        <w:t>]</w:t>
      </w:r>
      <w:r w:rsidR="000A00BD">
        <w:rPr>
          <w:color w:val="auto"/>
        </w:rPr>
        <w:t xml:space="preserve"> technique</w:t>
      </w:r>
      <w:r w:rsidR="00CE3441">
        <w:rPr>
          <w:color w:val="auto"/>
        </w:rPr>
        <w:t>)</w:t>
      </w:r>
      <w:r w:rsidR="00DA0CA7" w:rsidRPr="005E559E">
        <w:rPr>
          <w:color w:val="auto"/>
        </w:rPr>
        <w:t xml:space="preserve">. The prescription dose per fraction is 3.5 </w:t>
      </w:r>
      <w:proofErr w:type="spellStart"/>
      <w:r w:rsidR="00DA0CA7" w:rsidRPr="005E559E">
        <w:rPr>
          <w:color w:val="auto"/>
        </w:rPr>
        <w:t>Gy</w:t>
      </w:r>
      <w:proofErr w:type="spellEnd"/>
      <w:r w:rsidR="00DA0CA7" w:rsidRPr="005E559E">
        <w:rPr>
          <w:color w:val="auto"/>
        </w:rPr>
        <w:t xml:space="preserve">. </w:t>
      </w:r>
      <w:r w:rsidR="0086168D" w:rsidRPr="005E559E">
        <w:rPr>
          <w:color w:val="auto"/>
        </w:rPr>
        <w:t xml:space="preserve"> </w:t>
      </w:r>
      <w:r w:rsidR="00DA0CA7" w:rsidRPr="005E559E">
        <w:rPr>
          <w:color w:val="auto"/>
        </w:rPr>
        <w:t xml:space="preserve">The total prescription dose is 35 </w:t>
      </w:r>
      <w:proofErr w:type="spellStart"/>
      <w:r w:rsidR="00DA0CA7" w:rsidRPr="005E559E">
        <w:rPr>
          <w:color w:val="auto"/>
        </w:rPr>
        <w:t>Gy</w:t>
      </w:r>
      <w:proofErr w:type="spellEnd"/>
      <w:r w:rsidR="00DA0CA7" w:rsidRPr="005E559E">
        <w:rPr>
          <w:color w:val="auto"/>
        </w:rPr>
        <w:t xml:space="preserve">.  </w:t>
      </w:r>
      <w:r w:rsidR="00985FE8">
        <w:rPr>
          <w:color w:val="auto"/>
        </w:rPr>
        <w:t>Radiation</w:t>
      </w:r>
      <w:r w:rsidR="00985FE8" w:rsidRPr="005E559E">
        <w:rPr>
          <w:color w:val="auto"/>
        </w:rPr>
        <w:t xml:space="preserve"> </w:t>
      </w:r>
      <w:r w:rsidR="00DA0CA7" w:rsidRPr="005E559E">
        <w:rPr>
          <w:color w:val="auto"/>
        </w:rPr>
        <w:t>is scheduled on trial on weekdays</w:t>
      </w:r>
      <w:r w:rsidR="00635C10" w:rsidRPr="005E559E">
        <w:rPr>
          <w:color w:val="auto"/>
        </w:rPr>
        <w:t xml:space="preserve"> for the first two weeks</w:t>
      </w:r>
      <w:r w:rsidR="00DA0CA7" w:rsidRPr="005E559E">
        <w:rPr>
          <w:color w:val="auto"/>
        </w:rPr>
        <w:t xml:space="preserve"> of the study.</w:t>
      </w:r>
    </w:p>
    <w:p w14:paraId="0E22BDA3" w14:textId="77777777" w:rsidR="00CF1EF6" w:rsidRPr="005E559E" w:rsidRDefault="00CF1EF6" w:rsidP="00724DD8">
      <w:pPr>
        <w:suppressAutoHyphens/>
        <w:rPr>
          <w:color w:val="auto"/>
        </w:rPr>
      </w:pPr>
    </w:p>
    <w:p w14:paraId="44DF3090" w14:textId="144ECA60" w:rsidR="00DA0CA7" w:rsidRPr="005E559E" w:rsidRDefault="009E4266" w:rsidP="009E4266">
      <w:pPr>
        <w:pStyle w:val="Level4Heading"/>
        <w:suppressAutoHyphens/>
        <w:rPr>
          <w:color w:val="auto"/>
        </w:rPr>
      </w:pPr>
      <w:r w:rsidRPr="005E559E">
        <w:rPr>
          <w:color w:val="auto"/>
        </w:rPr>
        <w:t>Technical Factors for Radiation Therapy</w:t>
      </w:r>
    </w:p>
    <w:p w14:paraId="18023741" w14:textId="77777777" w:rsidR="009E4266" w:rsidRPr="005E559E" w:rsidRDefault="009E4266" w:rsidP="009E4266">
      <w:pPr>
        <w:rPr>
          <w:color w:val="auto"/>
        </w:rPr>
      </w:pPr>
    </w:p>
    <w:p w14:paraId="07C88808" w14:textId="44F895BC" w:rsidR="009E4266" w:rsidRPr="005E559E" w:rsidRDefault="009E4266" w:rsidP="009E4266">
      <w:pPr>
        <w:pStyle w:val="Level5Heading"/>
        <w:rPr>
          <w:color w:val="auto"/>
        </w:rPr>
      </w:pPr>
      <w:r w:rsidRPr="005E559E">
        <w:rPr>
          <w:color w:val="auto"/>
        </w:rPr>
        <w:t>Physical Factors</w:t>
      </w:r>
    </w:p>
    <w:p w14:paraId="6BF07784" w14:textId="77777777" w:rsidR="007D1BCA" w:rsidRPr="005E559E" w:rsidRDefault="007D1BCA" w:rsidP="007D1BCA">
      <w:pPr>
        <w:rPr>
          <w:color w:val="auto"/>
        </w:rPr>
      </w:pPr>
    </w:p>
    <w:p w14:paraId="7D4526A6" w14:textId="3939FD89" w:rsidR="00A7177C" w:rsidRPr="005E559E" w:rsidRDefault="00A7177C" w:rsidP="00A7177C">
      <w:pPr>
        <w:rPr>
          <w:color w:val="auto"/>
        </w:rPr>
      </w:pPr>
      <w:r w:rsidRPr="005E559E">
        <w:rPr>
          <w:color w:val="auto"/>
        </w:rPr>
        <w:t xml:space="preserve">Only photon (x-ray) beams with photon energies greater than or equal to 6MV are allowed for external beam radiation therapy.  Cobalt-60 or charged particle beams (including electrons, proton, and heavier ions) are not allowed on this protocol.  Electron </w:t>
      </w:r>
      <w:r w:rsidRPr="00DA1268">
        <w:rPr>
          <w:color w:val="auto"/>
        </w:rPr>
        <w:t>beams</w:t>
      </w:r>
      <w:r w:rsidRPr="00DA1268">
        <w:rPr>
          <w:i/>
          <w:color w:val="auto"/>
        </w:rPr>
        <w:t xml:space="preserve"> </w:t>
      </w:r>
      <w:r w:rsidRPr="00BE2CA1">
        <w:rPr>
          <w:iCs/>
          <w:color w:val="auto"/>
        </w:rPr>
        <w:t>are not</w:t>
      </w:r>
      <w:r w:rsidRPr="005E559E">
        <w:rPr>
          <w:i/>
          <w:color w:val="auto"/>
        </w:rPr>
        <w:t xml:space="preserve"> </w:t>
      </w:r>
      <w:r w:rsidRPr="005E559E">
        <w:rPr>
          <w:color w:val="auto"/>
        </w:rPr>
        <w:t>permissible in this protocol.</w:t>
      </w:r>
    </w:p>
    <w:p w14:paraId="1A1663FF" w14:textId="77777777" w:rsidR="00A7177C" w:rsidRPr="005E559E" w:rsidRDefault="00A7177C" w:rsidP="00A7177C">
      <w:pPr>
        <w:rPr>
          <w:color w:val="auto"/>
        </w:rPr>
      </w:pPr>
    </w:p>
    <w:p w14:paraId="60E8BB18" w14:textId="77F4B5B2" w:rsidR="00A7177C" w:rsidRPr="005E559E" w:rsidRDefault="00A7177C" w:rsidP="00A7177C">
      <w:pPr>
        <w:rPr>
          <w:color w:val="auto"/>
        </w:rPr>
      </w:pPr>
      <w:r w:rsidRPr="005E559E">
        <w:rPr>
          <w:color w:val="auto"/>
        </w:rPr>
        <w:t>Most commercially available photon-producing treatment platforms are allowed.  Conventional linear accelerators or specialized linear accelerators with image guidance (e.g., Novalis, Trilogy, Synergy, Artiste, TrueBeam) are allowed.  These units can be used with conformal dose delivery or IMRT.  Specialized dose-painting accelerators (</w:t>
      </w:r>
      <w:r w:rsidR="00662457">
        <w:rPr>
          <w:color w:val="auto"/>
        </w:rPr>
        <w:t xml:space="preserve">such as </w:t>
      </w:r>
      <w:proofErr w:type="spellStart"/>
      <w:r w:rsidRPr="005E559E">
        <w:rPr>
          <w:color w:val="auto"/>
        </w:rPr>
        <w:t>Cyberknife</w:t>
      </w:r>
      <w:proofErr w:type="spellEnd"/>
      <w:r w:rsidR="005631C2">
        <w:rPr>
          <w:color w:val="auto"/>
        </w:rPr>
        <w:t xml:space="preserve">, </w:t>
      </w:r>
      <w:r w:rsidRPr="005E559E">
        <w:rPr>
          <w:color w:val="auto"/>
        </w:rPr>
        <w:t xml:space="preserve"> </w:t>
      </w:r>
      <w:proofErr w:type="spellStart"/>
      <w:r w:rsidRPr="005E559E">
        <w:rPr>
          <w:color w:val="auto"/>
        </w:rPr>
        <w:t>Tomotherapy</w:t>
      </w:r>
      <w:proofErr w:type="spellEnd"/>
      <w:r w:rsidR="005631C2">
        <w:rPr>
          <w:color w:val="auto"/>
        </w:rPr>
        <w:t>, etc.</w:t>
      </w:r>
      <w:r w:rsidRPr="005E559E">
        <w:rPr>
          <w:color w:val="auto"/>
        </w:rPr>
        <w:t xml:space="preserve">) are allowed provided that the units meet the technical specifications of the protocol and are used in a fashion that passes any credentialing required by the protocol.  Conventional linear accelerators without add-on image-guided radiation therapy (IGRT) must have some other IGRT capability such as orthogonal 2-dimensional KV or CT-on-rails in the treatment room. </w:t>
      </w:r>
    </w:p>
    <w:p w14:paraId="6AF40756" w14:textId="77777777" w:rsidR="00A7177C" w:rsidRPr="005E559E" w:rsidRDefault="00A7177C" w:rsidP="00A7177C">
      <w:pPr>
        <w:rPr>
          <w:color w:val="auto"/>
        </w:rPr>
      </w:pPr>
    </w:p>
    <w:p w14:paraId="616B68B2" w14:textId="06EFD019" w:rsidR="007D1BCA" w:rsidRPr="005E559E" w:rsidRDefault="00A7177C" w:rsidP="007D1BCA">
      <w:pPr>
        <w:rPr>
          <w:color w:val="auto"/>
        </w:rPr>
      </w:pPr>
      <w:r w:rsidRPr="005E559E">
        <w:rPr>
          <w:color w:val="auto"/>
        </w:rPr>
        <w:t xml:space="preserve">IMRT (including </w:t>
      </w:r>
      <w:r w:rsidR="00CE3441">
        <w:rPr>
          <w:color w:val="auto"/>
        </w:rPr>
        <w:t>VMAT</w:t>
      </w:r>
      <w:r w:rsidRPr="005E559E">
        <w:rPr>
          <w:color w:val="auto"/>
        </w:rPr>
        <w:t xml:space="preserve">) are all acceptable planning techniques. </w:t>
      </w:r>
      <w:r w:rsidR="008020C0" w:rsidRPr="005E559E">
        <w:rPr>
          <w:color w:val="auto"/>
        </w:rPr>
        <w:t xml:space="preserve"> </w:t>
      </w:r>
      <w:r w:rsidRPr="005E559E">
        <w:rPr>
          <w:color w:val="auto"/>
        </w:rPr>
        <w:t xml:space="preserve">IMRT is regarded here as a 3-D conformal treatment. </w:t>
      </w:r>
      <w:r w:rsidR="00115575" w:rsidRPr="005E559E">
        <w:rPr>
          <w:color w:val="auto"/>
        </w:rPr>
        <w:t xml:space="preserve"> </w:t>
      </w:r>
      <w:r w:rsidRPr="005E559E">
        <w:rPr>
          <w:color w:val="auto"/>
        </w:rPr>
        <w:t xml:space="preserve">IMRT can result in </w:t>
      </w:r>
      <w:proofErr w:type="spellStart"/>
      <w:r w:rsidRPr="005E559E">
        <w:rPr>
          <w:color w:val="auto"/>
        </w:rPr>
        <w:t>dosimetric</w:t>
      </w:r>
      <w:proofErr w:type="spellEnd"/>
      <w:r w:rsidRPr="005E559E">
        <w:rPr>
          <w:color w:val="auto"/>
        </w:rPr>
        <w:t xml:space="preserve"> inaccuracies especially in circumstances where tumor motion is either unknown or not properly accounted. </w:t>
      </w:r>
      <w:r w:rsidR="00115575" w:rsidRPr="005E559E">
        <w:rPr>
          <w:color w:val="auto"/>
        </w:rPr>
        <w:t xml:space="preserve"> </w:t>
      </w:r>
      <w:r w:rsidRPr="005E559E">
        <w:rPr>
          <w:color w:val="auto"/>
        </w:rPr>
        <w:t xml:space="preserve">When required for successful compliance, IMRT should only be utilized if tumor motion is less than five millimeters (5 mm), or, if motion management inherently diminishes motion effects (e.g., gating, breath hold, or tracking). </w:t>
      </w:r>
      <w:r w:rsidR="008020C0" w:rsidRPr="005E559E">
        <w:rPr>
          <w:color w:val="auto"/>
        </w:rPr>
        <w:t xml:space="preserve"> </w:t>
      </w:r>
      <w:r w:rsidRPr="005E559E">
        <w:rPr>
          <w:color w:val="auto"/>
        </w:rPr>
        <w:t>Planning techniques may differ for each lesion to be treated provided that the tumor motion is properly accounted for with each technique.</w:t>
      </w:r>
    </w:p>
    <w:p w14:paraId="3C257DDE" w14:textId="77777777" w:rsidR="007D1BCA" w:rsidRPr="005E559E" w:rsidRDefault="007D1BCA" w:rsidP="007D1BCA">
      <w:pPr>
        <w:rPr>
          <w:color w:val="auto"/>
        </w:rPr>
      </w:pPr>
    </w:p>
    <w:p w14:paraId="4E9BB674" w14:textId="3D153C7B" w:rsidR="00B85FEF" w:rsidRPr="005E559E" w:rsidRDefault="00B85FEF" w:rsidP="00B85FEF">
      <w:pPr>
        <w:pStyle w:val="Level5Heading"/>
        <w:rPr>
          <w:color w:val="auto"/>
        </w:rPr>
      </w:pPr>
      <w:r w:rsidRPr="005E559E">
        <w:rPr>
          <w:color w:val="auto"/>
        </w:rPr>
        <w:lastRenderedPageBreak/>
        <w:t xml:space="preserve">Minimum Field </w:t>
      </w:r>
      <w:r w:rsidR="00C301A2" w:rsidRPr="005E559E">
        <w:rPr>
          <w:color w:val="auto"/>
        </w:rPr>
        <w:t>Aperture</w:t>
      </w:r>
      <w:r w:rsidRPr="005E559E">
        <w:rPr>
          <w:color w:val="auto"/>
        </w:rPr>
        <w:t xml:space="preserve"> (Field Size) Dimension for IMRT Treatment</w:t>
      </w:r>
    </w:p>
    <w:p w14:paraId="7E098CB3" w14:textId="77777777" w:rsidR="007D1BCA" w:rsidRPr="005E559E" w:rsidRDefault="007D1BCA" w:rsidP="007D1BCA">
      <w:pPr>
        <w:rPr>
          <w:color w:val="auto"/>
        </w:rPr>
      </w:pPr>
    </w:p>
    <w:p w14:paraId="550E1AF5" w14:textId="68331FF4" w:rsidR="007D1BCA" w:rsidRPr="005E559E" w:rsidRDefault="00967AA5" w:rsidP="007D1BCA">
      <w:pPr>
        <w:rPr>
          <w:color w:val="auto"/>
        </w:rPr>
      </w:pPr>
      <w:r w:rsidRPr="005E559E">
        <w:rPr>
          <w:color w:val="auto"/>
        </w:rPr>
        <w:t xml:space="preserve">Because of uncertainties in beam commissioning resulting from electronic disequilibrium within small beam apertures, </w:t>
      </w:r>
      <w:r w:rsidR="00F43E61">
        <w:rPr>
          <w:color w:val="auto"/>
        </w:rPr>
        <w:t xml:space="preserve">the minimum field size should not be smaller than 2cm x 2cm. The </w:t>
      </w:r>
      <w:r w:rsidRPr="005E559E">
        <w:rPr>
          <w:color w:val="auto"/>
        </w:rPr>
        <w:t>prescription dose is prescribed to the edge of the defined planning treatment volume</w:t>
      </w:r>
      <w:r w:rsidR="004A2590">
        <w:rPr>
          <w:color w:val="auto"/>
        </w:rPr>
        <w:t xml:space="preserve"> (PTV)</w:t>
      </w:r>
      <w:r w:rsidRPr="005E559E">
        <w:rPr>
          <w:color w:val="auto"/>
        </w:rPr>
        <w:t xml:space="preserve">.  </w:t>
      </w:r>
    </w:p>
    <w:p w14:paraId="730E9962" w14:textId="77777777" w:rsidR="007D1BCA" w:rsidRPr="005E559E" w:rsidRDefault="007D1BCA" w:rsidP="007D1BCA">
      <w:pPr>
        <w:rPr>
          <w:color w:val="auto"/>
        </w:rPr>
      </w:pPr>
    </w:p>
    <w:p w14:paraId="2C35892E" w14:textId="0A1E51E7" w:rsidR="00B85FEF" w:rsidRPr="005E559E" w:rsidRDefault="00B85FEF" w:rsidP="00B85FEF">
      <w:pPr>
        <w:pStyle w:val="Level5Heading"/>
        <w:rPr>
          <w:color w:val="auto"/>
        </w:rPr>
      </w:pPr>
      <w:r w:rsidRPr="005E559E">
        <w:rPr>
          <w:color w:val="auto"/>
        </w:rPr>
        <w:t>Patient Positioning</w:t>
      </w:r>
    </w:p>
    <w:p w14:paraId="51B12669" w14:textId="77777777" w:rsidR="007D1BCA" w:rsidRPr="005E559E" w:rsidRDefault="007D1BCA" w:rsidP="007D1BCA">
      <w:pPr>
        <w:rPr>
          <w:color w:val="auto"/>
        </w:rPr>
      </w:pPr>
    </w:p>
    <w:p w14:paraId="6C4D5898" w14:textId="49FF3A52" w:rsidR="00401734" w:rsidRPr="005E559E" w:rsidRDefault="00401734" w:rsidP="00401734">
      <w:pPr>
        <w:rPr>
          <w:color w:val="auto"/>
        </w:rPr>
      </w:pPr>
      <w:r w:rsidRPr="005E559E">
        <w:rPr>
          <w:color w:val="auto"/>
        </w:rPr>
        <w:t xml:space="preserve">Patients will be positioned in a stable position for accurate reproducibility of the target position during treatment and between treatments.  Positions uncomfortable for the patient should be avoided so as to minimize uncontrolled movement during treatment.  Immobilization must be reliable to ensure that the gross tumor volume (GTV) does not deviate beyond the confines of the PTV.  </w:t>
      </w:r>
      <w:r w:rsidR="00847D21">
        <w:rPr>
          <w:color w:val="auto"/>
        </w:rPr>
        <w:t xml:space="preserve">All patients will be positioned with </w:t>
      </w:r>
      <w:r w:rsidR="005C3C37">
        <w:rPr>
          <w:color w:val="auto"/>
        </w:rPr>
        <w:t>rigid immobilization and daily image guidance to ensure positioning accuracy</w:t>
      </w:r>
      <w:r w:rsidR="00302BA9">
        <w:rPr>
          <w:color w:val="auto"/>
        </w:rPr>
        <w:t xml:space="preserve"> and a magnitude that justifies the PTV margin applied. </w:t>
      </w:r>
    </w:p>
    <w:p w14:paraId="1C355488" w14:textId="77777777" w:rsidR="009E4266" w:rsidRPr="005E559E" w:rsidRDefault="009E4266" w:rsidP="00724DD8">
      <w:pPr>
        <w:suppressAutoHyphens/>
        <w:rPr>
          <w:color w:val="auto"/>
        </w:rPr>
      </w:pPr>
    </w:p>
    <w:p w14:paraId="55091D7C" w14:textId="5008F132" w:rsidR="003B3C4F" w:rsidRPr="005E559E" w:rsidRDefault="00E32F8D" w:rsidP="004F5680">
      <w:pPr>
        <w:pStyle w:val="Level4Heading"/>
        <w:suppressAutoHyphens/>
        <w:rPr>
          <w:color w:val="auto"/>
        </w:rPr>
      </w:pPr>
      <w:r>
        <w:rPr>
          <w:color w:val="auto"/>
        </w:rPr>
        <w:t>Radiation</w:t>
      </w:r>
      <w:r w:rsidR="004F5680" w:rsidRPr="005E559E">
        <w:rPr>
          <w:color w:val="auto"/>
        </w:rPr>
        <w:t xml:space="preserve"> Simulation and Planning</w:t>
      </w:r>
    </w:p>
    <w:p w14:paraId="61CE0AC0" w14:textId="77777777" w:rsidR="004F5680" w:rsidRPr="005E559E" w:rsidRDefault="004F5680" w:rsidP="00724DD8">
      <w:pPr>
        <w:suppressAutoHyphens/>
        <w:rPr>
          <w:color w:val="auto"/>
        </w:rPr>
      </w:pPr>
    </w:p>
    <w:p w14:paraId="77FB281F" w14:textId="3CA172A1" w:rsidR="002A5201" w:rsidRPr="005E559E" w:rsidRDefault="002A5201" w:rsidP="002A5201">
      <w:pPr>
        <w:suppressAutoHyphens/>
        <w:rPr>
          <w:color w:val="auto"/>
        </w:rPr>
      </w:pPr>
      <w:r w:rsidRPr="005E559E">
        <w:rPr>
          <w:color w:val="auto"/>
        </w:rPr>
        <w:t xml:space="preserve">The patient will undergo a treatment planning simulation.  All patients will be immobilized using customized devices like a </w:t>
      </w:r>
      <w:r w:rsidR="007C64F3">
        <w:rPr>
          <w:color w:val="auto"/>
        </w:rPr>
        <w:t xml:space="preserve">fitted </w:t>
      </w:r>
      <w:r w:rsidR="00A720BC">
        <w:rPr>
          <w:color w:val="auto"/>
        </w:rPr>
        <w:t xml:space="preserve">mask </w:t>
      </w:r>
      <w:r w:rsidRPr="005E559E">
        <w:rPr>
          <w:color w:val="auto"/>
        </w:rPr>
        <w:t xml:space="preserve">(conforming to patients’ external contours) with reference to the referent coordinate system per institutional routine in order to prevent any inadvertent patient motion during external beam radiation treatment. </w:t>
      </w:r>
      <w:r w:rsidR="00404395" w:rsidRPr="005E559E">
        <w:rPr>
          <w:color w:val="auto"/>
        </w:rPr>
        <w:t xml:space="preserve"> </w:t>
      </w:r>
      <w:r w:rsidR="00173814">
        <w:rPr>
          <w:color w:val="auto"/>
        </w:rPr>
        <w:t>An MRI an</w:t>
      </w:r>
      <w:r w:rsidR="00B60679">
        <w:rPr>
          <w:color w:val="auto"/>
        </w:rPr>
        <w:t xml:space="preserve">d/or CT scan will be obtained with the patient in the immobilized treatment position and required for treatment planning. </w:t>
      </w:r>
    </w:p>
    <w:p w14:paraId="78569F46" w14:textId="78157AD6" w:rsidR="004517BC" w:rsidRPr="005E559E" w:rsidRDefault="002A5201" w:rsidP="002A5201">
      <w:pPr>
        <w:suppressAutoHyphens/>
        <w:rPr>
          <w:color w:val="auto"/>
        </w:rPr>
      </w:pPr>
      <w:r w:rsidRPr="005E559E">
        <w:rPr>
          <w:color w:val="auto"/>
        </w:rPr>
        <w:t xml:space="preserve">CT scan range must allow simultaneous view of the patient anatomy and any fiducial system for tumor targeting (if used) and be adequate to ensure contouring of all targeted cancers, as well as necessary organs at risk (OAR), as defined below. </w:t>
      </w:r>
      <w:r w:rsidR="00404395" w:rsidRPr="005E559E">
        <w:rPr>
          <w:color w:val="auto"/>
        </w:rPr>
        <w:t xml:space="preserve"> </w:t>
      </w:r>
      <w:r w:rsidRPr="005E559E">
        <w:rPr>
          <w:color w:val="auto"/>
        </w:rPr>
        <w:t>High-resolution CT scans should be obtained with uniform slice thickness of less than or equal to three millimeters (≤3 mm).</w:t>
      </w:r>
    </w:p>
    <w:p w14:paraId="00E34A1E" w14:textId="77777777" w:rsidR="004517BC" w:rsidRPr="005E559E" w:rsidRDefault="004517BC" w:rsidP="002A5201">
      <w:pPr>
        <w:suppressAutoHyphens/>
        <w:rPr>
          <w:color w:val="auto"/>
        </w:rPr>
      </w:pPr>
    </w:p>
    <w:p w14:paraId="03C38DD1" w14:textId="08F4A880" w:rsidR="002A5201" w:rsidRPr="005E559E" w:rsidRDefault="002A5201" w:rsidP="002A5201">
      <w:pPr>
        <w:suppressAutoHyphens/>
        <w:rPr>
          <w:color w:val="auto"/>
        </w:rPr>
      </w:pPr>
      <w:r w:rsidRPr="005E559E">
        <w:rPr>
          <w:color w:val="auto"/>
        </w:rPr>
        <w:t>The target lesion(s) should be outlined by an appropriately trained physician and designated the gross tumor volume (GTV).</w:t>
      </w:r>
      <w:r w:rsidR="004517BC" w:rsidRPr="005E559E">
        <w:rPr>
          <w:color w:val="auto"/>
        </w:rPr>
        <w:t xml:space="preserve"> </w:t>
      </w:r>
      <w:r w:rsidRPr="005E559E">
        <w:rPr>
          <w:color w:val="auto"/>
        </w:rPr>
        <w:t xml:space="preserve"> The </w:t>
      </w:r>
      <w:r w:rsidR="002A62FA">
        <w:rPr>
          <w:color w:val="auto"/>
        </w:rPr>
        <w:t xml:space="preserve">GTV will be defined using contrast-enhanced CT and/or MRI images. </w:t>
      </w:r>
      <w:r w:rsidR="00225D8B">
        <w:rPr>
          <w:color w:val="auto"/>
        </w:rPr>
        <w:t xml:space="preserve"> </w:t>
      </w:r>
      <w:r w:rsidR="00A87DCF">
        <w:rPr>
          <w:color w:val="auto"/>
        </w:rPr>
        <w:t xml:space="preserve">For patients who underwent resection for recurrent disease and there is no residual enhancing tumor noted, the post-operative resection cavity will be outlined. </w:t>
      </w:r>
      <w:r w:rsidR="00225D8B">
        <w:rPr>
          <w:color w:val="auto"/>
        </w:rPr>
        <w:t xml:space="preserve"> </w:t>
      </w:r>
      <w:r w:rsidR="00F232C5">
        <w:rPr>
          <w:color w:val="auto"/>
        </w:rPr>
        <w:t xml:space="preserve">No additional clinical target volume (CTV) expansion </w:t>
      </w:r>
      <w:r w:rsidR="000D6985">
        <w:rPr>
          <w:color w:val="auto"/>
        </w:rPr>
        <w:t>is</w:t>
      </w:r>
      <w:r w:rsidR="00F232C5">
        <w:rPr>
          <w:color w:val="auto"/>
        </w:rPr>
        <w:t xml:space="preserve"> required. </w:t>
      </w:r>
      <w:r w:rsidR="00225D8B">
        <w:rPr>
          <w:color w:val="auto"/>
        </w:rPr>
        <w:t xml:space="preserve"> </w:t>
      </w:r>
      <w:r w:rsidR="00A52B85">
        <w:rPr>
          <w:color w:val="auto"/>
        </w:rPr>
        <w:t xml:space="preserve">An expansion of no more than 5 mm is optional for lesions measuring less than 3.5cm in maximal diameter and must be reported when used. </w:t>
      </w:r>
      <w:r w:rsidR="00225D8B">
        <w:rPr>
          <w:color w:val="auto"/>
        </w:rPr>
        <w:t xml:space="preserve"> </w:t>
      </w:r>
      <w:r w:rsidR="00CF10A6">
        <w:rPr>
          <w:color w:val="auto"/>
        </w:rPr>
        <w:t xml:space="preserve">A planning target volume (PTV) expansion is based on image guidance and immobilization. </w:t>
      </w:r>
      <w:r w:rsidR="00225D8B">
        <w:rPr>
          <w:color w:val="auto"/>
        </w:rPr>
        <w:t xml:space="preserve"> </w:t>
      </w:r>
      <w:r w:rsidR="00CF10A6">
        <w:rPr>
          <w:color w:val="auto"/>
        </w:rPr>
        <w:t xml:space="preserve">Regardless of methods, the PTV expansion should be </w:t>
      </w:r>
      <w:r w:rsidR="00817E78">
        <w:rPr>
          <w:color w:val="auto"/>
        </w:rPr>
        <w:t>between 3-5 mm or per institutional standards.</w:t>
      </w:r>
    </w:p>
    <w:p w14:paraId="4F75D16E" w14:textId="77777777" w:rsidR="002A5201" w:rsidRPr="005E559E" w:rsidRDefault="002A5201" w:rsidP="00724DD8">
      <w:pPr>
        <w:suppressAutoHyphens/>
        <w:rPr>
          <w:color w:val="auto"/>
        </w:rPr>
      </w:pPr>
    </w:p>
    <w:p w14:paraId="5F134917" w14:textId="1604A587" w:rsidR="00427C87" w:rsidRPr="005E559E" w:rsidRDefault="00BD2140" w:rsidP="00427C87">
      <w:pPr>
        <w:pStyle w:val="Level4Heading"/>
        <w:suppressAutoHyphens/>
        <w:rPr>
          <w:color w:val="auto"/>
        </w:rPr>
      </w:pPr>
      <w:r>
        <w:rPr>
          <w:color w:val="auto"/>
        </w:rPr>
        <w:t>Radiation</w:t>
      </w:r>
      <w:r w:rsidR="00427C87" w:rsidRPr="005E559E">
        <w:rPr>
          <w:color w:val="auto"/>
        </w:rPr>
        <w:t xml:space="preserve"> Treatment Planning Technique</w:t>
      </w:r>
    </w:p>
    <w:p w14:paraId="7B48D879" w14:textId="77777777" w:rsidR="00427C87" w:rsidRPr="005E559E" w:rsidRDefault="00427C87" w:rsidP="00724DD8">
      <w:pPr>
        <w:suppressAutoHyphens/>
        <w:rPr>
          <w:color w:val="auto"/>
        </w:rPr>
      </w:pPr>
    </w:p>
    <w:p w14:paraId="07A87405" w14:textId="26990578" w:rsidR="00427C87" w:rsidRPr="005E559E" w:rsidRDefault="00427C87" w:rsidP="00427C87">
      <w:pPr>
        <w:pStyle w:val="Level5Heading"/>
        <w:rPr>
          <w:color w:val="auto"/>
        </w:rPr>
      </w:pPr>
      <w:r w:rsidRPr="005E559E">
        <w:rPr>
          <w:color w:val="auto"/>
        </w:rPr>
        <w:t>Planning Parameters</w:t>
      </w:r>
    </w:p>
    <w:p w14:paraId="2C93365B" w14:textId="77777777" w:rsidR="00427C87" w:rsidRPr="005E559E" w:rsidRDefault="00427C87" w:rsidP="00724DD8">
      <w:pPr>
        <w:suppressAutoHyphens/>
        <w:rPr>
          <w:color w:val="auto"/>
        </w:rPr>
      </w:pPr>
    </w:p>
    <w:p w14:paraId="717E3E2A" w14:textId="105579AB" w:rsidR="000D1335" w:rsidRPr="005E559E" w:rsidRDefault="00BD2140" w:rsidP="00724DD8">
      <w:pPr>
        <w:suppressAutoHyphens/>
        <w:rPr>
          <w:color w:val="auto"/>
        </w:rPr>
      </w:pPr>
      <w:r>
        <w:rPr>
          <w:color w:val="auto"/>
        </w:rPr>
        <w:t xml:space="preserve">Multiple, </w:t>
      </w:r>
      <w:r w:rsidR="00057969" w:rsidRPr="005E559E">
        <w:rPr>
          <w:color w:val="auto"/>
        </w:rPr>
        <w:t xml:space="preserve">non-coplanar beam arrangements </w:t>
      </w:r>
      <w:r>
        <w:rPr>
          <w:color w:val="auto"/>
        </w:rPr>
        <w:t xml:space="preserve">or arc-based therapy </w:t>
      </w:r>
      <w:r w:rsidR="00631F35">
        <w:rPr>
          <w:color w:val="auto"/>
        </w:rPr>
        <w:t xml:space="preserve">is advised. </w:t>
      </w:r>
      <w:r w:rsidR="00057969" w:rsidRPr="005E559E">
        <w:rPr>
          <w:color w:val="auto"/>
        </w:rPr>
        <w:t xml:space="preserve"> When static beams are used, a minimum of four radiation beams should be used (but other techniques are permissible if dose constraints are met).  For arc rotation techniques, a minimum of 340 degrees (cumulative for all beams) should be utilized.  </w:t>
      </w:r>
      <w:r w:rsidR="004B7519">
        <w:rPr>
          <w:color w:val="auto"/>
        </w:rPr>
        <w:t>The minimum field size used s</w:t>
      </w:r>
      <w:r w:rsidR="00FB7599">
        <w:rPr>
          <w:color w:val="auto"/>
        </w:rPr>
        <w:t xml:space="preserve">hould be consistent </w:t>
      </w:r>
      <w:r w:rsidR="00FB7599">
        <w:rPr>
          <w:color w:val="auto"/>
        </w:rPr>
        <w:lastRenderedPageBreak/>
        <w:t>with the minimum field size commissioned for use at the institution and sho</w:t>
      </w:r>
      <w:r w:rsidR="00B9166E">
        <w:rPr>
          <w:color w:val="auto"/>
        </w:rPr>
        <w:t>uld not be smaller than 2cm x 2cm.</w:t>
      </w:r>
      <w:r w:rsidR="00225D8B">
        <w:rPr>
          <w:color w:val="auto"/>
        </w:rPr>
        <w:t xml:space="preserve">  </w:t>
      </w:r>
      <w:r w:rsidR="00057969" w:rsidRPr="005E559E">
        <w:rPr>
          <w:color w:val="auto"/>
        </w:rPr>
        <w:t>Prescription lines covering the PTV will typically range between 95-100% line; however, higher isodose line hotspots must be manipulated to occur within the target and not in adjacent normal tissue.</w:t>
      </w:r>
    </w:p>
    <w:p w14:paraId="0F1B0F83" w14:textId="77777777" w:rsidR="002B5826" w:rsidRPr="005E559E" w:rsidRDefault="002B5826" w:rsidP="002B5826">
      <w:pPr>
        <w:suppressAutoHyphens/>
        <w:rPr>
          <w:b/>
          <w:color w:val="auto"/>
        </w:rPr>
      </w:pPr>
    </w:p>
    <w:p w14:paraId="1C2EC598" w14:textId="70932277" w:rsidR="002B5826" w:rsidRPr="005E559E" w:rsidRDefault="002B5826" w:rsidP="002B5826">
      <w:pPr>
        <w:suppressAutoHyphens/>
        <w:rPr>
          <w:b/>
          <w:color w:val="auto"/>
        </w:rPr>
      </w:pPr>
      <w:r w:rsidRPr="005E559E">
        <w:rPr>
          <w:b/>
          <w:color w:val="auto"/>
        </w:rPr>
        <w:t xml:space="preserve">Planning Priorities: </w:t>
      </w:r>
      <w:r w:rsidRPr="005E559E">
        <w:rPr>
          <w:color w:val="auto"/>
        </w:rPr>
        <w:t xml:space="preserve">Every attempt should be made to successfully satisfy all of the planning goals and OAR criteria without deviation. In some circumstances, it may not be possible to meet all the ideal criteria leading to plans with an acceptable deviation. </w:t>
      </w:r>
      <w:r w:rsidR="009346BA">
        <w:rPr>
          <w:color w:val="auto"/>
        </w:rPr>
        <w:t xml:space="preserve"> </w:t>
      </w:r>
      <w:r w:rsidR="00044DF6">
        <w:rPr>
          <w:color w:val="auto"/>
        </w:rPr>
        <w:t>Special consideration should be given to avoid exit dose through the oral cavity and mucosa</w:t>
      </w:r>
      <w:r w:rsidR="00BC4D25">
        <w:rPr>
          <w:color w:val="auto"/>
        </w:rPr>
        <w:t xml:space="preserve"> as well as avoid doses greater than the prescription dose within the scalp.</w:t>
      </w:r>
    </w:p>
    <w:p w14:paraId="495F2A1D" w14:textId="77777777" w:rsidR="002B5826" w:rsidRPr="005E559E" w:rsidRDefault="002B5826" w:rsidP="002B5826">
      <w:pPr>
        <w:suppressAutoHyphens/>
        <w:rPr>
          <w:color w:val="auto"/>
        </w:rPr>
      </w:pPr>
    </w:p>
    <w:p w14:paraId="62DF88D4" w14:textId="4D1DB197" w:rsidR="002B5826" w:rsidRPr="005E559E" w:rsidRDefault="002B5826" w:rsidP="002B5826">
      <w:pPr>
        <w:suppressAutoHyphens/>
        <w:rPr>
          <w:b/>
          <w:color w:val="auto"/>
        </w:rPr>
      </w:pPr>
      <w:r w:rsidRPr="005E559E">
        <w:rPr>
          <w:b/>
          <w:color w:val="auto"/>
        </w:rPr>
        <w:t>Organs at Risk (OAR):</w:t>
      </w:r>
      <w:r w:rsidRPr="005E559E">
        <w:rPr>
          <w:color w:val="auto"/>
        </w:rPr>
        <w:t xml:space="preserve"> Protocol-specific OARs </w:t>
      </w:r>
      <w:r w:rsidR="00E820C4">
        <w:rPr>
          <w:color w:val="auto"/>
        </w:rPr>
        <w:t xml:space="preserve">that should be </w:t>
      </w:r>
      <w:r w:rsidRPr="005E559E">
        <w:rPr>
          <w:color w:val="auto"/>
        </w:rPr>
        <w:t>contoured</w:t>
      </w:r>
      <w:r w:rsidR="00563E4D">
        <w:rPr>
          <w:color w:val="auto"/>
        </w:rPr>
        <w:t xml:space="preserve"> are listed below.</w:t>
      </w:r>
      <w:r w:rsidR="009346BA">
        <w:rPr>
          <w:color w:val="auto"/>
        </w:rPr>
        <w:t xml:space="preserve"> </w:t>
      </w:r>
      <w:r w:rsidR="00563E4D">
        <w:rPr>
          <w:color w:val="auto"/>
        </w:rPr>
        <w:t xml:space="preserve"> A </w:t>
      </w:r>
      <w:r w:rsidR="00EF33F4">
        <w:rPr>
          <w:color w:val="auto"/>
        </w:rPr>
        <w:t xml:space="preserve">minimum </w:t>
      </w:r>
      <w:r w:rsidR="00563E4D">
        <w:rPr>
          <w:color w:val="auto"/>
        </w:rPr>
        <w:t>planning risk volume (PRV) expansion</w:t>
      </w:r>
      <w:r w:rsidR="00EF33F4">
        <w:rPr>
          <w:color w:val="auto"/>
        </w:rPr>
        <w:t xml:space="preserve"> of 3mm </w:t>
      </w:r>
      <w:r w:rsidR="008D0C91">
        <w:rPr>
          <w:color w:val="auto"/>
        </w:rPr>
        <w:t>is recommended</w:t>
      </w:r>
      <w:r w:rsidR="00EF33F4">
        <w:rPr>
          <w:color w:val="auto"/>
        </w:rPr>
        <w:t xml:space="preserve"> for optic chiasm and optic nerves</w:t>
      </w:r>
      <w:r w:rsidR="00793897" w:rsidRPr="005E559E">
        <w:rPr>
          <w:color w:val="auto"/>
        </w:rPr>
        <w:t>:</w:t>
      </w:r>
    </w:p>
    <w:p w14:paraId="45E27AAB" w14:textId="127928A4" w:rsidR="001F5D89" w:rsidRDefault="001F5D89" w:rsidP="00562B10">
      <w:pPr>
        <w:numPr>
          <w:ilvl w:val="0"/>
          <w:numId w:val="91"/>
        </w:numPr>
        <w:suppressAutoHyphens/>
        <w:rPr>
          <w:color w:val="auto"/>
        </w:rPr>
      </w:pPr>
      <w:r>
        <w:rPr>
          <w:color w:val="auto"/>
        </w:rPr>
        <w:t>Brain</w:t>
      </w:r>
    </w:p>
    <w:p w14:paraId="5D95CA5E" w14:textId="347ACF59" w:rsidR="001F5D89" w:rsidRDefault="001F5D89" w:rsidP="00562B10">
      <w:pPr>
        <w:numPr>
          <w:ilvl w:val="0"/>
          <w:numId w:val="91"/>
        </w:numPr>
        <w:suppressAutoHyphens/>
        <w:rPr>
          <w:color w:val="auto"/>
        </w:rPr>
      </w:pPr>
      <w:r>
        <w:rPr>
          <w:color w:val="auto"/>
        </w:rPr>
        <w:t>Brainstem</w:t>
      </w:r>
    </w:p>
    <w:p w14:paraId="290F905D" w14:textId="33663275" w:rsidR="001F5D89" w:rsidRDefault="001F5D89" w:rsidP="00562B10">
      <w:pPr>
        <w:numPr>
          <w:ilvl w:val="0"/>
          <w:numId w:val="91"/>
        </w:numPr>
        <w:suppressAutoHyphens/>
        <w:rPr>
          <w:color w:val="auto"/>
        </w:rPr>
      </w:pPr>
      <w:r>
        <w:rPr>
          <w:color w:val="auto"/>
        </w:rPr>
        <w:t>Optic chiasm</w:t>
      </w:r>
    </w:p>
    <w:p w14:paraId="3B2E33C4" w14:textId="61609913" w:rsidR="001F5D89" w:rsidRDefault="001F5D89" w:rsidP="00562B10">
      <w:pPr>
        <w:numPr>
          <w:ilvl w:val="0"/>
          <w:numId w:val="91"/>
        </w:numPr>
        <w:suppressAutoHyphens/>
        <w:rPr>
          <w:color w:val="auto"/>
        </w:rPr>
      </w:pPr>
      <w:r>
        <w:rPr>
          <w:color w:val="auto"/>
        </w:rPr>
        <w:t>Optic nerves</w:t>
      </w:r>
    </w:p>
    <w:p w14:paraId="37764423" w14:textId="77777777" w:rsidR="00427C87" w:rsidRPr="005E559E" w:rsidRDefault="00427C87" w:rsidP="00724DD8">
      <w:pPr>
        <w:suppressAutoHyphens/>
        <w:rPr>
          <w:color w:val="auto"/>
        </w:rPr>
      </w:pPr>
    </w:p>
    <w:p w14:paraId="07199F27" w14:textId="7635E7C1" w:rsidR="002B5826" w:rsidRPr="005E559E" w:rsidRDefault="002B5826" w:rsidP="002B5826">
      <w:pPr>
        <w:pStyle w:val="Level4Heading"/>
        <w:suppressAutoHyphens/>
        <w:rPr>
          <w:color w:val="auto"/>
        </w:rPr>
      </w:pPr>
      <w:r w:rsidRPr="005E559E">
        <w:rPr>
          <w:color w:val="auto"/>
        </w:rPr>
        <w:t xml:space="preserve">Radiation </w:t>
      </w:r>
      <w:r w:rsidR="000C6D1A">
        <w:rPr>
          <w:color w:val="auto"/>
        </w:rPr>
        <w:t xml:space="preserve">Planning Goals and </w:t>
      </w:r>
      <w:r w:rsidRPr="005E559E">
        <w:rPr>
          <w:color w:val="auto"/>
        </w:rPr>
        <w:t>Dose Constraints</w:t>
      </w:r>
    </w:p>
    <w:p w14:paraId="4D7DF9A0" w14:textId="77777777" w:rsidR="00E22D90" w:rsidRPr="005E559E" w:rsidRDefault="00E22D90" w:rsidP="00E22D90">
      <w:pPr>
        <w:rPr>
          <w:color w:val="auto"/>
        </w:rPr>
      </w:pPr>
    </w:p>
    <w:p w14:paraId="278C2D65" w14:textId="1892C25E" w:rsidR="000C6D1A" w:rsidRDefault="00B76C1F" w:rsidP="000A21F5">
      <w:pPr>
        <w:rPr>
          <w:iCs/>
          <w:color w:val="auto"/>
        </w:rPr>
      </w:pPr>
      <w:r>
        <w:rPr>
          <w:iCs/>
          <w:color w:val="auto"/>
        </w:rPr>
        <w:t>Two scenarios for normal tissue limits are considered:</w:t>
      </w:r>
      <w:r w:rsidR="00F72610">
        <w:rPr>
          <w:iCs/>
          <w:color w:val="auto"/>
        </w:rPr>
        <w:t xml:space="preserve"> </w:t>
      </w:r>
      <w:r>
        <w:rPr>
          <w:iCs/>
          <w:color w:val="auto"/>
        </w:rPr>
        <w:t xml:space="preserve"> (1) No previous radiation to the local area or OAR (2) Prev</w:t>
      </w:r>
      <w:r w:rsidR="00A9418A">
        <w:rPr>
          <w:iCs/>
          <w:color w:val="auto"/>
        </w:rPr>
        <w:t xml:space="preserve">ious radiation to the local area or OAR. </w:t>
      </w:r>
      <w:r w:rsidR="00F72610">
        <w:rPr>
          <w:iCs/>
          <w:color w:val="auto"/>
        </w:rPr>
        <w:t xml:space="preserve"> </w:t>
      </w:r>
      <w:r w:rsidR="00A9418A">
        <w:rPr>
          <w:iCs/>
          <w:color w:val="auto"/>
        </w:rPr>
        <w:t>The OAR limits for both scenarios are provided in the following table.</w:t>
      </w:r>
    </w:p>
    <w:p w14:paraId="71073371" w14:textId="77777777" w:rsidR="000C6D1A" w:rsidRPr="00633B7E" w:rsidRDefault="000C6D1A" w:rsidP="000A21F5">
      <w:pPr>
        <w:rPr>
          <w:i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2250"/>
        <w:gridCol w:w="2700"/>
        <w:gridCol w:w="2430"/>
      </w:tblGrid>
      <w:tr w:rsidR="00160620" w:rsidRPr="005E559E" w14:paraId="4057ACE0" w14:textId="77777777" w:rsidTr="005640E0">
        <w:trPr>
          <w:tblHeader/>
        </w:trPr>
        <w:tc>
          <w:tcPr>
            <w:tcW w:w="1795" w:type="dxa"/>
            <w:shd w:val="clear" w:color="auto" w:fill="F2F2F2"/>
          </w:tcPr>
          <w:p w14:paraId="6ED2523A" w14:textId="77777777" w:rsidR="00160620" w:rsidRPr="005E559E" w:rsidRDefault="00160620" w:rsidP="000A21F5">
            <w:pPr>
              <w:rPr>
                <w:color w:val="auto"/>
              </w:rPr>
            </w:pPr>
            <w:r w:rsidRPr="005E559E">
              <w:rPr>
                <w:color w:val="auto"/>
              </w:rPr>
              <w:t>Structures</w:t>
            </w:r>
          </w:p>
        </w:tc>
        <w:tc>
          <w:tcPr>
            <w:tcW w:w="2250" w:type="dxa"/>
            <w:shd w:val="clear" w:color="auto" w:fill="F2F2F2"/>
          </w:tcPr>
          <w:p w14:paraId="15A9647F" w14:textId="77777777" w:rsidR="00160620" w:rsidRPr="005E559E" w:rsidRDefault="00160620" w:rsidP="000A21F5">
            <w:pPr>
              <w:rPr>
                <w:color w:val="auto"/>
              </w:rPr>
            </w:pPr>
            <w:r w:rsidRPr="005E559E">
              <w:rPr>
                <w:color w:val="auto"/>
              </w:rPr>
              <w:t>Goal</w:t>
            </w:r>
          </w:p>
        </w:tc>
        <w:tc>
          <w:tcPr>
            <w:tcW w:w="2700" w:type="dxa"/>
            <w:shd w:val="clear" w:color="auto" w:fill="F2F2F2"/>
          </w:tcPr>
          <w:p w14:paraId="1E81257E" w14:textId="77777777" w:rsidR="00160620" w:rsidRPr="005E559E" w:rsidRDefault="00160620" w:rsidP="000A21F5">
            <w:pPr>
              <w:rPr>
                <w:color w:val="auto"/>
              </w:rPr>
            </w:pPr>
            <w:r w:rsidRPr="005E559E">
              <w:rPr>
                <w:color w:val="auto"/>
              </w:rPr>
              <w:t>Acceptable</w:t>
            </w:r>
          </w:p>
        </w:tc>
        <w:tc>
          <w:tcPr>
            <w:tcW w:w="2430" w:type="dxa"/>
            <w:shd w:val="clear" w:color="auto" w:fill="F2F2F2"/>
          </w:tcPr>
          <w:p w14:paraId="11248038" w14:textId="77777777" w:rsidR="00160620" w:rsidRPr="005E559E" w:rsidRDefault="00160620" w:rsidP="000A21F5">
            <w:pPr>
              <w:rPr>
                <w:color w:val="auto"/>
              </w:rPr>
            </w:pPr>
            <w:r w:rsidRPr="005E559E">
              <w:rPr>
                <w:color w:val="auto"/>
              </w:rPr>
              <w:t>Avoidance Endpoint</w:t>
            </w:r>
          </w:p>
        </w:tc>
      </w:tr>
      <w:tr w:rsidR="00160620" w:rsidRPr="005E559E" w14:paraId="62FEC220" w14:textId="77777777" w:rsidTr="005640E0">
        <w:tc>
          <w:tcPr>
            <w:tcW w:w="1795" w:type="dxa"/>
            <w:shd w:val="clear" w:color="auto" w:fill="auto"/>
          </w:tcPr>
          <w:p w14:paraId="70A90608" w14:textId="0B39A603" w:rsidR="00160620" w:rsidRPr="005E559E" w:rsidRDefault="00160620" w:rsidP="000A21F5">
            <w:pPr>
              <w:rPr>
                <w:color w:val="auto"/>
              </w:rPr>
            </w:pPr>
            <w:r>
              <w:rPr>
                <w:color w:val="auto"/>
              </w:rPr>
              <w:t xml:space="preserve">Optic nerves and optic chiasm </w:t>
            </w:r>
            <w:r w:rsidR="00761F77">
              <w:rPr>
                <w:color w:val="auto"/>
              </w:rPr>
              <w:t>PRV</w:t>
            </w:r>
          </w:p>
        </w:tc>
        <w:tc>
          <w:tcPr>
            <w:tcW w:w="2250" w:type="dxa"/>
            <w:shd w:val="clear" w:color="auto" w:fill="auto"/>
          </w:tcPr>
          <w:p w14:paraId="304AC392" w14:textId="118CE257" w:rsidR="00160620" w:rsidRPr="00633B7E" w:rsidRDefault="00160620" w:rsidP="000A21F5">
            <w:pPr>
              <w:rPr>
                <w:color w:val="auto"/>
              </w:rPr>
            </w:pPr>
            <w:r>
              <w:rPr>
                <w:color w:val="auto"/>
                <w:u w:val="single"/>
              </w:rPr>
              <w:t xml:space="preserve">No prior radiation: </w:t>
            </w:r>
            <w:r w:rsidR="00761F77">
              <w:rPr>
                <w:color w:val="auto"/>
                <w:u w:val="single"/>
              </w:rPr>
              <w:t xml:space="preserve">D0.03cc </w:t>
            </w:r>
            <w:r>
              <w:rPr>
                <w:color w:val="auto"/>
              </w:rPr>
              <w:t xml:space="preserve">≤ 35Gy </w:t>
            </w:r>
          </w:p>
          <w:p w14:paraId="65CFCB37" w14:textId="77777777" w:rsidR="00160620" w:rsidRDefault="00160620" w:rsidP="000A21F5">
            <w:pPr>
              <w:rPr>
                <w:color w:val="auto"/>
                <w:u w:val="single"/>
              </w:rPr>
            </w:pPr>
          </w:p>
          <w:p w14:paraId="197CDEC9" w14:textId="25CCDA81" w:rsidR="00160620" w:rsidRPr="00633B7E" w:rsidRDefault="00160620" w:rsidP="000A21F5">
            <w:pPr>
              <w:rPr>
                <w:color w:val="auto"/>
                <w:u w:val="single"/>
              </w:rPr>
            </w:pPr>
            <w:r>
              <w:rPr>
                <w:color w:val="auto"/>
                <w:u w:val="single"/>
              </w:rPr>
              <w:t xml:space="preserve">Prior radiation: </w:t>
            </w:r>
            <w:r w:rsidR="00761F77">
              <w:rPr>
                <w:color w:val="auto"/>
                <w:u w:val="single"/>
              </w:rPr>
              <w:t xml:space="preserve">D0.03cc </w:t>
            </w:r>
            <w:r>
              <w:rPr>
                <w:color w:val="auto"/>
              </w:rPr>
              <w:t>≤ 20Gy</w:t>
            </w:r>
          </w:p>
        </w:tc>
        <w:tc>
          <w:tcPr>
            <w:tcW w:w="2700" w:type="dxa"/>
            <w:shd w:val="clear" w:color="auto" w:fill="auto"/>
          </w:tcPr>
          <w:p w14:paraId="04732CAC" w14:textId="22E3DF3C" w:rsidR="00160620" w:rsidRPr="0005715D" w:rsidRDefault="00160620" w:rsidP="00CC11FC">
            <w:pPr>
              <w:rPr>
                <w:color w:val="auto"/>
              </w:rPr>
            </w:pPr>
            <w:r>
              <w:rPr>
                <w:color w:val="auto"/>
                <w:u w:val="single"/>
              </w:rPr>
              <w:t xml:space="preserve">No prior radiation: </w:t>
            </w:r>
            <w:r w:rsidR="00761F77">
              <w:rPr>
                <w:color w:val="auto"/>
                <w:u w:val="single"/>
              </w:rPr>
              <w:t xml:space="preserve">D0.03cc </w:t>
            </w:r>
            <w:r>
              <w:rPr>
                <w:color w:val="auto"/>
              </w:rPr>
              <w:t xml:space="preserve">&gt; 35Gy but ≤ 36.75Gy </w:t>
            </w:r>
          </w:p>
          <w:p w14:paraId="518575F6" w14:textId="77777777" w:rsidR="00160620" w:rsidRDefault="00160620" w:rsidP="00CC11FC">
            <w:pPr>
              <w:rPr>
                <w:color w:val="auto"/>
                <w:u w:val="single"/>
              </w:rPr>
            </w:pPr>
          </w:p>
          <w:p w14:paraId="58A209DD" w14:textId="531BEBDB" w:rsidR="00160620" w:rsidRPr="005E559E" w:rsidRDefault="00160620" w:rsidP="00CC11FC">
            <w:pPr>
              <w:rPr>
                <w:color w:val="auto"/>
              </w:rPr>
            </w:pPr>
            <w:r>
              <w:rPr>
                <w:color w:val="auto"/>
                <w:u w:val="single"/>
              </w:rPr>
              <w:t xml:space="preserve">Prior radiation: </w:t>
            </w:r>
            <w:r w:rsidR="00E01C59">
              <w:rPr>
                <w:color w:val="auto"/>
                <w:u w:val="single"/>
              </w:rPr>
              <w:t xml:space="preserve">D0.03cc </w:t>
            </w:r>
            <w:r>
              <w:rPr>
                <w:color w:val="auto"/>
                <w:u w:val="single"/>
              </w:rPr>
              <w:t xml:space="preserve">&gt; 20Gy but </w:t>
            </w:r>
            <w:r>
              <w:rPr>
                <w:color w:val="auto"/>
              </w:rPr>
              <w:t>≤ 25Gy</w:t>
            </w:r>
          </w:p>
        </w:tc>
        <w:tc>
          <w:tcPr>
            <w:tcW w:w="2430" w:type="dxa"/>
          </w:tcPr>
          <w:p w14:paraId="1C256E22" w14:textId="0077BB95" w:rsidR="00160620" w:rsidRPr="005E559E" w:rsidRDefault="00366810" w:rsidP="000A21F5">
            <w:pPr>
              <w:rPr>
                <w:color w:val="auto"/>
              </w:rPr>
            </w:pPr>
            <w:r>
              <w:rPr>
                <w:color w:val="auto"/>
              </w:rPr>
              <w:t>Neuritis</w:t>
            </w:r>
          </w:p>
        </w:tc>
      </w:tr>
      <w:tr w:rsidR="00160620" w:rsidRPr="005E559E" w14:paraId="298E0EFE" w14:textId="77777777" w:rsidTr="005640E0">
        <w:tc>
          <w:tcPr>
            <w:tcW w:w="1795" w:type="dxa"/>
            <w:shd w:val="clear" w:color="auto" w:fill="auto"/>
          </w:tcPr>
          <w:p w14:paraId="626A332B" w14:textId="433112C5" w:rsidR="00E01C59" w:rsidRPr="005E559E" w:rsidRDefault="00E01C59" w:rsidP="000A21F5">
            <w:pPr>
              <w:rPr>
                <w:color w:val="auto"/>
              </w:rPr>
            </w:pPr>
            <w:r>
              <w:rPr>
                <w:color w:val="auto"/>
              </w:rPr>
              <w:t>Brainstem</w:t>
            </w:r>
          </w:p>
        </w:tc>
        <w:tc>
          <w:tcPr>
            <w:tcW w:w="2250" w:type="dxa"/>
            <w:shd w:val="clear" w:color="auto" w:fill="auto"/>
          </w:tcPr>
          <w:p w14:paraId="01031848" w14:textId="4A6D4CA9" w:rsidR="001049D4" w:rsidRPr="0005715D" w:rsidRDefault="001049D4" w:rsidP="001049D4">
            <w:pPr>
              <w:rPr>
                <w:color w:val="auto"/>
              </w:rPr>
            </w:pPr>
            <w:r>
              <w:rPr>
                <w:color w:val="auto"/>
                <w:u w:val="single"/>
              </w:rPr>
              <w:t xml:space="preserve">No prior radiation: D0.03cc </w:t>
            </w:r>
            <w:r>
              <w:rPr>
                <w:color w:val="auto"/>
              </w:rPr>
              <w:t xml:space="preserve">≤ </w:t>
            </w:r>
            <w:r w:rsidR="00A30962">
              <w:rPr>
                <w:color w:val="auto"/>
              </w:rPr>
              <w:t>35</w:t>
            </w:r>
            <w:r>
              <w:rPr>
                <w:color w:val="auto"/>
              </w:rPr>
              <w:t xml:space="preserve">Gy </w:t>
            </w:r>
          </w:p>
          <w:p w14:paraId="6EC73901" w14:textId="77777777" w:rsidR="001049D4" w:rsidRDefault="001049D4" w:rsidP="001049D4">
            <w:pPr>
              <w:rPr>
                <w:color w:val="auto"/>
                <w:u w:val="single"/>
              </w:rPr>
            </w:pPr>
          </w:p>
          <w:p w14:paraId="26A4A53B" w14:textId="59FEA9AE" w:rsidR="001049D4" w:rsidRDefault="001049D4" w:rsidP="001049D4">
            <w:pPr>
              <w:rPr>
                <w:color w:val="auto"/>
              </w:rPr>
            </w:pPr>
            <w:r>
              <w:rPr>
                <w:color w:val="auto"/>
                <w:u w:val="single"/>
              </w:rPr>
              <w:t xml:space="preserve">Prior radiation: D0.03cc </w:t>
            </w:r>
            <w:r>
              <w:rPr>
                <w:color w:val="auto"/>
              </w:rPr>
              <w:t>≤ 2</w:t>
            </w:r>
            <w:r w:rsidR="00A30962">
              <w:rPr>
                <w:color w:val="auto"/>
              </w:rPr>
              <w:t>4</w:t>
            </w:r>
            <w:r>
              <w:rPr>
                <w:color w:val="auto"/>
              </w:rPr>
              <w:t>Gy</w:t>
            </w:r>
          </w:p>
          <w:p w14:paraId="11503641" w14:textId="5B3A38B4" w:rsidR="001049D4" w:rsidRPr="005E559E" w:rsidRDefault="001049D4" w:rsidP="000A21F5">
            <w:pPr>
              <w:rPr>
                <w:color w:val="auto"/>
              </w:rPr>
            </w:pPr>
          </w:p>
        </w:tc>
        <w:tc>
          <w:tcPr>
            <w:tcW w:w="2700" w:type="dxa"/>
            <w:shd w:val="clear" w:color="auto" w:fill="auto"/>
          </w:tcPr>
          <w:p w14:paraId="52889274" w14:textId="77777777" w:rsidR="001049D4" w:rsidRPr="0005715D" w:rsidRDefault="001049D4" w:rsidP="001049D4">
            <w:pPr>
              <w:rPr>
                <w:color w:val="auto"/>
              </w:rPr>
            </w:pPr>
            <w:r>
              <w:rPr>
                <w:color w:val="auto"/>
                <w:u w:val="single"/>
              </w:rPr>
              <w:t xml:space="preserve">No prior radiation: D0.03cc </w:t>
            </w:r>
            <w:r>
              <w:rPr>
                <w:color w:val="auto"/>
              </w:rPr>
              <w:t xml:space="preserve">&gt; 35Gy but ≤ 36.75Gy </w:t>
            </w:r>
          </w:p>
          <w:p w14:paraId="5C675291" w14:textId="77777777" w:rsidR="001049D4" w:rsidRDefault="001049D4" w:rsidP="001049D4">
            <w:pPr>
              <w:rPr>
                <w:color w:val="auto"/>
                <w:u w:val="single"/>
              </w:rPr>
            </w:pPr>
          </w:p>
          <w:p w14:paraId="20E5337E" w14:textId="4ABA6A55" w:rsidR="001049D4" w:rsidRPr="005E559E" w:rsidRDefault="001049D4" w:rsidP="001049D4">
            <w:pPr>
              <w:rPr>
                <w:color w:val="auto"/>
              </w:rPr>
            </w:pPr>
            <w:r>
              <w:rPr>
                <w:color w:val="auto"/>
                <w:u w:val="single"/>
              </w:rPr>
              <w:t>Prior radiation: D0.03cc &gt; 2</w:t>
            </w:r>
            <w:r w:rsidR="00A30962">
              <w:rPr>
                <w:color w:val="auto"/>
                <w:u w:val="single"/>
              </w:rPr>
              <w:t>4</w:t>
            </w:r>
            <w:r>
              <w:rPr>
                <w:color w:val="auto"/>
                <w:u w:val="single"/>
              </w:rPr>
              <w:t xml:space="preserve">Gy but </w:t>
            </w:r>
            <w:r>
              <w:rPr>
                <w:color w:val="auto"/>
              </w:rPr>
              <w:t xml:space="preserve">≤ </w:t>
            </w:r>
            <w:r w:rsidR="00A30962">
              <w:rPr>
                <w:color w:val="auto"/>
              </w:rPr>
              <w:t>30</w:t>
            </w:r>
            <w:r>
              <w:rPr>
                <w:color w:val="auto"/>
              </w:rPr>
              <w:t>Gy</w:t>
            </w:r>
          </w:p>
        </w:tc>
        <w:tc>
          <w:tcPr>
            <w:tcW w:w="2430" w:type="dxa"/>
          </w:tcPr>
          <w:p w14:paraId="7B709842" w14:textId="52C01A69" w:rsidR="00160620" w:rsidRPr="005E559E" w:rsidRDefault="00E01C59" w:rsidP="000A21F5">
            <w:pPr>
              <w:rPr>
                <w:color w:val="auto"/>
              </w:rPr>
            </w:pPr>
            <w:r>
              <w:rPr>
                <w:color w:val="auto"/>
              </w:rPr>
              <w:t>Cranial neuropathies</w:t>
            </w:r>
          </w:p>
        </w:tc>
      </w:tr>
    </w:tbl>
    <w:p w14:paraId="5423CB2B" w14:textId="77777777" w:rsidR="002B5826" w:rsidRPr="005E559E" w:rsidRDefault="002B5826" w:rsidP="00724DD8">
      <w:pPr>
        <w:suppressAutoHyphens/>
        <w:rPr>
          <w:color w:val="auto"/>
        </w:rPr>
      </w:pPr>
    </w:p>
    <w:p w14:paraId="04C25E9F" w14:textId="798495F4" w:rsidR="002B5826" w:rsidRPr="005E559E" w:rsidRDefault="00DF5969" w:rsidP="00DF5969">
      <w:pPr>
        <w:pStyle w:val="Level4Heading"/>
        <w:suppressAutoHyphens/>
        <w:rPr>
          <w:color w:val="auto"/>
        </w:rPr>
      </w:pPr>
      <w:r w:rsidRPr="005E559E">
        <w:rPr>
          <w:color w:val="auto"/>
        </w:rPr>
        <w:t>Online Treatment Image-Guided Localization and Treatment</w:t>
      </w:r>
    </w:p>
    <w:p w14:paraId="482E87B8" w14:textId="77777777" w:rsidR="00DF5969" w:rsidRPr="005E559E" w:rsidRDefault="00DF5969" w:rsidP="00DF5969">
      <w:pPr>
        <w:pStyle w:val="ListParagraph"/>
        <w:rPr>
          <w:color w:val="auto"/>
        </w:rPr>
      </w:pPr>
    </w:p>
    <w:p w14:paraId="07C819C1" w14:textId="5D2796B2" w:rsidR="00E22D90" w:rsidRPr="005E559E" w:rsidRDefault="00E22D90" w:rsidP="00E22D90">
      <w:pPr>
        <w:suppressAutoHyphens/>
        <w:rPr>
          <w:color w:val="auto"/>
        </w:rPr>
      </w:pPr>
      <w:r w:rsidRPr="005E559E">
        <w:rPr>
          <w:color w:val="auto"/>
        </w:rPr>
        <w:t xml:space="preserve">IMRT image-guided radiation therapy (IGRT) is a preferred delivery modality on this protocol. </w:t>
      </w:r>
      <w:r w:rsidR="00F72610">
        <w:rPr>
          <w:color w:val="auto"/>
        </w:rPr>
        <w:t xml:space="preserve"> </w:t>
      </w:r>
      <w:r w:rsidRPr="005E559E">
        <w:rPr>
          <w:color w:val="auto"/>
        </w:rPr>
        <w:t xml:space="preserve">This is accomplished with standard treatment planning with position verification using </w:t>
      </w:r>
      <w:r w:rsidR="006748F5">
        <w:rPr>
          <w:color w:val="auto"/>
        </w:rPr>
        <w:t xml:space="preserve">a </w:t>
      </w:r>
      <w:r w:rsidRPr="005E559E">
        <w:rPr>
          <w:color w:val="auto"/>
        </w:rPr>
        <w:t xml:space="preserve">cone beam CT (CBCT) scan. </w:t>
      </w:r>
      <w:r w:rsidR="00FD5B65">
        <w:rPr>
          <w:color w:val="auto"/>
        </w:rPr>
        <w:t xml:space="preserve"> </w:t>
      </w:r>
      <w:r w:rsidRPr="005E559E">
        <w:rPr>
          <w:color w:val="auto"/>
        </w:rPr>
        <w:t xml:space="preserve">A CBCT is a CT scan taken of the patient and target structure of interest while the patient is immobilized on the treatment table. </w:t>
      </w:r>
      <w:r w:rsidR="00FD5B65">
        <w:rPr>
          <w:color w:val="auto"/>
        </w:rPr>
        <w:t xml:space="preserve"> </w:t>
      </w:r>
      <w:r w:rsidRPr="005E559E">
        <w:rPr>
          <w:color w:val="auto"/>
        </w:rPr>
        <w:t xml:space="preserve">During the treatment, the patient is immobilized exactly as was done for the simulation. </w:t>
      </w:r>
      <w:r w:rsidR="00FD5B65">
        <w:rPr>
          <w:color w:val="auto"/>
        </w:rPr>
        <w:t xml:space="preserve"> </w:t>
      </w:r>
      <w:r w:rsidRPr="005E559E">
        <w:rPr>
          <w:color w:val="auto"/>
        </w:rPr>
        <w:t xml:space="preserve">The patient is then set-up in the treatment </w:t>
      </w:r>
      <w:r w:rsidRPr="005E559E">
        <w:rPr>
          <w:color w:val="auto"/>
        </w:rPr>
        <w:lastRenderedPageBreak/>
        <w:t>position according to laser-guiding in the treatment room.</w:t>
      </w:r>
    </w:p>
    <w:p w14:paraId="699E78C5" w14:textId="0024ABC7" w:rsidR="00E22D90" w:rsidRPr="005E559E" w:rsidRDefault="00E22D90" w:rsidP="00E22D90">
      <w:pPr>
        <w:suppressAutoHyphens/>
        <w:rPr>
          <w:color w:val="auto"/>
        </w:rPr>
      </w:pPr>
    </w:p>
    <w:p w14:paraId="273E5611" w14:textId="7B75C49E" w:rsidR="00E22D90" w:rsidRPr="005E559E" w:rsidRDefault="00E22D90" w:rsidP="00E22D90">
      <w:pPr>
        <w:suppressAutoHyphens/>
        <w:rPr>
          <w:color w:val="auto"/>
        </w:rPr>
      </w:pPr>
      <w:r w:rsidRPr="005E559E">
        <w:rPr>
          <w:color w:val="auto"/>
        </w:rPr>
        <w:t xml:space="preserve">All </w:t>
      </w:r>
      <w:r w:rsidR="00C469EA">
        <w:rPr>
          <w:color w:val="auto"/>
        </w:rPr>
        <w:t>radiation</w:t>
      </w:r>
      <w:r w:rsidRPr="005E559E">
        <w:rPr>
          <w:color w:val="auto"/>
        </w:rPr>
        <w:t xml:space="preserve"> treatments will be delivered whenever possible. </w:t>
      </w:r>
      <w:r w:rsidR="00FD5B65">
        <w:rPr>
          <w:color w:val="auto"/>
        </w:rPr>
        <w:t xml:space="preserve"> </w:t>
      </w:r>
      <w:r w:rsidRPr="005E559E">
        <w:rPr>
          <w:color w:val="auto"/>
        </w:rPr>
        <w:t>If treatment must be terminated prematurely on any fractions of one to</w:t>
      </w:r>
      <w:r w:rsidR="00C469EA">
        <w:rPr>
          <w:color w:val="auto"/>
        </w:rPr>
        <w:t xml:space="preserve"> </w:t>
      </w:r>
      <w:r w:rsidR="00BE2CA1">
        <w:rPr>
          <w:color w:val="auto"/>
        </w:rPr>
        <w:t>ten</w:t>
      </w:r>
      <w:r w:rsidRPr="005E559E">
        <w:rPr>
          <w:color w:val="auto"/>
        </w:rPr>
        <w:t xml:space="preserve">, compensate as follows: </w:t>
      </w:r>
      <w:r w:rsidR="00FD5B65">
        <w:rPr>
          <w:color w:val="auto"/>
        </w:rPr>
        <w:t xml:space="preserve"> </w:t>
      </w:r>
      <w:r w:rsidRPr="005E559E">
        <w:rPr>
          <w:color w:val="auto"/>
        </w:rPr>
        <w:t xml:space="preserve">If 2/3 or more of all non-zero segments were delivered, then the untreated segments plus the full next fraction should be treated on the next treatment day (this should introduce an error of &lt; 5% in biologic effective dose delivered).  If fewer than 2/3 of the non-zero segments were treated, then the untreated portion of this fraction (only) will be made up for on the following interval day. </w:t>
      </w:r>
      <w:r w:rsidR="00FD61A3">
        <w:rPr>
          <w:color w:val="auto"/>
        </w:rPr>
        <w:t xml:space="preserve"> </w:t>
      </w:r>
      <w:r w:rsidRPr="005E559E">
        <w:rPr>
          <w:color w:val="auto"/>
        </w:rPr>
        <w:t>If treatment must be terminated prematurely, and 90% of the non-zero segments were treated, then no further treatment shall be given (this should introduce an error of &lt; 5% for total biologic effective dose delivered).  If fewer than 90% of the non-zero segments were treated, then the deficit shall be delivered on the following day.  All such variations shall be recorded.</w:t>
      </w:r>
    </w:p>
    <w:p w14:paraId="73E3A011" w14:textId="77777777" w:rsidR="007F0A8F" w:rsidRPr="007300F3" w:rsidRDefault="007F0A8F" w:rsidP="00724DD8">
      <w:pPr>
        <w:suppressAutoHyphens/>
      </w:pPr>
    </w:p>
    <w:p w14:paraId="7F8BCC07" w14:textId="41236AFE" w:rsidR="009E246E" w:rsidRPr="00966F11" w:rsidRDefault="009E246E" w:rsidP="00C94562">
      <w:pPr>
        <w:pStyle w:val="Heading2"/>
      </w:pPr>
      <w:bookmarkStart w:id="83" w:name="_Toc318813011"/>
      <w:bookmarkStart w:id="84" w:name="_Toc176419915"/>
      <w:r w:rsidRPr="00966F11">
        <w:t>Definition of Dose-Limiting Toxicity</w:t>
      </w:r>
      <w:bookmarkEnd w:id="83"/>
      <w:bookmarkEnd w:id="84"/>
    </w:p>
    <w:p w14:paraId="081F86A0" w14:textId="77777777" w:rsidR="009E246E" w:rsidRPr="00402905" w:rsidRDefault="009E246E" w:rsidP="009E246E">
      <w:pPr>
        <w:suppressAutoHyphens/>
        <w:rPr>
          <w:highlight w:val="yellow"/>
        </w:rPr>
      </w:pPr>
    </w:p>
    <w:p w14:paraId="5EBDE7A6" w14:textId="371E0D07" w:rsidR="00297CF6" w:rsidRDefault="00297CF6" w:rsidP="00297CF6">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sidRPr="002224D0">
        <w:rPr>
          <w:iCs/>
          <w:color w:val="auto"/>
        </w:rPr>
        <w:t>Dose-limiting toxicities (DLTs) will be graded in severity according to the guidelines outlined in the NCI CTCAE version 5.0, graded 1 to 5 with grade 5 toxicity meaning death.  The DLT window will be 28 days after treatment initiation.  A DLT is defined as clinically significant grade 3 or 4 toxicity</w:t>
      </w:r>
      <w:r w:rsidR="002F1979">
        <w:rPr>
          <w:iCs/>
          <w:color w:val="auto"/>
        </w:rPr>
        <w:t xml:space="preserve"> lasting more than 24 hours</w:t>
      </w:r>
      <w:r w:rsidRPr="002224D0">
        <w:rPr>
          <w:iCs/>
          <w:color w:val="auto"/>
        </w:rPr>
        <w:t xml:space="preserve"> that is possibl</w:t>
      </w:r>
      <w:r w:rsidR="00A63D70" w:rsidRPr="002224D0">
        <w:rPr>
          <w:iCs/>
          <w:color w:val="auto"/>
        </w:rPr>
        <w:t>y</w:t>
      </w:r>
      <w:r w:rsidRPr="002224D0">
        <w:rPr>
          <w:iCs/>
          <w:color w:val="auto"/>
        </w:rPr>
        <w:t>, probably, or definitely related to study treatment, including:</w:t>
      </w:r>
    </w:p>
    <w:p w14:paraId="0A90F222" w14:textId="77777777" w:rsidR="00465FDF" w:rsidRDefault="00465FDF" w:rsidP="00297CF6">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p>
    <w:tbl>
      <w:tblPr>
        <w:tblStyle w:val="TableGrid"/>
        <w:tblW w:w="0" w:type="auto"/>
        <w:tblLook w:val="04A0" w:firstRow="1" w:lastRow="0" w:firstColumn="1" w:lastColumn="0" w:noHBand="0" w:noVBand="1"/>
      </w:tblPr>
      <w:tblGrid>
        <w:gridCol w:w="4675"/>
        <w:gridCol w:w="4675"/>
      </w:tblGrid>
      <w:tr w:rsidR="00E924BC" w14:paraId="6BCAD8C0" w14:textId="77777777" w:rsidTr="00BF73A0">
        <w:trPr>
          <w:tblHeader/>
        </w:trPr>
        <w:tc>
          <w:tcPr>
            <w:tcW w:w="4675" w:type="dxa"/>
          </w:tcPr>
          <w:p w14:paraId="3C5399AB" w14:textId="60A6FBE4" w:rsidR="00E924BC" w:rsidRPr="007D2488" w:rsidRDefault="00E924BC" w:rsidP="00297CF6">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b/>
                <w:bCs/>
                <w:iCs/>
                <w:color w:val="auto"/>
              </w:rPr>
            </w:pPr>
            <w:r w:rsidRPr="007D2488">
              <w:rPr>
                <w:b/>
                <w:bCs/>
                <w:iCs/>
                <w:color w:val="auto"/>
              </w:rPr>
              <w:t>Adverse Event</w:t>
            </w:r>
          </w:p>
        </w:tc>
        <w:tc>
          <w:tcPr>
            <w:tcW w:w="4675" w:type="dxa"/>
          </w:tcPr>
          <w:p w14:paraId="6E3B1613" w14:textId="554816B1" w:rsidR="00E924BC" w:rsidRPr="007D2488" w:rsidRDefault="00E924BC" w:rsidP="00297CF6">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b/>
                <w:bCs/>
                <w:iCs/>
                <w:color w:val="auto"/>
              </w:rPr>
            </w:pPr>
            <w:r w:rsidRPr="007D2488">
              <w:rPr>
                <w:b/>
                <w:bCs/>
                <w:iCs/>
                <w:color w:val="auto"/>
              </w:rPr>
              <w:t>Grade</w:t>
            </w:r>
          </w:p>
        </w:tc>
      </w:tr>
      <w:tr w:rsidR="00E924BC" w14:paraId="2F49B55A" w14:textId="77777777" w:rsidTr="00E924BC">
        <w:tc>
          <w:tcPr>
            <w:tcW w:w="4675" w:type="dxa"/>
          </w:tcPr>
          <w:p w14:paraId="5FEA35B5" w14:textId="569C6940" w:rsidR="00E924BC" w:rsidRDefault="00E924BC" w:rsidP="00297CF6">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Anemia</w:t>
            </w:r>
          </w:p>
        </w:tc>
        <w:tc>
          <w:tcPr>
            <w:tcW w:w="4675" w:type="dxa"/>
          </w:tcPr>
          <w:p w14:paraId="371B599D" w14:textId="3D680732" w:rsidR="00E924BC" w:rsidRDefault="00E924BC" w:rsidP="00297CF6">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 4</w:t>
            </w:r>
          </w:p>
        </w:tc>
      </w:tr>
      <w:tr w:rsidR="00E924BC" w14:paraId="293E978F" w14:textId="77777777" w:rsidTr="00E924BC">
        <w:tc>
          <w:tcPr>
            <w:tcW w:w="4675" w:type="dxa"/>
          </w:tcPr>
          <w:p w14:paraId="39BF04F4" w14:textId="499D4C43" w:rsidR="00E509CD" w:rsidRDefault="00E509CD" w:rsidP="00297CF6">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Febrile neutropenia</w:t>
            </w:r>
          </w:p>
        </w:tc>
        <w:tc>
          <w:tcPr>
            <w:tcW w:w="4675" w:type="dxa"/>
          </w:tcPr>
          <w:p w14:paraId="702DD483" w14:textId="153CFBD1" w:rsidR="00E924BC" w:rsidRDefault="00E509CD" w:rsidP="00297CF6">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 4</w:t>
            </w:r>
          </w:p>
        </w:tc>
      </w:tr>
      <w:tr w:rsidR="00E924BC" w14:paraId="3BE0F3EE" w14:textId="77777777" w:rsidTr="00E924BC">
        <w:tc>
          <w:tcPr>
            <w:tcW w:w="4675" w:type="dxa"/>
          </w:tcPr>
          <w:p w14:paraId="61490710" w14:textId="6AC678C8" w:rsidR="00E924BC" w:rsidRDefault="0080779A" w:rsidP="00297CF6">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White blood cell decreased</w:t>
            </w:r>
          </w:p>
        </w:tc>
        <w:tc>
          <w:tcPr>
            <w:tcW w:w="4675" w:type="dxa"/>
          </w:tcPr>
          <w:p w14:paraId="49A0E0E8" w14:textId="51DE4FDF" w:rsidR="00E924BC" w:rsidRDefault="00E509CD" w:rsidP="00297CF6">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 4</w:t>
            </w:r>
          </w:p>
        </w:tc>
      </w:tr>
      <w:tr w:rsidR="00BC340C" w14:paraId="6F1CCEA0" w14:textId="77777777" w:rsidTr="00E924BC">
        <w:tc>
          <w:tcPr>
            <w:tcW w:w="4675" w:type="dxa"/>
          </w:tcPr>
          <w:p w14:paraId="3FFACE86" w14:textId="33564B04" w:rsidR="00BC340C" w:rsidRDefault="00BC340C" w:rsidP="00BC340C">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Hemolysis</w:t>
            </w:r>
          </w:p>
        </w:tc>
        <w:tc>
          <w:tcPr>
            <w:tcW w:w="4675" w:type="dxa"/>
          </w:tcPr>
          <w:p w14:paraId="13D1B516" w14:textId="6D196E0D" w:rsidR="00BC340C" w:rsidRDefault="00BC340C" w:rsidP="00BC340C">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 4</w:t>
            </w:r>
          </w:p>
        </w:tc>
      </w:tr>
      <w:tr w:rsidR="00BC340C" w14:paraId="2A5CD424" w14:textId="77777777" w:rsidTr="00E924BC">
        <w:tc>
          <w:tcPr>
            <w:tcW w:w="4675" w:type="dxa"/>
          </w:tcPr>
          <w:p w14:paraId="3F2FD4D3" w14:textId="7FECDCD6" w:rsidR="00BC340C" w:rsidRDefault="004C1D06" w:rsidP="00BC340C">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Platelet count decreased</w:t>
            </w:r>
          </w:p>
        </w:tc>
        <w:tc>
          <w:tcPr>
            <w:tcW w:w="4675" w:type="dxa"/>
          </w:tcPr>
          <w:p w14:paraId="29047081" w14:textId="5114411C" w:rsidR="00BC340C" w:rsidRDefault="00BC340C" w:rsidP="00BC340C">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 4</w:t>
            </w:r>
          </w:p>
        </w:tc>
      </w:tr>
      <w:tr w:rsidR="00BC340C" w14:paraId="654E0886" w14:textId="77777777" w:rsidTr="00E924BC">
        <w:tc>
          <w:tcPr>
            <w:tcW w:w="4675" w:type="dxa"/>
          </w:tcPr>
          <w:p w14:paraId="4643234C" w14:textId="72C5EFF5" w:rsidR="00BC340C" w:rsidRDefault="006C7ED7" w:rsidP="00BC340C">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M</w:t>
            </w:r>
            <w:r w:rsidR="00BC340C">
              <w:rPr>
                <w:iCs/>
                <w:color w:val="auto"/>
              </w:rPr>
              <w:t>ethemoglobinemia</w:t>
            </w:r>
          </w:p>
        </w:tc>
        <w:tc>
          <w:tcPr>
            <w:tcW w:w="4675" w:type="dxa"/>
          </w:tcPr>
          <w:p w14:paraId="18ADF99F" w14:textId="5D7D3D15" w:rsidR="00BC340C" w:rsidRDefault="00BC340C" w:rsidP="00BC340C">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 4</w:t>
            </w:r>
          </w:p>
        </w:tc>
      </w:tr>
      <w:tr w:rsidR="00BC340C" w14:paraId="1CED321F" w14:textId="77777777" w:rsidTr="00E924BC">
        <w:tc>
          <w:tcPr>
            <w:tcW w:w="4675" w:type="dxa"/>
          </w:tcPr>
          <w:p w14:paraId="7DA9EC9E" w14:textId="77FAF5A5" w:rsidR="00BC340C" w:rsidRDefault="00D02FDC" w:rsidP="00BC340C">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C</w:t>
            </w:r>
            <w:r w:rsidR="00BC340C">
              <w:rPr>
                <w:iCs/>
                <w:color w:val="auto"/>
              </w:rPr>
              <w:t>yanosis</w:t>
            </w:r>
          </w:p>
        </w:tc>
        <w:tc>
          <w:tcPr>
            <w:tcW w:w="4675" w:type="dxa"/>
          </w:tcPr>
          <w:p w14:paraId="7AE777D5" w14:textId="30E6EC9A" w:rsidR="00BC340C" w:rsidRDefault="00BC340C" w:rsidP="00BC340C">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 3</w:t>
            </w:r>
          </w:p>
        </w:tc>
      </w:tr>
      <w:tr w:rsidR="00BC340C" w14:paraId="3C030C3D" w14:textId="77777777" w:rsidTr="00E924BC">
        <w:tc>
          <w:tcPr>
            <w:tcW w:w="4675" w:type="dxa"/>
          </w:tcPr>
          <w:p w14:paraId="6AE50C28" w14:textId="260FA1C5" w:rsidR="00BC340C" w:rsidRDefault="00BC340C" w:rsidP="00BC340C">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Left ventricular systolic dysfunction</w:t>
            </w:r>
          </w:p>
        </w:tc>
        <w:tc>
          <w:tcPr>
            <w:tcW w:w="4675" w:type="dxa"/>
          </w:tcPr>
          <w:p w14:paraId="70104A66" w14:textId="40BDC388" w:rsidR="00BC340C" w:rsidRDefault="00BC340C" w:rsidP="00BC340C">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 xml:space="preserve">≥ 3 </w:t>
            </w:r>
          </w:p>
        </w:tc>
      </w:tr>
      <w:tr w:rsidR="00BC340C" w14:paraId="544B59D5" w14:textId="77777777" w:rsidTr="00E924BC">
        <w:tc>
          <w:tcPr>
            <w:tcW w:w="4675" w:type="dxa"/>
          </w:tcPr>
          <w:p w14:paraId="5BF94A43" w14:textId="4B02FE64" w:rsidR="00BC340C" w:rsidRDefault="00BC340C" w:rsidP="00BC340C">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Nausea</w:t>
            </w:r>
          </w:p>
        </w:tc>
        <w:tc>
          <w:tcPr>
            <w:tcW w:w="4675" w:type="dxa"/>
          </w:tcPr>
          <w:p w14:paraId="05A2DED6" w14:textId="4CE60ED4" w:rsidR="00BC340C" w:rsidRDefault="00BC340C" w:rsidP="00BC340C">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 3 (uncontrollable)</w:t>
            </w:r>
          </w:p>
        </w:tc>
      </w:tr>
      <w:tr w:rsidR="00BC340C" w14:paraId="696964A6" w14:textId="77777777" w:rsidTr="00E924BC">
        <w:tc>
          <w:tcPr>
            <w:tcW w:w="4675" w:type="dxa"/>
          </w:tcPr>
          <w:p w14:paraId="69C23304" w14:textId="30D3C650" w:rsidR="00BC340C" w:rsidRDefault="00BC340C" w:rsidP="00BC340C">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Vomiting</w:t>
            </w:r>
          </w:p>
        </w:tc>
        <w:tc>
          <w:tcPr>
            <w:tcW w:w="4675" w:type="dxa"/>
          </w:tcPr>
          <w:p w14:paraId="5A2C1D35" w14:textId="476BC919" w:rsidR="00BC340C" w:rsidRDefault="00BC340C" w:rsidP="00BC340C">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 3 (uncontrollable)</w:t>
            </w:r>
          </w:p>
        </w:tc>
      </w:tr>
      <w:tr w:rsidR="00BC340C" w14:paraId="7797DCE1" w14:textId="77777777" w:rsidTr="00E924BC">
        <w:tc>
          <w:tcPr>
            <w:tcW w:w="4675" w:type="dxa"/>
          </w:tcPr>
          <w:p w14:paraId="0B4731D0" w14:textId="0D0E9C5A" w:rsidR="00BC340C" w:rsidRDefault="00BC340C" w:rsidP="00BC340C">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Colitis</w:t>
            </w:r>
          </w:p>
        </w:tc>
        <w:tc>
          <w:tcPr>
            <w:tcW w:w="4675" w:type="dxa"/>
          </w:tcPr>
          <w:p w14:paraId="454EB58E" w14:textId="0490DB20" w:rsidR="00BC340C" w:rsidRDefault="00BC340C" w:rsidP="00BC340C">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 3</w:t>
            </w:r>
          </w:p>
        </w:tc>
      </w:tr>
      <w:tr w:rsidR="00BC340C" w14:paraId="1CD1A0BA" w14:textId="77777777" w:rsidTr="00E924BC">
        <w:tc>
          <w:tcPr>
            <w:tcW w:w="4675" w:type="dxa"/>
          </w:tcPr>
          <w:p w14:paraId="18018AD8" w14:textId="44331778" w:rsidR="00BC340C" w:rsidRDefault="00BC340C" w:rsidP="00BC340C">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Constipation</w:t>
            </w:r>
          </w:p>
        </w:tc>
        <w:tc>
          <w:tcPr>
            <w:tcW w:w="4675" w:type="dxa"/>
          </w:tcPr>
          <w:p w14:paraId="0E38318D" w14:textId="77181CF3" w:rsidR="00BC340C" w:rsidRDefault="00BC340C" w:rsidP="00BC340C">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 3</w:t>
            </w:r>
          </w:p>
        </w:tc>
      </w:tr>
      <w:tr w:rsidR="00BC340C" w14:paraId="2C422976" w14:textId="77777777" w:rsidTr="00E924BC">
        <w:tc>
          <w:tcPr>
            <w:tcW w:w="4675" w:type="dxa"/>
          </w:tcPr>
          <w:p w14:paraId="310FC362" w14:textId="731B859E" w:rsidR="00BC340C" w:rsidRDefault="00BC340C" w:rsidP="00BC340C">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Diarrhea</w:t>
            </w:r>
          </w:p>
        </w:tc>
        <w:tc>
          <w:tcPr>
            <w:tcW w:w="4675" w:type="dxa"/>
          </w:tcPr>
          <w:p w14:paraId="44C748D7" w14:textId="01E1FB9C" w:rsidR="00BC340C" w:rsidRDefault="00BC340C" w:rsidP="00BC340C">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 3</w:t>
            </w:r>
          </w:p>
        </w:tc>
      </w:tr>
      <w:tr w:rsidR="00BC340C" w14:paraId="359E80B8" w14:textId="77777777" w:rsidTr="00E924BC">
        <w:tc>
          <w:tcPr>
            <w:tcW w:w="4675" w:type="dxa"/>
          </w:tcPr>
          <w:p w14:paraId="013D670B" w14:textId="557E30DD" w:rsidR="00BC340C" w:rsidRDefault="00BC340C" w:rsidP="00BC340C">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Dyspepsia</w:t>
            </w:r>
          </w:p>
        </w:tc>
        <w:tc>
          <w:tcPr>
            <w:tcW w:w="4675" w:type="dxa"/>
          </w:tcPr>
          <w:p w14:paraId="2BA6B5F0" w14:textId="65257A08" w:rsidR="00BC340C" w:rsidRDefault="00BC340C" w:rsidP="00BC340C">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 3</w:t>
            </w:r>
          </w:p>
        </w:tc>
      </w:tr>
      <w:tr w:rsidR="00BC340C" w14:paraId="197E1D0D" w14:textId="77777777" w:rsidTr="00E924BC">
        <w:tc>
          <w:tcPr>
            <w:tcW w:w="4675" w:type="dxa"/>
          </w:tcPr>
          <w:p w14:paraId="1CBCF198" w14:textId="69C77D64" w:rsidR="00BC340C" w:rsidRDefault="00BC340C" w:rsidP="00BC340C">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Fatigue</w:t>
            </w:r>
          </w:p>
        </w:tc>
        <w:tc>
          <w:tcPr>
            <w:tcW w:w="4675" w:type="dxa"/>
          </w:tcPr>
          <w:p w14:paraId="178D0ED1" w14:textId="2522422B" w:rsidR="00BC340C" w:rsidRDefault="00BC340C" w:rsidP="00BC340C">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 3 (lasting greater than 1 week)</w:t>
            </w:r>
          </w:p>
        </w:tc>
      </w:tr>
      <w:tr w:rsidR="00BC340C" w14:paraId="6040ACE1" w14:textId="77777777" w:rsidTr="00E924BC">
        <w:tc>
          <w:tcPr>
            <w:tcW w:w="4675" w:type="dxa"/>
          </w:tcPr>
          <w:p w14:paraId="1FA65090" w14:textId="2E51211F" w:rsidR="00BC340C" w:rsidRDefault="00BC340C" w:rsidP="00BC340C">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Fever</w:t>
            </w:r>
          </w:p>
        </w:tc>
        <w:tc>
          <w:tcPr>
            <w:tcW w:w="4675" w:type="dxa"/>
          </w:tcPr>
          <w:p w14:paraId="4A6D5AC9" w14:textId="79707042" w:rsidR="00BC340C" w:rsidRDefault="00BC340C" w:rsidP="00BC340C">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 4</w:t>
            </w:r>
          </w:p>
        </w:tc>
      </w:tr>
      <w:tr w:rsidR="00BC340C" w14:paraId="394CE75F" w14:textId="77777777" w:rsidTr="00E924BC">
        <w:tc>
          <w:tcPr>
            <w:tcW w:w="4675" w:type="dxa"/>
          </w:tcPr>
          <w:p w14:paraId="2C35281A" w14:textId="698F978C" w:rsidR="00BC340C" w:rsidRDefault="00BC340C" w:rsidP="00BC340C">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Chills</w:t>
            </w:r>
          </w:p>
        </w:tc>
        <w:tc>
          <w:tcPr>
            <w:tcW w:w="4675" w:type="dxa"/>
          </w:tcPr>
          <w:p w14:paraId="0E504AA9" w14:textId="44B5D490" w:rsidR="00BC340C" w:rsidRDefault="00BC340C" w:rsidP="00BC340C">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 3</w:t>
            </w:r>
          </w:p>
        </w:tc>
      </w:tr>
      <w:tr w:rsidR="00BC340C" w14:paraId="2C72BBE7" w14:textId="77777777" w:rsidTr="00E924BC">
        <w:tc>
          <w:tcPr>
            <w:tcW w:w="4675" w:type="dxa"/>
          </w:tcPr>
          <w:p w14:paraId="56550745" w14:textId="0EA87813" w:rsidR="00BC340C" w:rsidRDefault="00BC340C" w:rsidP="00BC340C">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Infection</w:t>
            </w:r>
          </w:p>
        </w:tc>
        <w:tc>
          <w:tcPr>
            <w:tcW w:w="4675" w:type="dxa"/>
          </w:tcPr>
          <w:p w14:paraId="1704C127" w14:textId="7013299F" w:rsidR="00BC340C" w:rsidRDefault="00BC340C" w:rsidP="00BC340C">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 3</w:t>
            </w:r>
          </w:p>
        </w:tc>
      </w:tr>
      <w:tr w:rsidR="00BC340C" w14:paraId="53C6F2EF" w14:textId="77777777" w:rsidTr="00E924BC">
        <w:tc>
          <w:tcPr>
            <w:tcW w:w="4675" w:type="dxa"/>
          </w:tcPr>
          <w:p w14:paraId="489F5260" w14:textId="2A30A5DC" w:rsidR="00BC340C" w:rsidRDefault="00BC340C" w:rsidP="00BC340C">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 xml:space="preserve">Alanine aminotransferase increased </w:t>
            </w:r>
          </w:p>
        </w:tc>
        <w:tc>
          <w:tcPr>
            <w:tcW w:w="4675" w:type="dxa"/>
          </w:tcPr>
          <w:p w14:paraId="23281554" w14:textId="2757AE62" w:rsidR="00BC340C" w:rsidRDefault="00BC340C" w:rsidP="00BC340C">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 3</w:t>
            </w:r>
          </w:p>
        </w:tc>
      </w:tr>
      <w:tr w:rsidR="00BC340C" w14:paraId="5599780E" w14:textId="77777777" w:rsidTr="00E924BC">
        <w:tc>
          <w:tcPr>
            <w:tcW w:w="4675" w:type="dxa"/>
          </w:tcPr>
          <w:p w14:paraId="1262963D" w14:textId="69C9A7B0" w:rsidR="00BC340C" w:rsidRDefault="00BC340C" w:rsidP="00BC340C">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Alkaline phosphatase increased</w:t>
            </w:r>
          </w:p>
        </w:tc>
        <w:tc>
          <w:tcPr>
            <w:tcW w:w="4675" w:type="dxa"/>
          </w:tcPr>
          <w:p w14:paraId="6B2A6CB6" w14:textId="7832ECB7" w:rsidR="00BC340C" w:rsidRDefault="00BC340C" w:rsidP="00BC340C">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 3</w:t>
            </w:r>
          </w:p>
        </w:tc>
      </w:tr>
      <w:tr w:rsidR="00BC340C" w14:paraId="4A48BF5B" w14:textId="77777777" w:rsidTr="00E924BC">
        <w:tc>
          <w:tcPr>
            <w:tcW w:w="4675" w:type="dxa"/>
          </w:tcPr>
          <w:p w14:paraId="7B9F8753" w14:textId="54B02A41" w:rsidR="00BC340C" w:rsidRDefault="00BC340C" w:rsidP="00BC340C">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 xml:space="preserve">Aspartate aminotransferase increased </w:t>
            </w:r>
          </w:p>
        </w:tc>
        <w:tc>
          <w:tcPr>
            <w:tcW w:w="4675" w:type="dxa"/>
          </w:tcPr>
          <w:p w14:paraId="32177DFA" w14:textId="0551F089" w:rsidR="00BC340C" w:rsidRDefault="00BC340C" w:rsidP="00BC340C">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 3</w:t>
            </w:r>
          </w:p>
        </w:tc>
      </w:tr>
      <w:tr w:rsidR="00BC340C" w14:paraId="0797B351" w14:textId="77777777" w:rsidTr="00E924BC">
        <w:tc>
          <w:tcPr>
            <w:tcW w:w="4675" w:type="dxa"/>
          </w:tcPr>
          <w:p w14:paraId="63E1D03C" w14:textId="338560FB" w:rsidR="00BC340C" w:rsidRDefault="00BC340C" w:rsidP="00BC340C">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Blood bilirubin increased</w:t>
            </w:r>
          </w:p>
        </w:tc>
        <w:tc>
          <w:tcPr>
            <w:tcW w:w="4675" w:type="dxa"/>
          </w:tcPr>
          <w:p w14:paraId="68FE8741" w14:textId="1EE65347" w:rsidR="00BC340C" w:rsidRDefault="00BC340C" w:rsidP="00BC340C">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 3</w:t>
            </w:r>
          </w:p>
        </w:tc>
      </w:tr>
      <w:tr w:rsidR="00BC340C" w14:paraId="2EBC857D" w14:textId="77777777" w:rsidTr="00E924BC">
        <w:tc>
          <w:tcPr>
            <w:tcW w:w="4675" w:type="dxa"/>
          </w:tcPr>
          <w:p w14:paraId="61C6D0B6" w14:textId="05159952" w:rsidR="00BC340C" w:rsidRDefault="00BC340C" w:rsidP="00BC340C">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Creatinine increased</w:t>
            </w:r>
          </w:p>
        </w:tc>
        <w:tc>
          <w:tcPr>
            <w:tcW w:w="4675" w:type="dxa"/>
          </w:tcPr>
          <w:p w14:paraId="2341CF5A" w14:textId="28A7A00E" w:rsidR="00BC340C" w:rsidRDefault="00BC340C" w:rsidP="00BC340C">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 3</w:t>
            </w:r>
          </w:p>
        </w:tc>
      </w:tr>
      <w:tr w:rsidR="00CF6E89" w14:paraId="21210854" w14:textId="77777777" w:rsidTr="00E924BC">
        <w:tc>
          <w:tcPr>
            <w:tcW w:w="4675" w:type="dxa"/>
          </w:tcPr>
          <w:p w14:paraId="1159E56E" w14:textId="62F109B0" w:rsidR="00CF6E89" w:rsidRDefault="00CF6E89" w:rsidP="00CF6E89">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lastRenderedPageBreak/>
              <w:t>Lipase increased</w:t>
            </w:r>
          </w:p>
        </w:tc>
        <w:tc>
          <w:tcPr>
            <w:tcW w:w="4675" w:type="dxa"/>
          </w:tcPr>
          <w:p w14:paraId="40C35858" w14:textId="540D8392" w:rsidR="00CF6E89" w:rsidRDefault="00CF6E89" w:rsidP="00CF6E89">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 3</w:t>
            </w:r>
          </w:p>
        </w:tc>
      </w:tr>
      <w:tr w:rsidR="00CF6E89" w14:paraId="15C83E49" w14:textId="77777777" w:rsidTr="00E924BC">
        <w:tc>
          <w:tcPr>
            <w:tcW w:w="4675" w:type="dxa"/>
          </w:tcPr>
          <w:p w14:paraId="0B4948A0" w14:textId="4CBB373A" w:rsidR="00CF6E89" w:rsidRDefault="00CF6E89" w:rsidP="00CF6E89">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B</w:t>
            </w:r>
            <w:r w:rsidR="00D72E20">
              <w:rPr>
                <w:iCs/>
                <w:color w:val="auto"/>
              </w:rPr>
              <w:t>lood b</w:t>
            </w:r>
            <w:r>
              <w:rPr>
                <w:iCs/>
                <w:color w:val="auto"/>
              </w:rPr>
              <w:t>icarbonate decreased</w:t>
            </w:r>
          </w:p>
        </w:tc>
        <w:tc>
          <w:tcPr>
            <w:tcW w:w="4675" w:type="dxa"/>
          </w:tcPr>
          <w:p w14:paraId="1573C7E4" w14:textId="351FA430" w:rsidR="00CF6E89" w:rsidRDefault="00CF6E89" w:rsidP="00CF6E89">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 3 (that cannot be corrected to ≤2 within 72 hours)</w:t>
            </w:r>
          </w:p>
        </w:tc>
      </w:tr>
      <w:tr w:rsidR="00CF6E89" w14:paraId="721CB2E5" w14:textId="77777777" w:rsidTr="00E924BC">
        <w:tc>
          <w:tcPr>
            <w:tcW w:w="4675" w:type="dxa"/>
          </w:tcPr>
          <w:p w14:paraId="3E0A42CC" w14:textId="000ED6BD" w:rsidR="00CF6E89" w:rsidRDefault="00BB3105" w:rsidP="00CF6E89">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 xml:space="preserve">Hyponatremia </w:t>
            </w:r>
          </w:p>
        </w:tc>
        <w:tc>
          <w:tcPr>
            <w:tcW w:w="4675" w:type="dxa"/>
          </w:tcPr>
          <w:p w14:paraId="2AB16281" w14:textId="4CB6D866" w:rsidR="00CF6E89" w:rsidRDefault="00BB3105" w:rsidP="00CF6E89">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 3 (that cannot be corrected to ≤2 within 72 hours)</w:t>
            </w:r>
          </w:p>
        </w:tc>
      </w:tr>
      <w:tr w:rsidR="00CF6E89" w14:paraId="2A297BFC" w14:textId="77777777" w:rsidTr="00E924BC">
        <w:tc>
          <w:tcPr>
            <w:tcW w:w="4675" w:type="dxa"/>
          </w:tcPr>
          <w:p w14:paraId="5207F8B2" w14:textId="31E523BA" w:rsidR="00CF6E89" w:rsidRDefault="00BB3105" w:rsidP="00CF6E89">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Hypercalcemia</w:t>
            </w:r>
          </w:p>
        </w:tc>
        <w:tc>
          <w:tcPr>
            <w:tcW w:w="4675" w:type="dxa"/>
          </w:tcPr>
          <w:p w14:paraId="16DCA819" w14:textId="69AD470E" w:rsidR="00CF6E89" w:rsidRDefault="00BB3105" w:rsidP="00CF6E89">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 3 (that cannot be corrected to ≤2 within 72 hours)</w:t>
            </w:r>
          </w:p>
        </w:tc>
      </w:tr>
      <w:tr w:rsidR="00CF6E89" w14:paraId="07434C40" w14:textId="77777777" w:rsidTr="00E924BC">
        <w:tc>
          <w:tcPr>
            <w:tcW w:w="4675" w:type="dxa"/>
          </w:tcPr>
          <w:p w14:paraId="14862F2B" w14:textId="632C33CA" w:rsidR="00CF6E89" w:rsidRDefault="00BB3105" w:rsidP="00CF6E89">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Hyperkalemia</w:t>
            </w:r>
          </w:p>
        </w:tc>
        <w:tc>
          <w:tcPr>
            <w:tcW w:w="4675" w:type="dxa"/>
          </w:tcPr>
          <w:p w14:paraId="7ACC3612" w14:textId="407DC671" w:rsidR="00CF6E89" w:rsidRDefault="00BB3105" w:rsidP="00CF6E89">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 3 (that cannot be corrected to ≤2 within 72 hours)</w:t>
            </w:r>
          </w:p>
        </w:tc>
      </w:tr>
      <w:tr w:rsidR="00CF6E89" w14:paraId="2E8FDD0A" w14:textId="77777777" w:rsidTr="00E924BC">
        <w:tc>
          <w:tcPr>
            <w:tcW w:w="4675" w:type="dxa"/>
          </w:tcPr>
          <w:p w14:paraId="3BD0E288" w14:textId="2E53D985" w:rsidR="00CF6E89" w:rsidRDefault="00BB3105" w:rsidP="00CF6E89">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Hypoalbuminemia</w:t>
            </w:r>
          </w:p>
        </w:tc>
        <w:tc>
          <w:tcPr>
            <w:tcW w:w="4675" w:type="dxa"/>
          </w:tcPr>
          <w:p w14:paraId="578F467C" w14:textId="3E3196F6" w:rsidR="00CF6E89" w:rsidRDefault="00BB3105" w:rsidP="00CF6E89">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 3 (that cannot be corrected to ≤2 within 72 hours)</w:t>
            </w:r>
          </w:p>
        </w:tc>
      </w:tr>
      <w:tr w:rsidR="00CF6E89" w14:paraId="5D3F8470" w14:textId="77777777" w:rsidTr="00E924BC">
        <w:tc>
          <w:tcPr>
            <w:tcW w:w="4675" w:type="dxa"/>
          </w:tcPr>
          <w:p w14:paraId="601F81E0" w14:textId="7E2A3C19" w:rsidR="00CF6E89" w:rsidRDefault="00FE7ECC" w:rsidP="00CF6E89">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Dehydration</w:t>
            </w:r>
          </w:p>
        </w:tc>
        <w:tc>
          <w:tcPr>
            <w:tcW w:w="4675" w:type="dxa"/>
          </w:tcPr>
          <w:p w14:paraId="33C665E3" w14:textId="2E9A52F0" w:rsidR="00CF6E89" w:rsidRDefault="00FE7ECC" w:rsidP="00CF6E89">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 xml:space="preserve">≥ 3 </w:t>
            </w:r>
          </w:p>
        </w:tc>
      </w:tr>
      <w:tr w:rsidR="00CF6E89" w14:paraId="37708AB9" w14:textId="77777777" w:rsidTr="00E924BC">
        <w:tc>
          <w:tcPr>
            <w:tcW w:w="4675" w:type="dxa"/>
          </w:tcPr>
          <w:p w14:paraId="68C8A7C2" w14:textId="6D1AB2C1" w:rsidR="00CF6E89" w:rsidRDefault="00FE7ECC" w:rsidP="00CF6E89">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Anorexia</w:t>
            </w:r>
          </w:p>
        </w:tc>
        <w:tc>
          <w:tcPr>
            <w:tcW w:w="4675" w:type="dxa"/>
          </w:tcPr>
          <w:p w14:paraId="74D8ACF8" w14:textId="634B582F" w:rsidR="00CF6E89" w:rsidRDefault="00FE7ECC" w:rsidP="00CF6E89">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 xml:space="preserve">≥ 3 </w:t>
            </w:r>
          </w:p>
        </w:tc>
      </w:tr>
      <w:tr w:rsidR="00840387" w14:paraId="61DA4A89" w14:textId="77777777" w:rsidTr="00E924BC">
        <w:tc>
          <w:tcPr>
            <w:tcW w:w="4675" w:type="dxa"/>
          </w:tcPr>
          <w:p w14:paraId="11709D31" w14:textId="41B24651" w:rsidR="00840387" w:rsidRDefault="00840387" w:rsidP="00CF6E89">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Weight loss</w:t>
            </w:r>
          </w:p>
        </w:tc>
        <w:tc>
          <w:tcPr>
            <w:tcW w:w="4675" w:type="dxa"/>
          </w:tcPr>
          <w:p w14:paraId="284B0A63" w14:textId="2D78A596" w:rsidR="00840387" w:rsidRDefault="00840387" w:rsidP="00CF6E89">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 xml:space="preserve">≥ 3 </w:t>
            </w:r>
          </w:p>
        </w:tc>
      </w:tr>
      <w:tr w:rsidR="00840387" w14:paraId="243960F5" w14:textId="77777777" w:rsidTr="00E924BC">
        <w:tc>
          <w:tcPr>
            <w:tcW w:w="4675" w:type="dxa"/>
          </w:tcPr>
          <w:p w14:paraId="0E6A4A0E" w14:textId="5CE40561" w:rsidR="00840387" w:rsidRDefault="00840387" w:rsidP="00CF6E89">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Myalgia</w:t>
            </w:r>
          </w:p>
        </w:tc>
        <w:tc>
          <w:tcPr>
            <w:tcW w:w="4675" w:type="dxa"/>
          </w:tcPr>
          <w:p w14:paraId="1EA7BE39" w14:textId="79063B88" w:rsidR="00840387" w:rsidRDefault="00840387" w:rsidP="00CF6E89">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 3</w:t>
            </w:r>
          </w:p>
        </w:tc>
      </w:tr>
      <w:tr w:rsidR="00840387" w14:paraId="21C59662" w14:textId="77777777" w:rsidTr="00E924BC">
        <w:tc>
          <w:tcPr>
            <w:tcW w:w="4675" w:type="dxa"/>
          </w:tcPr>
          <w:p w14:paraId="48495F16" w14:textId="7EAE9933" w:rsidR="00840387" w:rsidRDefault="00840387" w:rsidP="00CF6E89">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Dizziness</w:t>
            </w:r>
          </w:p>
        </w:tc>
        <w:tc>
          <w:tcPr>
            <w:tcW w:w="4675" w:type="dxa"/>
          </w:tcPr>
          <w:p w14:paraId="41D19ECB" w14:textId="43D57C75" w:rsidR="00840387" w:rsidRDefault="00840387" w:rsidP="00CF6E89">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 3</w:t>
            </w:r>
          </w:p>
        </w:tc>
      </w:tr>
      <w:tr w:rsidR="00840387" w14:paraId="3C5C1C26" w14:textId="77777777" w:rsidTr="00E924BC">
        <w:tc>
          <w:tcPr>
            <w:tcW w:w="4675" w:type="dxa"/>
          </w:tcPr>
          <w:p w14:paraId="3426EFC4" w14:textId="071D9765" w:rsidR="00840387" w:rsidRDefault="00840387" w:rsidP="00CF6E89">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Dysgeusia</w:t>
            </w:r>
          </w:p>
        </w:tc>
        <w:tc>
          <w:tcPr>
            <w:tcW w:w="4675" w:type="dxa"/>
          </w:tcPr>
          <w:p w14:paraId="54C8F497" w14:textId="05A102E9" w:rsidR="00840387" w:rsidRDefault="00840387" w:rsidP="00CF6E89">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 3</w:t>
            </w:r>
          </w:p>
        </w:tc>
      </w:tr>
      <w:tr w:rsidR="00840387" w14:paraId="30883E2F" w14:textId="77777777" w:rsidTr="00E924BC">
        <w:tc>
          <w:tcPr>
            <w:tcW w:w="4675" w:type="dxa"/>
          </w:tcPr>
          <w:p w14:paraId="34B0A8BC" w14:textId="217C1969" w:rsidR="00840387" w:rsidRDefault="00840387" w:rsidP="00CF6E89">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Headache</w:t>
            </w:r>
          </w:p>
        </w:tc>
        <w:tc>
          <w:tcPr>
            <w:tcW w:w="4675" w:type="dxa"/>
          </w:tcPr>
          <w:p w14:paraId="78460059" w14:textId="467FC7D6" w:rsidR="00840387" w:rsidRDefault="00705AB9" w:rsidP="00CF6E89">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 3</w:t>
            </w:r>
          </w:p>
        </w:tc>
      </w:tr>
      <w:tr w:rsidR="00840387" w14:paraId="3807F64F" w14:textId="77777777" w:rsidTr="00E924BC">
        <w:tc>
          <w:tcPr>
            <w:tcW w:w="4675" w:type="dxa"/>
          </w:tcPr>
          <w:p w14:paraId="75C6619F" w14:textId="08A155E4" w:rsidR="00840387" w:rsidRDefault="00F55A36" w:rsidP="00CF6E89">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Cough</w:t>
            </w:r>
          </w:p>
        </w:tc>
        <w:tc>
          <w:tcPr>
            <w:tcW w:w="4675" w:type="dxa"/>
          </w:tcPr>
          <w:p w14:paraId="569BF4B7" w14:textId="7125FD1B" w:rsidR="00840387" w:rsidRDefault="00F55A36" w:rsidP="00CF6E89">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 3</w:t>
            </w:r>
          </w:p>
        </w:tc>
      </w:tr>
      <w:tr w:rsidR="00840387" w14:paraId="26ACFFA5" w14:textId="77777777" w:rsidTr="00E924BC">
        <w:tc>
          <w:tcPr>
            <w:tcW w:w="4675" w:type="dxa"/>
          </w:tcPr>
          <w:p w14:paraId="248108C5" w14:textId="6FF2A6C7" w:rsidR="00840387" w:rsidRDefault="00F55A36" w:rsidP="00CF6E89">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Dyspnea</w:t>
            </w:r>
          </w:p>
        </w:tc>
        <w:tc>
          <w:tcPr>
            <w:tcW w:w="4675" w:type="dxa"/>
          </w:tcPr>
          <w:p w14:paraId="053A3FC4" w14:textId="739E8020" w:rsidR="00840387" w:rsidRDefault="00F55A36" w:rsidP="00CF6E89">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 3</w:t>
            </w:r>
          </w:p>
        </w:tc>
      </w:tr>
      <w:tr w:rsidR="00840387" w14:paraId="148DA2F8" w14:textId="77777777" w:rsidTr="00E924BC">
        <w:tc>
          <w:tcPr>
            <w:tcW w:w="4675" w:type="dxa"/>
          </w:tcPr>
          <w:p w14:paraId="55D834AE" w14:textId="3A6145A4" w:rsidR="00840387" w:rsidRDefault="000B0B68" w:rsidP="00CF6E89">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Hypoxia</w:t>
            </w:r>
          </w:p>
        </w:tc>
        <w:tc>
          <w:tcPr>
            <w:tcW w:w="4675" w:type="dxa"/>
          </w:tcPr>
          <w:p w14:paraId="6269EBF3" w14:textId="40B974AD" w:rsidR="00840387" w:rsidRDefault="000B0B68" w:rsidP="00CF6E89">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 3</w:t>
            </w:r>
          </w:p>
        </w:tc>
      </w:tr>
      <w:tr w:rsidR="00840387" w14:paraId="37823AC8" w14:textId="77777777" w:rsidTr="00E924BC">
        <w:tc>
          <w:tcPr>
            <w:tcW w:w="4675" w:type="dxa"/>
          </w:tcPr>
          <w:p w14:paraId="18B1C7D5" w14:textId="5AD4D52F" w:rsidR="00840387" w:rsidRDefault="000B0B68" w:rsidP="00CF6E89">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Pneumonitis</w:t>
            </w:r>
          </w:p>
        </w:tc>
        <w:tc>
          <w:tcPr>
            <w:tcW w:w="4675" w:type="dxa"/>
          </w:tcPr>
          <w:p w14:paraId="774BF1A5" w14:textId="323E33A9" w:rsidR="00840387" w:rsidRDefault="000B0B68" w:rsidP="00CF6E89">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 3</w:t>
            </w:r>
          </w:p>
        </w:tc>
      </w:tr>
      <w:tr w:rsidR="00840387" w14:paraId="4F29A9A6" w14:textId="77777777" w:rsidTr="00E924BC">
        <w:tc>
          <w:tcPr>
            <w:tcW w:w="4675" w:type="dxa"/>
          </w:tcPr>
          <w:p w14:paraId="1A15DD9B" w14:textId="39600390" w:rsidR="00840387" w:rsidRDefault="000B0B68" w:rsidP="00CF6E89">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Rash</w:t>
            </w:r>
          </w:p>
        </w:tc>
        <w:tc>
          <w:tcPr>
            <w:tcW w:w="4675" w:type="dxa"/>
          </w:tcPr>
          <w:p w14:paraId="53E339B5" w14:textId="6B59C640" w:rsidR="00840387" w:rsidRDefault="000B0B68" w:rsidP="00CF6E89">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 3</w:t>
            </w:r>
          </w:p>
        </w:tc>
      </w:tr>
      <w:tr w:rsidR="00840387" w14:paraId="1FFFB730" w14:textId="77777777" w:rsidTr="00E924BC">
        <w:tc>
          <w:tcPr>
            <w:tcW w:w="4675" w:type="dxa"/>
          </w:tcPr>
          <w:p w14:paraId="0C5E176E" w14:textId="56A4B3BE" w:rsidR="00840387" w:rsidRDefault="00285493" w:rsidP="00CF6E89">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Dermatitis r</w:t>
            </w:r>
            <w:r w:rsidR="00D05D95">
              <w:rPr>
                <w:iCs/>
                <w:color w:val="auto"/>
              </w:rPr>
              <w:t>adiation</w:t>
            </w:r>
          </w:p>
        </w:tc>
        <w:tc>
          <w:tcPr>
            <w:tcW w:w="4675" w:type="dxa"/>
          </w:tcPr>
          <w:p w14:paraId="10B58D70" w14:textId="75D1964C" w:rsidR="00840387" w:rsidRDefault="00D05D95" w:rsidP="00CF6E89">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 4</w:t>
            </w:r>
          </w:p>
        </w:tc>
      </w:tr>
      <w:tr w:rsidR="00D05D95" w14:paraId="5E5F0AE5" w14:textId="77777777" w:rsidTr="00E924BC">
        <w:tc>
          <w:tcPr>
            <w:tcW w:w="4675" w:type="dxa"/>
          </w:tcPr>
          <w:p w14:paraId="30237A70" w14:textId="4D52C9D6" w:rsidR="00D05D95" w:rsidRDefault="00D05D95" w:rsidP="00D05D95">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Flushing</w:t>
            </w:r>
          </w:p>
        </w:tc>
        <w:tc>
          <w:tcPr>
            <w:tcW w:w="4675" w:type="dxa"/>
          </w:tcPr>
          <w:p w14:paraId="5C1CF7E6" w14:textId="7C15FF44" w:rsidR="00D05D95" w:rsidRDefault="00D05D95" w:rsidP="00D05D95">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 3</w:t>
            </w:r>
          </w:p>
        </w:tc>
      </w:tr>
      <w:tr w:rsidR="00D05D95" w14:paraId="21001D98" w14:textId="77777777" w:rsidTr="00E924BC">
        <w:tc>
          <w:tcPr>
            <w:tcW w:w="4675" w:type="dxa"/>
          </w:tcPr>
          <w:p w14:paraId="7F31D2F2" w14:textId="72EEBC73" w:rsidR="00D05D95" w:rsidRDefault="00D05D95" w:rsidP="00D05D95">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Hypertension</w:t>
            </w:r>
          </w:p>
        </w:tc>
        <w:tc>
          <w:tcPr>
            <w:tcW w:w="4675" w:type="dxa"/>
          </w:tcPr>
          <w:p w14:paraId="3576935D" w14:textId="4BC08595" w:rsidR="00D05D95" w:rsidRDefault="00D05D95" w:rsidP="00D05D95">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 3</w:t>
            </w:r>
          </w:p>
        </w:tc>
      </w:tr>
      <w:tr w:rsidR="00D05D95" w14:paraId="6F539B38" w14:textId="77777777" w:rsidTr="00E924BC">
        <w:tc>
          <w:tcPr>
            <w:tcW w:w="4675" w:type="dxa"/>
          </w:tcPr>
          <w:p w14:paraId="1C7C1CA6" w14:textId="33D17E12" w:rsidR="00D05D95" w:rsidRDefault="00D05D95" w:rsidP="00D05D95">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Hypotension</w:t>
            </w:r>
          </w:p>
        </w:tc>
        <w:tc>
          <w:tcPr>
            <w:tcW w:w="4675" w:type="dxa"/>
          </w:tcPr>
          <w:p w14:paraId="6063CA45" w14:textId="06DE4352" w:rsidR="00D05D95" w:rsidRDefault="00D05D95" w:rsidP="00D05D95">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 3</w:t>
            </w:r>
          </w:p>
        </w:tc>
      </w:tr>
    </w:tbl>
    <w:p w14:paraId="56F96030" w14:textId="77777777" w:rsidR="00465FDF" w:rsidRDefault="00465FDF" w:rsidP="00297CF6">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p>
    <w:p w14:paraId="197B5123" w14:textId="73D7632B" w:rsidR="006B2C9E" w:rsidRPr="002224D0" w:rsidRDefault="00353F6A" w:rsidP="00353F6A">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sidRPr="002224D0">
        <w:rPr>
          <w:iCs/>
          <w:color w:val="auto"/>
        </w:rPr>
        <w:t>Triapine has been observed to alter iron II (Fe2+) in hemoglobin and creates Fe3+ methemoglobin, an inactive state that cannot deliver oxygen to tissues.  Fe2+ in hemoglobin auto-oxidizes to Fe3+ methemoglobin at a rate of ~3% per day and is counterbalanced by a reductase system that limits methemoglobin concentrations to &lt;1% of hemoglobin.  Triapine may disrupt this balance and lead to higher-than-normal methemoglobin levels resulting in dyspnea, headaches, and altered cognition.  Should a patient develop grade 3 dyspnea lasting longer than 24 hours, arterial or venous blood gas (serial sampling as clinically indicated) will be obtained.  Management will include supplemental oxygen and IV administration of methylene blue to dose of 1-2mg/kg over 5-30 minutes (maximum single dose 100mg).  Methylene blue administration can be repeated 1 hour later if methemoglobin levels remain greater than 30% or symptoms persist.</w:t>
      </w:r>
    </w:p>
    <w:p w14:paraId="5E50D9BC" w14:textId="77777777" w:rsidR="00297CF6" w:rsidRDefault="00297CF6" w:rsidP="009E246E">
      <w:pPr>
        <w:suppressAutoHyphens/>
        <w:rPr>
          <w:highlight w:val="yellow"/>
        </w:rPr>
      </w:pPr>
    </w:p>
    <w:p w14:paraId="3C7C6EA2" w14:textId="247958D0" w:rsidR="009E246E" w:rsidRPr="001D68AF" w:rsidRDefault="009E246E" w:rsidP="009E246E">
      <w:pPr>
        <w:suppressAutoHyphens/>
      </w:pPr>
      <w:r w:rsidRPr="001D68AF">
        <w:t xml:space="preserve">Management and dose modifications associated with the above adverse events are outlined in Section </w:t>
      </w:r>
      <w:r w:rsidR="00F53684" w:rsidRPr="001D68AF">
        <w:t>7</w:t>
      </w:r>
      <w:r w:rsidRPr="001D68AF">
        <w:t>.</w:t>
      </w:r>
    </w:p>
    <w:p w14:paraId="0CAD13C6" w14:textId="77777777" w:rsidR="009E246E" w:rsidRPr="00402905" w:rsidRDefault="009E246E" w:rsidP="009E246E">
      <w:pPr>
        <w:suppressAutoHyphens/>
        <w:rPr>
          <w:highlight w:val="yellow"/>
        </w:rPr>
      </w:pPr>
    </w:p>
    <w:p w14:paraId="66DC3B04" w14:textId="2838C7F4" w:rsidR="009E246E" w:rsidRDefault="009E246E" w:rsidP="009E246E">
      <w:pPr>
        <w:widowControl/>
      </w:pPr>
      <w:r w:rsidRPr="00323D89">
        <w:lastRenderedPageBreak/>
        <w:t>Dose escalation will proceed within each cohort according to the  scheme</w:t>
      </w:r>
      <w:r w:rsidR="003C7310">
        <w:t xml:space="preserve"> in Section 9.</w:t>
      </w:r>
      <w:r w:rsidR="00CD1003">
        <w:t>1.1</w:t>
      </w:r>
      <w:r w:rsidRPr="00323D89">
        <w:t>.  Dose-limiting toxicity (DLT) is defined above.</w:t>
      </w:r>
    </w:p>
    <w:p w14:paraId="510E7DBD" w14:textId="77777777" w:rsidR="00B45F28" w:rsidRDefault="00B45F28" w:rsidP="009E246E">
      <w:pPr>
        <w:widowControl/>
      </w:pPr>
    </w:p>
    <w:p w14:paraId="785F0D35" w14:textId="49B72F3B" w:rsidR="007226AD" w:rsidRDefault="00226739" w:rsidP="00391E64">
      <w:pPr>
        <w:shd w:val="clear" w:color="auto" w:fill="FFFFFF" w:themeFill="background1"/>
        <w:rPr>
          <w:rFonts w:eastAsia="Arial Unicode MS"/>
        </w:rPr>
      </w:pPr>
      <w:r w:rsidRPr="00867AC5">
        <w:rPr>
          <w:rFonts w:eastAsia="Arial Unicode MS"/>
        </w:rPr>
        <w:t>We will employ the Bayesian optimal interval design</w:t>
      </w:r>
      <w:r w:rsidR="0022200F">
        <w:rPr>
          <w:rFonts w:eastAsia="Arial Unicode MS"/>
        </w:rPr>
        <w:t xml:space="preserve"> with backfill</w:t>
      </w:r>
      <w:r w:rsidRPr="00867AC5">
        <w:rPr>
          <w:rFonts w:eastAsia="Arial Unicode MS"/>
        </w:rPr>
        <w:t xml:space="preserve"> (</w:t>
      </w:r>
      <w:r w:rsidR="0022200F">
        <w:rPr>
          <w:rFonts w:eastAsia="Arial Unicode MS"/>
        </w:rPr>
        <w:t>BF-</w:t>
      </w:r>
      <w:r w:rsidRPr="00867AC5">
        <w:rPr>
          <w:rFonts w:eastAsia="Arial Unicode MS"/>
        </w:rPr>
        <w:t>BOIN) (</w:t>
      </w:r>
      <w:r w:rsidR="00286FE5">
        <w:rPr>
          <w:rFonts w:eastAsia="Arial Unicode MS"/>
        </w:rPr>
        <w:t xml:space="preserve">Zhao </w:t>
      </w:r>
      <w:r w:rsidR="00286FE5">
        <w:rPr>
          <w:rFonts w:eastAsia="Arial Unicode MS"/>
          <w:i/>
          <w:iCs/>
        </w:rPr>
        <w:t xml:space="preserve">et al., </w:t>
      </w:r>
      <w:r w:rsidR="00286FE5">
        <w:rPr>
          <w:rFonts w:eastAsia="Arial Unicode MS"/>
        </w:rPr>
        <w:t>2024</w:t>
      </w:r>
      <w:r w:rsidRPr="00867AC5">
        <w:rPr>
          <w:rFonts w:eastAsia="Arial Unicode MS"/>
        </w:rPr>
        <w:t xml:space="preserve">) to </w:t>
      </w:r>
      <w:r w:rsidR="00D91156" w:rsidRPr="00A7755A">
        <w:rPr>
          <w:rFonts w:eastAsia="Arial Unicode MS"/>
        </w:rPr>
        <w:t xml:space="preserve">guide dose escalation and establish </w:t>
      </w:r>
      <w:r w:rsidRPr="00867AC5">
        <w:rPr>
          <w:rFonts w:eastAsia="Arial Unicode MS"/>
        </w:rPr>
        <w:t xml:space="preserve">the MTD. </w:t>
      </w:r>
      <w:r w:rsidR="00DC1110">
        <w:rPr>
          <w:rFonts w:eastAsia="Arial Unicode MS"/>
        </w:rPr>
        <w:t xml:space="preserve"> </w:t>
      </w:r>
      <w:r w:rsidR="00C82FFB" w:rsidRPr="003E5806">
        <w:rPr>
          <w:rFonts w:eastAsia="Arial Unicode MS"/>
        </w:rPr>
        <w:t>BF-BOIN enables backfilling patients to dose</w:t>
      </w:r>
      <w:r w:rsidR="00C82FFB">
        <w:rPr>
          <w:rFonts w:eastAsia="Arial Unicode MS"/>
        </w:rPr>
        <w:t xml:space="preserve"> level</w:t>
      </w:r>
      <w:r w:rsidR="00C82FFB" w:rsidRPr="003E5806">
        <w:rPr>
          <w:rFonts w:eastAsia="Arial Unicode MS"/>
        </w:rPr>
        <w:t xml:space="preserve">s that are cleared for safety and have demonstrated activity during the dose escalation, thereby generating additional data on safety, tolerability, and preliminary activity on doses below the MTD. </w:t>
      </w:r>
      <w:r w:rsidR="00C82FFB">
        <w:rPr>
          <w:rFonts w:eastAsia="Arial Unicode MS"/>
        </w:rPr>
        <w:t xml:space="preserve"> </w:t>
      </w:r>
      <w:r w:rsidR="00C82FFB" w:rsidRPr="003E5806">
        <w:rPr>
          <w:rFonts w:eastAsia="Arial Unicode MS"/>
        </w:rPr>
        <w:t xml:space="preserve">This facilitates the identification of the recommended phase 2 dose (RP2D). </w:t>
      </w:r>
      <w:r w:rsidR="00C82FFB">
        <w:rPr>
          <w:rFonts w:eastAsia="Arial Unicode MS"/>
        </w:rPr>
        <w:t xml:space="preserve"> The procedure is </w:t>
      </w:r>
      <w:r w:rsidR="00C82FFB" w:rsidRPr="00D722BD">
        <w:rPr>
          <w:rFonts w:eastAsia="Arial Unicode MS"/>
        </w:rPr>
        <w:t>fully described in Section</w:t>
      </w:r>
      <w:r w:rsidR="00C82FFB">
        <w:rPr>
          <w:rFonts w:eastAsia="Arial Unicode MS"/>
        </w:rPr>
        <w:t xml:space="preserve"> 9.</w:t>
      </w:r>
    </w:p>
    <w:p w14:paraId="4ABD863E" w14:textId="77777777" w:rsidR="00E465F5" w:rsidRPr="00E465F5" w:rsidRDefault="00E465F5" w:rsidP="00FA6C21">
      <w:bookmarkStart w:id="85" w:name="_Toc318813012"/>
    </w:p>
    <w:p w14:paraId="63D3C77F" w14:textId="3354B116" w:rsidR="009E246E" w:rsidRPr="007300F3" w:rsidRDefault="009E246E" w:rsidP="00C94562">
      <w:pPr>
        <w:pStyle w:val="Heading2"/>
      </w:pPr>
      <w:bookmarkStart w:id="86" w:name="_Ref1546469"/>
      <w:bookmarkStart w:id="87" w:name="_Toc176419916"/>
      <w:r w:rsidRPr="007300F3">
        <w:t>General Concomitant Medication and Supportive Care Guidelines</w:t>
      </w:r>
      <w:bookmarkEnd w:id="85"/>
      <w:bookmarkEnd w:id="86"/>
      <w:bookmarkEnd w:id="87"/>
    </w:p>
    <w:p w14:paraId="2B7D5250" w14:textId="77777777" w:rsidR="00EF33F9" w:rsidRPr="007300F3" w:rsidRDefault="00EF33F9" w:rsidP="009E246E">
      <w:pPr>
        <w:rPr>
          <w:i/>
        </w:rPr>
      </w:pPr>
    </w:p>
    <w:p w14:paraId="223B4266" w14:textId="616B77E0" w:rsidR="00530CDB" w:rsidRDefault="00970912" w:rsidP="00F6477A">
      <w:pPr>
        <w:widowControl/>
        <w:rPr>
          <w:color w:val="auto"/>
        </w:rPr>
      </w:pPr>
      <w:r w:rsidRPr="002224D0">
        <w:rPr>
          <w:color w:val="auto"/>
        </w:rPr>
        <w:t xml:space="preserve">There are no known drug interactions with triapine.  </w:t>
      </w:r>
      <w:r w:rsidR="00EF33F9" w:rsidRPr="002224D0">
        <w:rPr>
          <w:color w:val="auto"/>
        </w:rPr>
        <w:t xml:space="preserve">Because there is a potential for interaction of </w:t>
      </w:r>
      <w:r w:rsidR="00CC1DC7" w:rsidRPr="002224D0">
        <w:rPr>
          <w:color w:val="auto"/>
        </w:rPr>
        <w:t>triapine</w:t>
      </w:r>
      <w:r w:rsidR="00EF33F9" w:rsidRPr="002224D0">
        <w:rPr>
          <w:color w:val="auto"/>
        </w:rPr>
        <w:t xml:space="preserve"> </w:t>
      </w:r>
      <w:r w:rsidR="00EF33F9">
        <w:t>with other concomitantly administered drugs, the case report form must capture the concurrent use of all other drugs, over-the-counter medications, or alternative therapies.  The Principal Investigator should be alerted if the patient is taking any agent known to affect or with the potential for drug interactions</w:t>
      </w:r>
      <w:r w:rsidR="009576DD">
        <w:t xml:space="preserve">, including </w:t>
      </w:r>
      <w:r w:rsidR="00171004">
        <w:t>bevacizumab for symptom control and supportive care</w:t>
      </w:r>
      <w:r w:rsidR="00EF33F9">
        <w:t xml:space="preserve">.  The study team should check a frequently updated medical reference for a list of drugs to avoid or minimize use of.  </w:t>
      </w:r>
      <w:hyperlink w:anchor="_APPENDIX_C_PATIENT" w:history="1">
        <w:r w:rsidR="00EF33F9" w:rsidRPr="006B26B6">
          <w:rPr>
            <w:rStyle w:val="Hyperlink"/>
          </w:rPr>
          <w:t xml:space="preserve">Appendix </w:t>
        </w:r>
        <w:r w:rsidR="00DB0596">
          <w:rPr>
            <w:rStyle w:val="Hyperlink"/>
          </w:rPr>
          <w:t>C</w:t>
        </w:r>
      </w:hyperlink>
      <w:r w:rsidR="00EF33F9">
        <w:t xml:space="preserve"> (Patient Drug Interactions Handout and Wallet Card) should be provided to patients if available.</w:t>
      </w:r>
      <w:r w:rsidR="00383A51" w:rsidRPr="00383A51">
        <w:rPr>
          <w:color w:val="auto"/>
        </w:rPr>
        <w:t xml:space="preserve"> </w:t>
      </w:r>
    </w:p>
    <w:p w14:paraId="6727E288" w14:textId="77777777" w:rsidR="00530CDB" w:rsidRDefault="00530CDB" w:rsidP="00F6477A">
      <w:pPr>
        <w:widowControl/>
        <w:rPr>
          <w:color w:val="auto"/>
        </w:rPr>
      </w:pPr>
    </w:p>
    <w:p w14:paraId="01CB8170" w14:textId="50BECD7B" w:rsidR="00EF33F9" w:rsidRDefault="00383A51" w:rsidP="00F6477A">
      <w:pPr>
        <w:widowControl/>
      </w:pPr>
      <w:r>
        <w:rPr>
          <w:color w:val="auto"/>
        </w:rPr>
        <w:t>Patients may use bevacizumab for the purpose of symptom control.</w:t>
      </w:r>
    </w:p>
    <w:p w14:paraId="4CCCCC0B" w14:textId="77777777" w:rsidR="00003104" w:rsidRDefault="00003104" w:rsidP="00F6477A">
      <w:pPr>
        <w:widowControl/>
      </w:pPr>
    </w:p>
    <w:p w14:paraId="51DD54F7" w14:textId="29011892" w:rsidR="00EF33F9" w:rsidRPr="007A2C2C" w:rsidRDefault="00003104" w:rsidP="007A2C2C">
      <w:pPr>
        <w:widowControl/>
        <w:rPr>
          <w:color w:val="auto"/>
        </w:rPr>
      </w:pPr>
      <w:r w:rsidRPr="002224D0">
        <w:rPr>
          <w:color w:val="auto"/>
        </w:rPr>
        <w:t xml:space="preserve">FDA-approved biosimilar growth factors </w:t>
      </w:r>
      <w:r w:rsidRPr="008B6AD3">
        <w:rPr>
          <w:color w:val="auto"/>
        </w:rPr>
        <w:t>are</w:t>
      </w:r>
      <w:r w:rsidRPr="002224D0">
        <w:rPr>
          <w:color w:val="auto"/>
        </w:rPr>
        <w:t xml:space="preserve"> acceptable according to institutional policies.</w:t>
      </w:r>
      <w:r w:rsidR="00586FDD">
        <w:rPr>
          <w:color w:val="auto"/>
        </w:rPr>
        <w:t xml:space="preserve">  </w:t>
      </w:r>
    </w:p>
    <w:p w14:paraId="6D3C1BAA" w14:textId="77777777" w:rsidR="00F6477A" w:rsidRDefault="00F6477A" w:rsidP="00F6477A">
      <w:pPr>
        <w:widowControl/>
      </w:pPr>
    </w:p>
    <w:p w14:paraId="35FE4CEF" w14:textId="77777777" w:rsidR="009E246E" w:rsidRPr="007300F3" w:rsidRDefault="009E246E" w:rsidP="00C94562">
      <w:pPr>
        <w:pStyle w:val="Heading2"/>
      </w:pPr>
      <w:bookmarkStart w:id="88" w:name="_Toc318813013"/>
      <w:bookmarkStart w:id="89" w:name="_Toc176419917"/>
      <w:r w:rsidRPr="007300F3">
        <w:t>Duration of Therapy</w:t>
      </w:r>
      <w:bookmarkEnd w:id="88"/>
      <w:bookmarkEnd w:id="89"/>
    </w:p>
    <w:p w14:paraId="77DA302F" w14:textId="77777777" w:rsidR="009E246E" w:rsidRPr="007300F3" w:rsidRDefault="009E246E" w:rsidP="009E246E">
      <w:pPr>
        <w:suppressAutoHyphens/>
      </w:pPr>
    </w:p>
    <w:p w14:paraId="0877603B" w14:textId="27285FEC" w:rsidR="009E246E" w:rsidRPr="007300F3" w:rsidRDefault="009E246E" w:rsidP="009E246E">
      <w:pPr>
        <w:suppressAutoHyphens/>
      </w:pPr>
      <w:bookmarkStart w:id="90" w:name="_Hlk502773833"/>
      <w:r w:rsidRPr="007300F3">
        <w:t>In the absence of treatment delays due to adverse event</w:t>
      </w:r>
      <w:r>
        <w:t>(</w:t>
      </w:r>
      <w:r w:rsidRPr="007300F3">
        <w:t>s</w:t>
      </w:r>
      <w:r>
        <w:t>)</w:t>
      </w:r>
      <w:r w:rsidRPr="007300F3">
        <w:t>, treatment may continue until one of the following criteria applies:</w:t>
      </w:r>
    </w:p>
    <w:p w14:paraId="66B3734D" w14:textId="77777777" w:rsidR="009E246E" w:rsidRPr="007300F3" w:rsidRDefault="009E246E" w:rsidP="009E246E">
      <w:pPr>
        <w:suppressAutoHyphens/>
      </w:pPr>
    </w:p>
    <w:p w14:paraId="0D5B2FD6" w14:textId="12EC81C0" w:rsidR="009E246E" w:rsidRPr="007300F3" w:rsidRDefault="009E246E" w:rsidP="00724DD8">
      <w:pPr>
        <w:numPr>
          <w:ilvl w:val="0"/>
          <w:numId w:val="4"/>
        </w:numPr>
        <w:tabs>
          <w:tab w:val="clear" w:pos="360"/>
        </w:tabs>
        <w:suppressAutoHyphens/>
        <w:ind w:left="720"/>
      </w:pPr>
      <w:r w:rsidRPr="007300F3">
        <w:t>Disease progression</w:t>
      </w:r>
    </w:p>
    <w:p w14:paraId="7E46D691" w14:textId="77777777" w:rsidR="009E246E" w:rsidRPr="007300F3" w:rsidRDefault="009E246E" w:rsidP="00724DD8">
      <w:pPr>
        <w:suppressAutoHyphens/>
        <w:ind w:left="720"/>
      </w:pPr>
    </w:p>
    <w:p w14:paraId="7EA270DB" w14:textId="77777777" w:rsidR="009E246E" w:rsidRPr="007300F3" w:rsidRDefault="009E246E" w:rsidP="00724DD8">
      <w:pPr>
        <w:numPr>
          <w:ilvl w:val="0"/>
          <w:numId w:val="4"/>
        </w:numPr>
        <w:tabs>
          <w:tab w:val="clear" w:pos="360"/>
        </w:tabs>
        <w:suppressAutoHyphens/>
        <w:ind w:left="720"/>
      </w:pPr>
      <w:r w:rsidRPr="007300F3">
        <w:t>Intercurrent illness that prevents further administration of treatment</w:t>
      </w:r>
    </w:p>
    <w:p w14:paraId="38D08F40" w14:textId="77777777" w:rsidR="009E246E" w:rsidRPr="007300F3" w:rsidRDefault="009E246E" w:rsidP="00724DD8">
      <w:pPr>
        <w:suppressAutoHyphens/>
        <w:ind w:left="720" w:hanging="360"/>
      </w:pPr>
    </w:p>
    <w:p w14:paraId="3414504F" w14:textId="77777777" w:rsidR="009E246E" w:rsidRPr="007300F3" w:rsidRDefault="009E246E" w:rsidP="00724DD8">
      <w:pPr>
        <w:numPr>
          <w:ilvl w:val="0"/>
          <w:numId w:val="4"/>
        </w:numPr>
        <w:tabs>
          <w:tab w:val="clear" w:pos="360"/>
        </w:tabs>
        <w:suppressAutoHyphens/>
        <w:ind w:left="720"/>
      </w:pPr>
      <w:r w:rsidRPr="007300F3">
        <w:t>Unacceptable adverse event(s)</w:t>
      </w:r>
    </w:p>
    <w:p w14:paraId="0A59BA2C" w14:textId="77777777" w:rsidR="009E246E" w:rsidRPr="007300F3" w:rsidRDefault="009E246E" w:rsidP="00724DD8">
      <w:pPr>
        <w:suppressAutoHyphens/>
        <w:ind w:left="720" w:hanging="360"/>
      </w:pPr>
    </w:p>
    <w:p w14:paraId="2F47EACC" w14:textId="77777777" w:rsidR="009E246E" w:rsidRPr="007300F3" w:rsidRDefault="009E246E" w:rsidP="00724DD8">
      <w:pPr>
        <w:numPr>
          <w:ilvl w:val="0"/>
          <w:numId w:val="4"/>
        </w:numPr>
        <w:tabs>
          <w:tab w:val="clear" w:pos="360"/>
        </w:tabs>
        <w:suppressAutoHyphens/>
        <w:ind w:left="720"/>
      </w:pPr>
      <w:r w:rsidRPr="007300F3">
        <w:t>Patient decides to withdraw from the study</w:t>
      </w:r>
    </w:p>
    <w:p w14:paraId="75077284" w14:textId="77777777" w:rsidR="009E246E" w:rsidRPr="007300F3" w:rsidRDefault="009E246E" w:rsidP="00724DD8">
      <w:pPr>
        <w:suppressAutoHyphens/>
        <w:ind w:left="720" w:hanging="360"/>
      </w:pPr>
    </w:p>
    <w:p w14:paraId="39C12D10" w14:textId="77777777" w:rsidR="009E246E" w:rsidRDefault="009E246E" w:rsidP="00724DD8">
      <w:pPr>
        <w:numPr>
          <w:ilvl w:val="0"/>
          <w:numId w:val="4"/>
        </w:numPr>
        <w:tabs>
          <w:tab w:val="clear" w:pos="360"/>
        </w:tabs>
        <w:suppressAutoHyphens/>
        <w:ind w:left="720"/>
      </w:pPr>
      <w:r w:rsidRPr="007300F3">
        <w:t>General or specific changes in the patient's condition render the patient unacceptable for further treatment in the judgment of the investigator</w:t>
      </w:r>
    </w:p>
    <w:p w14:paraId="42EA8313" w14:textId="77777777" w:rsidR="004F49B7" w:rsidRDefault="004F49B7" w:rsidP="00724DD8">
      <w:pPr>
        <w:pStyle w:val="ListParagraph"/>
      </w:pPr>
    </w:p>
    <w:p w14:paraId="39B33596" w14:textId="77777777" w:rsidR="004F49B7" w:rsidRPr="00762903" w:rsidRDefault="004F49B7" w:rsidP="00724DD8">
      <w:pPr>
        <w:numPr>
          <w:ilvl w:val="0"/>
          <w:numId w:val="4"/>
        </w:numPr>
        <w:tabs>
          <w:tab w:val="clear" w:pos="360"/>
        </w:tabs>
        <w:suppressAutoHyphens/>
        <w:ind w:left="720"/>
      </w:pPr>
      <w:r w:rsidRPr="00762903">
        <w:t>Clinical progression</w:t>
      </w:r>
    </w:p>
    <w:p w14:paraId="2B1B927C" w14:textId="77777777" w:rsidR="004F49B7" w:rsidRPr="00762903" w:rsidRDefault="004F49B7" w:rsidP="00724DD8">
      <w:pPr>
        <w:pStyle w:val="ListParagraph"/>
      </w:pPr>
    </w:p>
    <w:p w14:paraId="5BCF7477" w14:textId="77777777" w:rsidR="004F49B7" w:rsidRPr="00762903" w:rsidRDefault="004F49B7" w:rsidP="00724DD8">
      <w:pPr>
        <w:numPr>
          <w:ilvl w:val="0"/>
          <w:numId w:val="4"/>
        </w:numPr>
        <w:tabs>
          <w:tab w:val="clear" w:pos="360"/>
        </w:tabs>
        <w:suppressAutoHyphens/>
        <w:ind w:left="720"/>
      </w:pPr>
      <w:r w:rsidRPr="00762903">
        <w:t>Patient non-compliance</w:t>
      </w:r>
    </w:p>
    <w:p w14:paraId="40B3D5C4" w14:textId="77777777" w:rsidR="004F49B7" w:rsidRPr="00762903" w:rsidRDefault="004F49B7" w:rsidP="00724DD8">
      <w:pPr>
        <w:pStyle w:val="ListParagraph"/>
      </w:pPr>
    </w:p>
    <w:p w14:paraId="4E1CA68E" w14:textId="77777777" w:rsidR="004F49B7" w:rsidRPr="00762903" w:rsidRDefault="004F49B7" w:rsidP="00724DD8">
      <w:pPr>
        <w:numPr>
          <w:ilvl w:val="0"/>
          <w:numId w:val="4"/>
        </w:numPr>
        <w:tabs>
          <w:tab w:val="clear" w:pos="360"/>
        </w:tabs>
        <w:suppressAutoHyphens/>
        <w:ind w:left="720"/>
      </w:pPr>
      <w:r w:rsidRPr="00762903">
        <w:t>Pregnancy</w:t>
      </w:r>
    </w:p>
    <w:p w14:paraId="3C2E7412" w14:textId="77777777" w:rsidR="004F49B7" w:rsidRPr="00762903" w:rsidRDefault="004F49B7" w:rsidP="00FA6C21">
      <w:pPr>
        <w:pStyle w:val="ListParagraph"/>
      </w:pPr>
    </w:p>
    <w:p w14:paraId="5D27B240" w14:textId="734E95C9" w:rsidR="004F49B7" w:rsidRPr="00762903" w:rsidRDefault="004F49B7" w:rsidP="00562B10">
      <w:pPr>
        <w:numPr>
          <w:ilvl w:val="0"/>
          <w:numId w:val="29"/>
        </w:numPr>
        <w:suppressAutoHyphens/>
        <w:ind w:left="1080"/>
      </w:pPr>
      <w:r w:rsidRPr="00762903">
        <w:t>All women of child</w:t>
      </w:r>
      <w:r w:rsidR="00570CE3">
        <w:t>-</w:t>
      </w:r>
      <w:r w:rsidRPr="00762903">
        <w:t>bearing potential should be instructed to contact the investigator immediately if they suspect they might be pregnant (</w:t>
      </w:r>
      <w:r w:rsidRPr="00157563">
        <w:rPr>
          <w:i/>
        </w:rPr>
        <w:t>e.g.</w:t>
      </w:r>
      <w:r w:rsidRPr="00762903">
        <w:t>, missed or late menstrual period) at any time during study participation.</w:t>
      </w:r>
    </w:p>
    <w:p w14:paraId="56EE27AD" w14:textId="77777777" w:rsidR="004F49B7" w:rsidRPr="00762903" w:rsidRDefault="004F49B7" w:rsidP="00724DD8">
      <w:pPr>
        <w:pStyle w:val="ListParagraph"/>
        <w:ind w:left="1080"/>
      </w:pPr>
    </w:p>
    <w:p w14:paraId="0974FD4E" w14:textId="77777777" w:rsidR="004F49B7" w:rsidRPr="00762903" w:rsidRDefault="004F49B7" w:rsidP="00562B10">
      <w:pPr>
        <w:numPr>
          <w:ilvl w:val="0"/>
          <w:numId w:val="29"/>
        </w:numPr>
        <w:suppressAutoHyphens/>
        <w:ind w:left="1080"/>
      </w:pPr>
      <w:r w:rsidRPr="00762903">
        <w:t>The investigator must immediately notify CTEP in the event of a confirmed pregnancy in a patient participating in the study.</w:t>
      </w:r>
    </w:p>
    <w:p w14:paraId="68264A90" w14:textId="77777777" w:rsidR="004F49B7" w:rsidRPr="00762903" w:rsidRDefault="004F49B7" w:rsidP="00266911">
      <w:pPr>
        <w:pStyle w:val="ListParagraph"/>
      </w:pPr>
    </w:p>
    <w:p w14:paraId="20075D1E" w14:textId="77777777" w:rsidR="004F49B7" w:rsidRPr="00762903" w:rsidRDefault="004F49B7" w:rsidP="00266911">
      <w:pPr>
        <w:numPr>
          <w:ilvl w:val="0"/>
          <w:numId w:val="4"/>
        </w:numPr>
        <w:tabs>
          <w:tab w:val="clear" w:pos="360"/>
        </w:tabs>
        <w:suppressAutoHyphens/>
        <w:ind w:left="720"/>
      </w:pPr>
      <w:r w:rsidRPr="00762903">
        <w:t>Termination of the study by sponsor</w:t>
      </w:r>
    </w:p>
    <w:p w14:paraId="558C0377" w14:textId="77777777" w:rsidR="004F49B7" w:rsidRPr="00762903" w:rsidRDefault="004F49B7" w:rsidP="00266911">
      <w:pPr>
        <w:pStyle w:val="ListParagraph"/>
      </w:pPr>
    </w:p>
    <w:p w14:paraId="776DD594" w14:textId="77777777" w:rsidR="004F49B7" w:rsidRPr="00762903" w:rsidRDefault="004F49B7" w:rsidP="00266911">
      <w:pPr>
        <w:numPr>
          <w:ilvl w:val="0"/>
          <w:numId w:val="4"/>
        </w:numPr>
        <w:tabs>
          <w:tab w:val="clear" w:pos="360"/>
        </w:tabs>
        <w:suppressAutoHyphens/>
        <w:ind w:left="720"/>
      </w:pPr>
      <w:r w:rsidRPr="00762903">
        <w:t>The drug manufacturer can no longer provide the study agent</w:t>
      </w:r>
    </w:p>
    <w:p w14:paraId="4BA77771" w14:textId="77777777" w:rsidR="009E246E" w:rsidRDefault="009E246E" w:rsidP="009E246E"/>
    <w:p w14:paraId="729DFA72" w14:textId="412C793E" w:rsidR="00994CA6" w:rsidRDefault="00994CA6" w:rsidP="009E246E">
      <w:r>
        <w:t>The reason(s) for protocol therapy discontinuation</w:t>
      </w:r>
      <w:r w:rsidR="000A0F21">
        <w:t>,</w:t>
      </w:r>
      <w:r>
        <w:t xml:space="preserve"> </w:t>
      </w:r>
      <w:r w:rsidR="000A0F21">
        <w:t>the reason(s) for</w:t>
      </w:r>
      <w:r>
        <w:t xml:space="preserve"> study removal</w:t>
      </w:r>
      <w:r w:rsidR="000A0F21">
        <w:t>,</w:t>
      </w:r>
      <w:r>
        <w:t xml:space="preserve"> and the corresponding dates must be documented in the Case Report Form (CRF).</w:t>
      </w:r>
      <w:bookmarkEnd w:id="90"/>
    </w:p>
    <w:p w14:paraId="319DE3CC" w14:textId="77777777" w:rsidR="00994CA6" w:rsidRPr="007300F3" w:rsidRDefault="00994CA6" w:rsidP="009E246E"/>
    <w:p w14:paraId="1138D0AB" w14:textId="2B37DA9B" w:rsidR="009E246E" w:rsidRPr="007300F3" w:rsidRDefault="009E246E" w:rsidP="00C94562">
      <w:pPr>
        <w:pStyle w:val="Heading2"/>
      </w:pPr>
      <w:bookmarkStart w:id="91" w:name="_Toc318813014"/>
      <w:bookmarkStart w:id="92" w:name="_Toc176419918"/>
      <w:r w:rsidRPr="007300F3">
        <w:t>Duration of Follow</w:t>
      </w:r>
      <w:r w:rsidR="003D7AF0">
        <w:t>-</w:t>
      </w:r>
      <w:r w:rsidRPr="007300F3">
        <w:t>Up</w:t>
      </w:r>
      <w:bookmarkEnd w:id="91"/>
      <w:bookmarkEnd w:id="92"/>
    </w:p>
    <w:p w14:paraId="4BA9F581" w14:textId="77777777" w:rsidR="009E246E" w:rsidRPr="007300F3" w:rsidRDefault="009E246E" w:rsidP="009E246E"/>
    <w:p w14:paraId="6B2410DE" w14:textId="34194B30" w:rsidR="009E246E" w:rsidRPr="007300F3" w:rsidRDefault="009E246E" w:rsidP="00E64BCF">
      <w:pPr>
        <w:widowControl/>
      </w:pPr>
      <w:r w:rsidRPr="007300F3">
        <w:t>Patients will be</w:t>
      </w:r>
      <w:r w:rsidR="00F568DF">
        <w:t xml:space="preserve"> check</w:t>
      </w:r>
      <w:r w:rsidR="00A746F8">
        <w:t xml:space="preserve">ed </w:t>
      </w:r>
      <w:r w:rsidR="0037475A">
        <w:t xml:space="preserve">at the clinic </w:t>
      </w:r>
      <w:r w:rsidR="00A746F8">
        <w:t xml:space="preserve">approximately </w:t>
      </w:r>
      <w:r w:rsidR="00A746F8" w:rsidRPr="00F556A6">
        <w:t>two weeks after completing radiation treatment and then</w:t>
      </w:r>
      <w:r w:rsidRPr="00F556A6">
        <w:t xml:space="preserve"> followed</w:t>
      </w:r>
      <w:r w:rsidR="004E4605">
        <w:t xml:space="preserve"> (at the clinic or by telemedicine)</w:t>
      </w:r>
      <w:r w:rsidRPr="00BF1E6A">
        <w:t xml:space="preserve"> for</w:t>
      </w:r>
      <w:r w:rsidR="00A746F8" w:rsidRPr="00BF1E6A">
        <w:t xml:space="preserve"> every three months for </w:t>
      </w:r>
      <w:r w:rsidR="009E3A4B">
        <w:t xml:space="preserve">up to </w:t>
      </w:r>
      <w:r w:rsidR="00A746F8" w:rsidRPr="00BF1E6A">
        <w:t>two years</w:t>
      </w:r>
      <w:r w:rsidRPr="007300F3">
        <w:t xml:space="preserve"> </w:t>
      </w:r>
      <w:r w:rsidR="00C240F5">
        <w:t xml:space="preserve">or until </w:t>
      </w:r>
      <w:r w:rsidRPr="007300F3">
        <w:t>removal from study</w:t>
      </w:r>
      <w:r w:rsidR="0058255F">
        <w:t xml:space="preserve">, disease progression, </w:t>
      </w:r>
      <w:r w:rsidRPr="007300F3">
        <w:t>or death, whichever occurs first.  Patients removed from study for unacceptable adverse event</w:t>
      </w:r>
      <w:r>
        <w:t>(</w:t>
      </w:r>
      <w:r w:rsidRPr="007300F3">
        <w:t>s</w:t>
      </w:r>
      <w:r>
        <w:t>)</w:t>
      </w:r>
      <w:r w:rsidRPr="007300F3">
        <w:t xml:space="preserve"> will be followed until resolution or stabilization of the adverse event.</w:t>
      </w:r>
    </w:p>
    <w:p w14:paraId="61A8160C" w14:textId="77777777" w:rsidR="009E246E" w:rsidRPr="007300F3" w:rsidRDefault="009E246E" w:rsidP="009E246E">
      <w:pPr>
        <w:suppressAutoHyphens/>
      </w:pPr>
    </w:p>
    <w:p w14:paraId="0862BEE0" w14:textId="212BC5EA" w:rsidR="009E246E" w:rsidRPr="00500F6B" w:rsidRDefault="009E246E" w:rsidP="00C94562">
      <w:pPr>
        <w:pStyle w:val="Heading1"/>
      </w:pPr>
      <w:bookmarkStart w:id="93" w:name="_Toc318813016"/>
      <w:bookmarkStart w:id="94" w:name="_Toc176419919"/>
      <w:r w:rsidRPr="00500F6B">
        <w:t>DOSING DELAYS/DOSE MODIFICATIONS</w:t>
      </w:r>
      <w:bookmarkEnd w:id="93"/>
      <w:bookmarkEnd w:id="94"/>
    </w:p>
    <w:p w14:paraId="20FFDB37" w14:textId="77777777" w:rsidR="009E246E" w:rsidRPr="007300F3" w:rsidRDefault="009E246E" w:rsidP="009E246E">
      <w:pPr>
        <w:widowControl/>
      </w:pPr>
    </w:p>
    <w:tbl>
      <w:tblPr>
        <w:tblW w:w="619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firstRow="1" w:lastRow="1" w:firstColumn="1" w:lastColumn="1" w:noHBand="0" w:noVBand="0"/>
      </w:tblPr>
      <w:tblGrid>
        <w:gridCol w:w="3052"/>
        <w:gridCol w:w="3144"/>
      </w:tblGrid>
      <w:tr w:rsidR="00E62C0C" w:rsidRPr="00C023DD" w14:paraId="65A4D2F0" w14:textId="05AC7CBA" w:rsidTr="00570CE3">
        <w:trPr>
          <w:trHeight w:val="265"/>
        </w:trPr>
        <w:tc>
          <w:tcPr>
            <w:tcW w:w="3052" w:type="dxa"/>
          </w:tcPr>
          <w:p w14:paraId="1289A087" w14:textId="77777777" w:rsidR="00E62C0C" w:rsidRPr="002224D0" w:rsidRDefault="00E62C0C" w:rsidP="0067469D">
            <w:pPr>
              <w:widowControl/>
              <w:tabs>
                <w:tab w:val="left" w:pos="-1080"/>
                <w:tab w:val="left" w:pos="-720"/>
                <w:tab w:val="left" w:pos="0"/>
                <w:tab w:val="left" w:pos="360"/>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jc w:val="center"/>
              <w:rPr>
                <w:b/>
                <w:color w:val="auto"/>
              </w:rPr>
            </w:pPr>
            <w:r w:rsidRPr="002224D0">
              <w:rPr>
                <w:b/>
                <w:color w:val="auto"/>
              </w:rPr>
              <w:t>Dose Level</w:t>
            </w:r>
          </w:p>
        </w:tc>
        <w:tc>
          <w:tcPr>
            <w:tcW w:w="3144" w:type="dxa"/>
          </w:tcPr>
          <w:p w14:paraId="44E022D3" w14:textId="7930D873" w:rsidR="00E62C0C" w:rsidRPr="002224D0" w:rsidRDefault="00E62C0C" w:rsidP="0067469D">
            <w:pPr>
              <w:widowControl/>
              <w:tabs>
                <w:tab w:val="left" w:pos="-1080"/>
                <w:tab w:val="left" w:pos="-720"/>
                <w:tab w:val="left" w:pos="0"/>
                <w:tab w:val="left" w:pos="360"/>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jc w:val="center"/>
              <w:rPr>
                <w:b/>
                <w:color w:val="auto"/>
              </w:rPr>
            </w:pPr>
            <w:r w:rsidRPr="002224D0">
              <w:rPr>
                <w:b/>
                <w:color w:val="auto"/>
              </w:rPr>
              <w:t>Triapine (mg)</w:t>
            </w:r>
          </w:p>
        </w:tc>
      </w:tr>
      <w:tr w:rsidR="00E62C0C" w:rsidRPr="00C023DD" w14:paraId="45B85A85" w14:textId="34CFA5C4" w:rsidTr="00570CE3">
        <w:trPr>
          <w:trHeight w:val="265"/>
        </w:trPr>
        <w:tc>
          <w:tcPr>
            <w:tcW w:w="3052" w:type="dxa"/>
            <w:vAlign w:val="center"/>
          </w:tcPr>
          <w:p w14:paraId="46BB4898" w14:textId="53B799D9" w:rsidR="00E62C0C" w:rsidRPr="002224D0" w:rsidRDefault="00E62C0C" w:rsidP="0067469D">
            <w:pPr>
              <w:widowControl/>
              <w:tabs>
                <w:tab w:val="left" w:pos="-1080"/>
                <w:tab w:val="left" w:pos="-720"/>
                <w:tab w:val="left" w:pos="0"/>
                <w:tab w:val="left" w:pos="360"/>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jc w:val="center"/>
              <w:rPr>
                <w:color w:val="auto"/>
              </w:rPr>
            </w:pPr>
            <w:r w:rsidRPr="002224D0">
              <w:rPr>
                <w:color w:val="auto"/>
              </w:rPr>
              <w:t>1 (starting)</w:t>
            </w:r>
          </w:p>
        </w:tc>
        <w:tc>
          <w:tcPr>
            <w:tcW w:w="3144" w:type="dxa"/>
          </w:tcPr>
          <w:p w14:paraId="19DCC683" w14:textId="6860C598" w:rsidR="00E62C0C" w:rsidRPr="002224D0" w:rsidRDefault="00E62C0C" w:rsidP="0067469D">
            <w:pPr>
              <w:widowControl/>
              <w:tabs>
                <w:tab w:val="left" w:pos="-1080"/>
                <w:tab w:val="left" w:pos="-720"/>
                <w:tab w:val="left" w:pos="0"/>
                <w:tab w:val="left" w:pos="360"/>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jc w:val="center"/>
              <w:rPr>
                <w:iCs/>
                <w:color w:val="auto"/>
              </w:rPr>
            </w:pPr>
            <w:r w:rsidRPr="002224D0">
              <w:rPr>
                <w:iCs/>
                <w:color w:val="auto"/>
              </w:rPr>
              <w:t>50, once daily, weekdays</w:t>
            </w:r>
          </w:p>
        </w:tc>
      </w:tr>
      <w:tr w:rsidR="00E62C0C" w:rsidRPr="00C023DD" w14:paraId="427CE266" w14:textId="39FC5671" w:rsidTr="00570CE3">
        <w:trPr>
          <w:trHeight w:val="265"/>
        </w:trPr>
        <w:tc>
          <w:tcPr>
            <w:tcW w:w="3052" w:type="dxa"/>
            <w:vAlign w:val="center"/>
          </w:tcPr>
          <w:p w14:paraId="4C756C5E" w14:textId="1C67110F" w:rsidR="00E62C0C" w:rsidRPr="002224D0" w:rsidRDefault="00E62C0C" w:rsidP="0067469D">
            <w:pPr>
              <w:widowControl/>
              <w:tabs>
                <w:tab w:val="left" w:pos="-1080"/>
                <w:tab w:val="left" w:pos="-720"/>
                <w:tab w:val="left" w:pos="0"/>
                <w:tab w:val="left" w:pos="360"/>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jc w:val="center"/>
              <w:rPr>
                <w:color w:val="auto"/>
              </w:rPr>
            </w:pPr>
            <w:r w:rsidRPr="002224D0">
              <w:rPr>
                <w:color w:val="auto"/>
              </w:rPr>
              <w:t>2</w:t>
            </w:r>
          </w:p>
        </w:tc>
        <w:tc>
          <w:tcPr>
            <w:tcW w:w="3144" w:type="dxa"/>
          </w:tcPr>
          <w:p w14:paraId="4FCB3A00" w14:textId="20D00912" w:rsidR="00E62C0C" w:rsidRPr="002224D0" w:rsidRDefault="00E62C0C" w:rsidP="0067469D">
            <w:pPr>
              <w:widowControl/>
              <w:tabs>
                <w:tab w:val="left" w:pos="-1080"/>
                <w:tab w:val="left" w:pos="-720"/>
                <w:tab w:val="left" w:pos="0"/>
                <w:tab w:val="left" w:pos="360"/>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jc w:val="center"/>
              <w:rPr>
                <w:iCs/>
                <w:color w:val="auto"/>
              </w:rPr>
            </w:pPr>
            <w:r w:rsidRPr="002224D0">
              <w:rPr>
                <w:iCs/>
                <w:color w:val="auto"/>
              </w:rPr>
              <w:t>100, once daily, weekdays</w:t>
            </w:r>
          </w:p>
        </w:tc>
      </w:tr>
      <w:tr w:rsidR="00E62C0C" w:rsidRPr="00C023DD" w14:paraId="11835541" w14:textId="36556901" w:rsidTr="00570CE3">
        <w:trPr>
          <w:trHeight w:val="265"/>
        </w:trPr>
        <w:tc>
          <w:tcPr>
            <w:tcW w:w="3052" w:type="dxa"/>
            <w:vAlign w:val="center"/>
          </w:tcPr>
          <w:p w14:paraId="4C063912" w14:textId="744415C1" w:rsidR="00E62C0C" w:rsidRPr="002224D0" w:rsidRDefault="00E62C0C" w:rsidP="0067469D">
            <w:pPr>
              <w:widowControl/>
              <w:tabs>
                <w:tab w:val="left" w:pos="-1080"/>
                <w:tab w:val="left" w:pos="-720"/>
                <w:tab w:val="left" w:pos="0"/>
                <w:tab w:val="left" w:pos="360"/>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jc w:val="center"/>
              <w:rPr>
                <w:color w:val="auto"/>
              </w:rPr>
            </w:pPr>
            <w:r w:rsidRPr="002224D0">
              <w:rPr>
                <w:color w:val="auto"/>
              </w:rPr>
              <w:t>3</w:t>
            </w:r>
          </w:p>
        </w:tc>
        <w:tc>
          <w:tcPr>
            <w:tcW w:w="3144" w:type="dxa"/>
          </w:tcPr>
          <w:p w14:paraId="25C85576" w14:textId="15F5D525" w:rsidR="00E62C0C" w:rsidRPr="002224D0" w:rsidRDefault="00E62C0C" w:rsidP="0067469D">
            <w:pPr>
              <w:widowControl/>
              <w:tabs>
                <w:tab w:val="left" w:pos="-1080"/>
                <w:tab w:val="left" w:pos="-720"/>
                <w:tab w:val="left" w:pos="0"/>
                <w:tab w:val="left" w:pos="360"/>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jc w:val="center"/>
              <w:rPr>
                <w:iCs/>
                <w:color w:val="auto"/>
              </w:rPr>
            </w:pPr>
            <w:r w:rsidRPr="002224D0">
              <w:rPr>
                <w:iCs/>
                <w:color w:val="auto"/>
              </w:rPr>
              <w:t>150, once daily, weekdays</w:t>
            </w:r>
          </w:p>
        </w:tc>
      </w:tr>
      <w:tr w:rsidR="00E62C0C" w:rsidRPr="00C023DD" w14:paraId="70212CC7" w14:textId="55F093F5" w:rsidTr="00570CE3">
        <w:trPr>
          <w:trHeight w:val="265"/>
        </w:trPr>
        <w:tc>
          <w:tcPr>
            <w:tcW w:w="3052" w:type="dxa"/>
            <w:vAlign w:val="center"/>
          </w:tcPr>
          <w:p w14:paraId="766A59BB" w14:textId="5718C35B" w:rsidR="00E62C0C" w:rsidRPr="002224D0" w:rsidRDefault="00E62C0C" w:rsidP="0067469D">
            <w:pPr>
              <w:widowControl/>
              <w:tabs>
                <w:tab w:val="left" w:pos="-1080"/>
                <w:tab w:val="left" w:pos="-720"/>
                <w:tab w:val="left" w:pos="0"/>
                <w:tab w:val="left" w:pos="360"/>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jc w:val="center"/>
              <w:rPr>
                <w:color w:val="auto"/>
              </w:rPr>
            </w:pPr>
            <w:r w:rsidRPr="002224D0">
              <w:rPr>
                <w:color w:val="auto"/>
              </w:rPr>
              <w:t>4</w:t>
            </w:r>
          </w:p>
        </w:tc>
        <w:tc>
          <w:tcPr>
            <w:tcW w:w="3144" w:type="dxa"/>
          </w:tcPr>
          <w:p w14:paraId="690140D5" w14:textId="7FEEF907" w:rsidR="00E62C0C" w:rsidRPr="002224D0" w:rsidRDefault="00E62C0C" w:rsidP="0067469D">
            <w:pPr>
              <w:widowControl/>
              <w:tabs>
                <w:tab w:val="left" w:pos="-1080"/>
                <w:tab w:val="left" w:pos="-720"/>
                <w:tab w:val="left" w:pos="0"/>
                <w:tab w:val="left" w:pos="360"/>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jc w:val="center"/>
              <w:rPr>
                <w:iCs/>
                <w:color w:val="auto"/>
              </w:rPr>
            </w:pPr>
            <w:r w:rsidRPr="002224D0">
              <w:rPr>
                <w:iCs/>
                <w:color w:val="auto"/>
              </w:rPr>
              <w:t>200, once daily, weekdays</w:t>
            </w:r>
          </w:p>
        </w:tc>
      </w:tr>
    </w:tbl>
    <w:p w14:paraId="31700B02" w14:textId="77777777" w:rsidR="009E246E" w:rsidRDefault="009E246E" w:rsidP="009E246E">
      <w:pPr>
        <w:suppressAutoHyphens/>
      </w:pPr>
    </w:p>
    <w:p w14:paraId="5E42A74E" w14:textId="03D552AC" w:rsidR="003F1F3C" w:rsidRDefault="003F1F3C" w:rsidP="009E246E">
      <w:pPr>
        <w:suppressAutoHyphens/>
      </w:pPr>
      <w:r>
        <w:t>Radiation therapy may only be suspended secondary to a significant adverse event at the joint discretion of the patient’s treating physicians and the principal inve</w:t>
      </w:r>
      <w:r w:rsidR="00CB13AD">
        <w:t>stigator.</w:t>
      </w:r>
    </w:p>
    <w:p w14:paraId="4CEE6301" w14:textId="77777777" w:rsidR="003F1F3C" w:rsidRDefault="003F1F3C" w:rsidP="009E246E">
      <w:pPr>
        <w:suppressAutoHyphens/>
      </w:pPr>
    </w:p>
    <w:p w14:paraId="18159CB7" w14:textId="2253FDED" w:rsidR="00AC6FC4" w:rsidRDefault="00AC6FC4" w:rsidP="00EA0AFF">
      <w:pPr>
        <w:pStyle w:val="Heading2"/>
        <w:suppressAutoHyphens/>
      </w:pPr>
      <w:bookmarkStart w:id="95" w:name="_Toc176419920"/>
      <w:r>
        <w:t>Recommended Dose Modifications for Triapine</w:t>
      </w:r>
      <w:bookmarkEnd w:id="95"/>
    </w:p>
    <w:p w14:paraId="1BEE5C34" w14:textId="77777777" w:rsidR="000F3723" w:rsidRDefault="000F3723" w:rsidP="009E246E">
      <w:pPr>
        <w:suppressAutoHyphens/>
      </w:pPr>
    </w:p>
    <w:tbl>
      <w:tblPr>
        <w:tblW w:w="93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224"/>
        <w:gridCol w:w="3568"/>
        <w:gridCol w:w="3568"/>
      </w:tblGrid>
      <w:tr w:rsidR="009E246E" w:rsidRPr="00D34119" w14:paraId="5E03F5A4" w14:textId="77777777" w:rsidTr="0067469D">
        <w:trPr>
          <w:tblHeader/>
        </w:trPr>
        <w:tc>
          <w:tcPr>
            <w:tcW w:w="2224" w:type="dxa"/>
            <w:shd w:val="clear" w:color="auto" w:fill="auto"/>
            <w:vAlign w:val="center"/>
          </w:tcPr>
          <w:p w14:paraId="32631036" w14:textId="77777777" w:rsidR="009E246E" w:rsidRPr="00D34119" w:rsidRDefault="009E246E" w:rsidP="0067469D">
            <w:pPr>
              <w:tabs>
                <w:tab w:val="left" w:pos="0"/>
                <w:tab w:val="left" w:pos="360"/>
                <w:tab w:val="left" w:pos="720"/>
                <w:tab w:val="left" w:pos="1086"/>
                <w:tab w:val="left" w:pos="1440"/>
                <w:tab w:val="left" w:pos="1802"/>
                <w:tab w:val="left" w:pos="2160"/>
                <w:tab w:val="left" w:pos="2520"/>
                <w:tab w:val="left" w:pos="2880"/>
              </w:tabs>
              <w:suppressAutoHyphens/>
              <w:jc w:val="center"/>
              <w:rPr>
                <w:b/>
                <w:u w:val="single"/>
              </w:rPr>
            </w:pPr>
            <w:r w:rsidRPr="00D34119">
              <w:rPr>
                <w:b/>
                <w:u w:val="single"/>
              </w:rPr>
              <w:t>Nausea</w:t>
            </w:r>
          </w:p>
        </w:tc>
        <w:tc>
          <w:tcPr>
            <w:tcW w:w="3568" w:type="dxa"/>
            <w:shd w:val="clear" w:color="auto" w:fill="auto"/>
            <w:vAlign w:val="center"/>
          </w:tcPr>
          <w:p w14:paraId="1D71C235" w14:textId="73DD241D" w:rsidR="009E246E" w:rsidRPr="00D34119" w:rsidRDefault="009E246E" w:rsidP="0067469D">
            <w:pPr>
              <w:tabs>
                <w:tab w:val="left" w:pos="0"/>
                <w:tab w:val="left" w:pos="360"/>
                <w:tab w:val="left" w:pos="720"/>
                <w:tab w:val="left" w:pos="1086"/>
                <w:tab w:val="left" w:pos="1440"/>
                <w:tab w:val="left" w:pos="1802"/>
                <w:tab w:val="left" w:pos="2160"/>
                <w:tab w:val="left" w:pos="2520"/>
                <w:tab w:val="left" w:pos="2880"/>
              </w:tabs>
              <w:suppressAutoHyphens/>
              <w:jc w:val="center"/>
              <w:rPr>
                <w:b/>
                <w:color w:val="auto"/>
              </w:rPr>
            </w:pPr>
            <w:r w:rsidRPr="00D34119">
              <w:rPr>
                <w:b/>
                <w:color w:val="auto"/>
              </w:rPr>
              <w:t xml:space="preserve">Management/Next Dose for </w:t>
            </w:r>
            <w:r w:rsidR="00A56D02" w:rsidRPr="00D34119">
              <w:rPr>
                <w:b/>
                <w:color w:val="auto"/>
              </w:rPr>
              <w:t>Triapine</w:t>
            </w:r>
          </w:p>
        </w:tc>
        <w:tc>
          <w:tcPr>
            <w:tcW w:w="3568" w:type="dxa"/>
            <w:shd w:val="clear" w:color="auto" w:fill="auto"/>
            <w:vAlign w:val="center"/>
          </w:tcPr>
          <w:p w14:paraId="303435E2" w14:textId="0B24AFA8" w:rsidR="009E246E" w:rsidRPr="00172CEA" w:rsidRDefault="009E246E" w:rsidP="0067469D">
            <w:pPr>
              <w:tabs>
                <w:tab w:val="left" w:pos="0"/>
                <w:tab w:val="left" w:pos="360"/>
                <w:tab w:val="left" w:pos="720"/>
                <w:tab w:val="left" w:pos="1086"/>
                <w:tab w:val="left" w:pos="1440"/>
                <w:tab w:val="left" w:pos="1802"/>
                <w:tab w:val="left" w:pos="2160"/>
                <w:tab w:val="left" w:pos="2520"/>
                <w:tab w:val="left" w:pos="2880"/>
              </w:tabs>
              <w:suppressAutoHyphens/>
              <w:jc w:val="center"/>
              <w:rPr>
                <w:b/>
                <w:color w:val="auto"/>
              </w:rPr>
            </w:pPr>
            <w:r w:rsidRPr="00172CEA">
              <w:rPr>
                <w:b/>
                <w:color w:val="auto"/>
              </w:rPr>
              <w:t xml:space="preserve">Management/Next Dose for </w:t>
            </w:r>
            <w:r w:rsidR="00060162" w:rsidRPr="00D34119">
              <w:rPr>
                <w:b/>
                <w:iCs/>
                <w:color w:val="auto"/>
              </w:rPr>
              <w:t>Radiation</w:t>
            </w:r>
          </w:p>
        </w:tc>
      </w:tr>
      <w:tr w:rsidR="009E246E" w:rsidRPr="00D34119" w14:paraId="05B67E38" w14:textId="77777777" w:rsidTr="0067469D">
        <w:tc>
          <w:tcPr>
            <w:tcW w:w="2224" w:type="dxa"/>
            <w:shd w:val="clear" w:color="auto" w:fill="auto"/>
            <w:vAlign w:val="center"/>
          </w:tcPr>
          <w:p w14:paraId="58F38CE9" w14:textId="77777777" w:rsidR="009E246E" w:rsidRPr="00D34119" w:rsidRDefault="009E246E" w:rsidP="0067469D">
            <w:pPr>
              <w:tabs>
                <w:tab w:val="left" w:pos="0"/>
                <w:tab w:val="left" w:pos="360"/>
                <w:tab w:val="left" w:pos="720"/>
                <w:tab w:val="left" w:pos="1086"/>
                <w:tab w:val="left" w:pos="1440"/>
                <w:tab w:val="left" w:pos="1802"/>
                <w:tab w:val="left" w:pos="2160"/>
                <w:tab w:val="left" w:pos="2520"/>
                <w:tab w:val="left" w:pos="2880"/>
              </w:tabs>
              <w:suppressAutoHyphens/>
              <w:jc w:val="center"/>
            </w:pPr>
            <w:r w:rsidRPr="00D34119">
              <w:t>≤ Grade 1</w:t>
            </w:r>
          </w:p>
        </w:tc>
        <w:tc>
          <w:tcPr>
            <w:tcW w:w="3568" w:type="dxa"/>
            <w:shd w:val="clear" w:color="auto" w:fill="auto"/>
          </w:tcPr>
          <w:p w14:paraId="1271BBE9" w14:textId="77777777" w:rsidR="009E246E" w:rsidRPr="00D34119" w:rsidRDefault="009E246E" w:rsidP="0067469D">
            <w:pPr>
              <w:tabs>
                <w:tab w:val="left" w:pos="0"/>
                <w:tab w:val="left" w:pos="360"/>
                <w:tab w:val="left" w:pos="720"/>
                <w:tab w:val="left" w:pos="1086"/>
                <w:tab w:val="left" w:pos="1440"/>
                <w:tab w:val="left" w:pos="1802"/>
                <w:tab w:val="left" w:pos="2160"/>
                <w:tab w:val="left" w:pos="2520"/>
                <w:tab w:val="left" w:pos="2880"/>
              </w:tabs>
              <w:suppressAutoHyphens/>
            </w:pPr>
            <w:r w:rsidRPr="00D34119">
              <w:t>No change in dose</w:t>
            </w:r>
          </w:p>
        </w:tc>
        <w:tc>
          <w:tcPr>
            <w:tcW w:w="3568" w:type="dxa"/>
            <w:shd w:val="clear" w:color="auto" w:fill="auto"/>
          </w:tcPr>
          <w:p w14:paraId="30429763" w14:textId="77777777" w:rsidR="009E246E" w:rsidRPr="00172CEA" w:rsidRDefault="009E246E" w:rsidP="0067469D">
            <w:pPr>
              <w:tabs>
                <w:tab w:val="left" w:pos="0"/>
                <w:tab w:val="left" w:pos="360"/>
                <w:tab w:val="left" w:pos="720"/>
                <w:tab w:val="left" w:pos="1086"/>
                <w:tab w:val="left" w:pos="1440"/>
                <w:tab w:val="left" w:pos="1802"/>
                <w:tab w:val="left" w:pos="2160"/>
                <w:tab w:val="left" w:pos="2520"/>
                <w:tab w:val="left" w:pos="2880"/>
              </w:tabs>
              <w:suppressAutoHyphens/>
            </w:pPr>
            <w:r w:rsidRPr="00172CEA">
              <w:t>No change in dose</w:t>
            </w:r>
          </w:p>
        </w:tc>
      </w:tr>
      <w:tr w:rsidR="009E246E" w:rsidRPr="00D34119" w14:paraId="73672CE2" w14:textId="77777777" w:rsidTr="0067469D">
        <w:tc>
          <w:tcPr>
            <w:tcW w:w="2224" w:type="dxa"/>
            <w:shd w:val="clear" w:color="auto" w:fill="auto"/>
            <w:vAlign w:val="center"/>
          </w:tcPr>
          <w:p w14:paraId="4514E83C" w14:textId="77777777" w:rsidR="009E246E" w:rsidRPr="00D34119" w:rsidRDefault="009E246E" w:rsidP="0067469D">
            <w:pPr>
              <w:tabs>
                <w:tab w:val="left" w:pos="0"/>
                <w:tab w:val="left" w:pos="360"/>
                <w:tab w:val="left" w:pos="720"/>
                <w:tab w:val="left" w:pos="1086"/>
                <w:tab w:val="left" w:pos="1440"/>
                <w:tab w:val="left" w:pos="1802"/>
                <w:tab w:val="left" w:pos="2160"/>
                <w:tab w:val="left" w:pos="2520"/>
                <w:tab w:val="left" w:pos="2880"/>
              </w:tabs>
              <w:suppressAutoHyphens/>
              <w:jc w:val="center"/>
            </w:pPr>
            <w:r w:rsidRPr="00D34119">
              <w:t>Grade 2</w:t>
            </w:r>
          </w:p>
        </w:tc>
        <w:tc>
          <w:tcPr>
            <w:tcW w:w="3568" w:type="dxa"/>
            <w:shd w:val="clear" w:color="auto" w:fill="auto"/>
          </w:tcPr>
          <w:p w14:paraId="4E1E20FC" w14:textId="77777777" w:rsidR="009E246E" w:rsidRPr="00D34119" w:rsidRDefault="009E246E" w:rsidP="0067469D">
            <w:pPr>
              <w:tabs>
                <w:tab w:val="left" w:pos="0"/>
                <w:tab w:val="left" w:pos="360"/>
                <w:tab w:val="left" w:pos="720"/>
                <w:tab w:val="left" w:pos="1086"/>
                <w:tab w:val="left" w:pos="1440"/>
                <w:tab w:val="left" w:pos="1802"/>
                <w:tab w:val="left" w:pos="2160"/>
                <w:tab w:val="left" w:pos="2520"/>
                <w:tab w:val="left" w:pos="2880"/>
              </w:tabs>
              <w:suppressAutoHyphens/>
            </w:pPr>
            <w:r w:rsidRPr="00D34119">
              <w:t>Hold until ≤ Grade 1.  Resume at same dose level.</w:t>
            </w:r>
          </w:p>
        </w:tc>
        <w:tc>
          <w:tcPr>
            <w:tcW w:w="3568" w:type="dxa"/>
            <w:shd w:val="clear" w:color="auto" w:fill="auto"/>
          </w:tcPr>
          <w:p w14:paraId="74E43F8E" w14:textId="11477E49" w:rsidR="009E246E" w:rsidRPr="00172CEA" w:rsidRDefault="00AA4804" w:rsidP="0067469D">
            <w:pPr>
              <w:tabs>
                <w:tab w:val="left" w:pos="0"/>
                <w:tab w:val="left" w:pos="360"/>
                <w:tab w:val="left" w:pos="720"/>
                <w:tab w:val="left" w:pos="1086"/>
                <w:tab w:val="left" w:pos="1440"/>
                <w:tab w:val="left" w:pos="1802"/>
                <w:tab w:val="left" w:pos="2160"/>
                <w:tab w:val="left" w:pos="2520"/>
                <w:tab w:val="left" w:pos="2880"/>
              </w:tabs>
              <w:suppressAutoHyphens/>
            </w:pPr>
            <w:r>
              <w:t xml:space="preserve">Consider </w:t>
            </w:r>
            <w:proofErr w:type="gramStart"/>
            <w:r>
              <w:t>hold</w:t>
            </w:r>
            <w:proofErr w:type="gramEnd"/>
            <w:r>
              <w:t xml:space="preserve"> until ≤ Grade 1</w:t>
            </w:r>
            <w:r w:rsidR="00F1017B">
              <w:t>.</w:t>
            </w:r>
            <w:r w:rsidR="005F6E37">
              <w:t xml:space="preserve">  </w:t>
            </w:r>
            <w:r w:rsidR="00F1017B">
              <w:t xml:space="preserve">Resume next fraction at same dose. </w:t>
            </w:r>
          </w:p>
        </w:tc>
      </w:tr>
      <w:tr w:rsidR="009E246E" w:rsidRPr="00D34119" w14:paraId="332FCC0A" w14:textId="77777777" w:rsidTr="0067469D">
        <w:tc>
          <w:tcPr>
            <w:tcW w:w="2224" w:type="dxa"/>
            <w:shd w:val="clear" w:color="auto" w:fill="auto"/>
            <w:vAlign w:val="center"/>
          </w:tcPr>
          <w:p w14:paraId="5831D582" w14:textId="77777777" w:rsidR="009E246E" w:rsidRPr="00D34119" w:rsidRDefault="009E246E" w:rsidP="0067469D">
            <w:pPr>
              <w:tabs>
                <w:tab w:val="left" w:pos="0"/>
                <w:tab w:val="left" w:pos="360"/>
                <w:tab w:val="left" w:pos="720"/>
                <w:tab w:val="left" w:pos="1086"/>
                <w:tab w:val="left" w:pos="1440"/>
                <w:tab w:val="left" w:pos="1802"/>
                <w:tab w:val="left" w:pos="2160"/>
                <w:tab w:val="left" w:pos="2520"/>
                <w:tab w:val="left" w:pos="2880"/>
              </w:tabs>
              <w:suppressAutoHyphens/>
              <w:jc w:val="center"/>
            </w:pPr>
            <w:r w:rsidRPr="00D34119">
              <w:t>Grade 3</w:t>
            </w:r>
          </w:p>
        </w:tc>
        <w:tc>
          <w:tcPr>
            <w:tcW w:w="3568" w:type="dxa"/>
            <w:shd w:val="clear" w:color="auto" w:fill="auto"/>
          </w:tcPr>
          <w:p w14:paraId="0AD8BC5D" w14:textId="77777777" w:rsidR="009E246E" w:rsidRPr="00D34119" w:rsidRDefault="009E246E" w:rsidP="0067469D">
            <w:pPr>
              <w:tabs>
                <w:tab w:val="left" w:pos="0"/>
                <w:tab w:val="left" w:pos="360"/>
                <w:tab w:val="left" w:pos="720"/>
                <w:tab w:val="left" w:pos="1086"/>
                <w:tab w:val="left" w:pos="1440"/>
                <w:tab w:val="left" w:pos="1802"/>
                <w:tab w:val="left" w:pos="2160"/>
                <w:tab w:val="left" w:pos="2520"/>
                <w:tab w:val="left" w:pos="2880"/>
              </w:tabs>
              <w:suppressAutoHyphens/>
            </w:pPr>
            <w:r w:rsidRPr="00D34119">
              <w:t>Hold</w:t>
            </w:r>
            <w:r w:rsidRPr="00D34119">
              <w:rPr>
                <w:vertAlign w:val="superscript"/>
              </w:rPr>
              <w:t>*</w:t>
            </w:r>
            <w:r w:rsidRPr="00D34119">
              <w:t xml:space="preserve"> until &lt; Grade 2.  Resume at one dose level lower, if indicated.</w:t>
            </w:r>
            <w:r w:rsidRPr="00D34119">
              <w:rPr>
                <w:vertAlign w:val="superscript"/>
              </w:rPr>
              <w:t>**</w:t>
            </w:r>
          </w:p>
        </w:tc>
        <w:tc>
          <w:tcPr>
            <w:tcW w:w="3568" w:type="dxa"/>
            <w:shd w:val="clear" w:color="auto" w:fill="auto"/>
          </w:tcPr>
          <w:p w14:paraId="37BEF0FC" w14:textId="0D74B1F6" w:rsidR="009E246E" w:rsidRPr="00172CEA" w:rsidRDefault="009E246E" w:rsidP="0067469D">
            <w:pPr>
              <w:tabs>
                <w:tab w:val="left" w:pos="0"/>
                <w:tab w:val="left" w:pos="360"/>
                <w:tab w:val="left" w:pos="720"/>
                <w:tab w:val="left" w:pos="1086"/>
                <w:tab w:val="left" w:pos="1440"/>
                <w:tab w:val="left" w:pos="1802"/>
                <w:tab w:val="left" w:pos="2160"/>
                <w:tab w:val="left" w:pos="2520"/>
                <w:tab w:val="left" w:pos="2880"/>
              </w:tabs>
              <w:suppressAutoHyphens/>
            </w:pPr>
            <w:r w:rsidRPr="00172CEA">
              <w:t>Hold</w:t>
            </w:r>
            <w:r w:rsidRPr="00172CEA">
              <w:rPr>
                <w:vertAlign w:val="superscript"/>
              </w:rPr>
              <w:t>*</w:t>
            </w:r>
            <w:r w:rsidRPr="00172CEA">
              <w:t xml:space="preserve"> until &lt; Grade 2.  </w:t>
            </w:r>
            <w:r w:rsidRPr="00EF1B61">
              <w:t xml:space="preserve">Resume </w:t>
            </w:r>
            <w:r w:rsidR="00EB5186">
              <w:t>next fraction</w:t>
            </w:r>
            <w:r w:rsidR="00F511F0">
              <w:t xml:space="preserve"> at same dose</w:t>
            </w:r>
            <w:r w:rsidR="00EB5186">
              <w:t>.</w:t>
            </w:r>
          </w:p>
        </w:tc>
      </w:tr>
      <w:tr w:rsidR="009E246E" w:rsidRPr="00D34119" w14:paraId="548EACE1" w14:textId="77777777" w:rsidTr="0067469D">
        <w:tc>
          <w:tcPr>
            <w:tcW w:w="2224" w:type="dxa"/>
            <w:shd w:val="clear" w:color="auto" w:fill="auto"/>
            <w:vAlign w:val="center"/>
          </w:tcPr>
          <w:p w14:paraId="4BB362F7" w14:textId="77777777" w:rsidR="009E246E" w:rsidRPr="00D34119" w:rsidRDefault="009E246E" w:rsidP="0067469D">
            <w:pPr>
              <w:tabs>
                <w:tab w:val="left" w:pos="0"/>
                <w:tab w:val="left" w:pos="360"/>
                <w:tab w:val="left" w:pos="720"/>
                <w:tab w:val="left" w:pos="1086"/>
                <w:tab w:val="left" w:pos="1440"/>
                <w:tab w:val="left" w:pos="1802"/>
                <w:tab w:val="left" w:pos="2160"/>
                <w:tab w:val="left" w:pos="2520"/>
                <w:tab w:val="left" w:pos="2880"/>
              </w:tabs>
              <w:suppressAutoHyphens/>
              <w:jc w:val="center"/>
            </w:pPr>
            <w:r w:rsidRPr="00D34119">
              <w:t>Grade 4</w:t>
            </w:r>
          </w:p>
        </w:tc>
        <w:tc>
          <w:tcPr>
            <w:tcW w:w="3568" w:type="dxa"/>
            <w:shd w:val="clear" w:color="auto" w:fill="auto"/>
          </w:tcPr>
          <w:p w14:paraId="3BE87493" w14:textId="77777777" w:rsidR="009E246E" w:rsidRPr="00D34119" w:rsidRDefault="009E246E" w:rsidP="0067469D">
            <w:pPr>
              <w:tabs>
                <w:tab w:val="left" w:pos="0"/>
                <w:tab w:val="left" w:pos="360"/>
                <w:tab w:val="left" w:pos="720"/>
                <w:tab w:val="left" w:pos="1086"/>
                <w:tab w:val="left" w:pos="1440"/>
                <w:tab w:val="left" w:pos="1802"/>
                <w:tab w:val="left" w:pos="2160"/>
                <w:tab w:val="left" w:pos="2520"/>
                <w:tab w:val="left" w:pos="2880"/>
              </w:tabs>
              <w:suppressAutoHyphens/>
            </w:pPr>
            <w:r w:rsidRPr="00D34119">
              <w:t>Off protocol therapy</w:t>
            </w:r>
          </w:p>
        </w:tc>
        <w:tc>
          <w:tcPr>
            <w:tcW w:w="3568" w:type="dxa"/>
            <w:shd w:val="clear" w:color="auto" w:fill="auto"/>
          </w:tcPr>
          <w:p w14:paraId="5FCCF2E2" w14:textId="77777777" w:rsidR="009E246E" w:rsidRPr="00172CEA" w:rsidRDefault="009E246E" w:rsidP="0067469D">
            <w:pPr>
              <w:tabs>
                <w:tab w:val="left" w:pos="0"/>
                <w:tab w:val="left" w:pos="360"/>
                <w:tab w:val="left" w:pos="720"/>
                <w:tab w:val="left" w:pos="1086"/>
                <w:tab w:val="left" w:pos="1440"/>
                <w:tab w:val="left" w:pos="1802"/>
                <w:tab w:val="left" w:pos="2160"/>
                <w:tab w:val="left" w:pos="2520"/>
                <w:tab w:val="left" w:pos="2880"/>
              </w:tabs>
              <w:suppressAutoHyphens/>
            </w:pPr>
            <w:r w:rsidRPr="00172CEA">
              <w:t>Off protocol therapy</w:t>
            </w:r>
          </w:p>
        </w:tc>
      </w:tr>
      <w:tr w:rsidR="009E246E" w:rsidRPr="00D34119" w14:paraId="12A36AEA" w14:textId="77777777" w:rsidTr="0067469D">
        <w:tc>
          <w:tcPr>
            <w:tcW w:w="9360" w:type="dxa"/>
            <w:gridSpan w:val="3"/>
            <w:shd w:val="clear" w:color="auto" w:fill="auto"/>
          </w:tcPr>
          <w:p w14:paraId="008B1958" w14:textId="77777777" w:rsidR="009E246E" w:rsidRPr="00D34119" w:rsidRDefault="009E246E" w:rsidP="0067469D">
            <w:pPr>
              <w:tabs>
                <w:tab w:val="left" w:pos="0"/>
                <w:tab w:val="left" w:pos="360"/>
                <w:tab w:val="left" w:pos="720"/>
                <w:tab w:val="left" w:pos="1086"/>
                <w:tab w:val="left" w:pos="1440"/>
                <w:tab w:val="left" w:pos="1802"/>
                <w:tab w:val="left" w:pos="2160"/>
                <w:tab w:val="left" w:pos="2520"/>
                <w:tab w:val="left" w:pos="2880"/>
              </w:tabs>
              <w:suppressAutoHyphens/>
            </w:pPr>
            <w:r w:rsidRPr="00D34119">
              <w:rPr>
                <w:vertAlign w:val="superscript"/>
              </w:rPr>
              <w:t>*</w:t>
            </w:r>
            <w:r w:rsidRPr="00D34119">
              <w:t>Patients requiring a delay of &gt;2 weeks should go off protocol therapy.</w:t>
            </w:r>
          </w:p>
          <w:p w14:paraId="73580421" w14:textId="77777777" w:rsidR="009E246E" w:rsidRPr="00D34119" w:rsidRDefault="009E246E" w:rsidP="0067469D">
            <w:pPr>
              <w:tabs>
                <w:tab w:val="left" w:pos="0"/>
                <w:tab w:val="left" w:pos="360"/>
                <w:tab w:val="left" w:pos="720"/>
                <w:tab w:val="left" w:pos="1086"/>
                <w:tab w:val="left" w:pos="1440"/>
                <w:tab w:val="left" w:pos="1802"/>
                <w:tab w:val="left" w:pos="2160"/>
                <w:tab w:val="left" w:pos="2520"/>
                <w:tab w:val="left" w:pos="2880"/>
              </w:tabs>
              <w:suppressAutoHyphens/>
            </w:pPr>
            <w:r w:rsidRPr="00D34119">
              <w:rPr>
                <w:vertAlign w:val="superscript"/>
              </w:rPr>
              <w:t>**</w:t>
            </w:r>
            <w:r w:rsidRPr="00D34119">
              <w:t>Patients requiring &gt; two dose reductions should go off protocol therapy.</w:t>
            </w:r>
          </w:p>
        </w:tc>
      </w:tr>
      <w:tr w:rsidR="009E246E" w:rsidRPr="00D34119" w14:paraId="732FB18A" w14:textId="77777777" w:rsidTr="0067469D">
        <w:tc>
          <w:tcPr>
            <w:tcW w:w="9360" w:type="dxa"/>
            <w:gridSpan w:val="3"/>
            <w:shd w:val="clear" w:color="auto" w:fill="auto"/>
          </w:tcPr>
          <w:p w14:paraId="22495ADE" w14:textId="77777777" w:rsidR="009E246E" w:rsidRPr="00D34119" w:rsidRDefault="009E246E" w:rsidP="0067469D">
            <w:pPr>
              <w:tabs>
                <w:tab w:val="left" w:pos="0"/>
                <w:tab w:val="left" w:pos="360"/>
                <w:tab w:val="left" w:pos="720"/>
                <w:tab w:val="left" w:pos="1086"/>
                <w:tab w:val="left" w:pos="1440"/>
                <w:tab w:val="left" w:pos="1802"/>
                <w:tab w:val="left" w:pos="2160"/>
                <w:tab w:val="left" w:pos="2520"/>
                <w:tab w:val="left" w:pos="2880"/>
              </w:tabs>
              <w:suppressAutoHyphens/>
            </w:pPr>
            <w:r w:rsidRPr="00D34119">
              <w:lastRenderedPageBreak/>
              <w:t>Recommended management:  antiemetics.</w:t>
            </w:r>
          </w:p>
        </w:tc>
      </w:tr>
    </w:tbl>
    <w:p w14:paraId="29F5B340" w14:textId="77777777" w:rsidR="009E246E" w:rsidRPr="00D34119" w:rsidRDefault="009E246E" w:rsidP="009E246E">
      <w:pPr>
        <w:suppressAutoHyphens/>
        <w:rPr>
          <w:b/>
        </w:rPr>
      </w:pPr>
    </w:p>
    <w:tbl>
      <w:tblPr>
        <w:tblW w:w="93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226"/>
        <w:gridCol w:w="3567"/>
        <w:gridCol w:w="3567"/>
      </w:tblGrid>
      <w:tr w:rsidR="009E246E" w:rsidRPr="00D34119" w14:paraId="27FBCC08" w14:textId="77777777" w:rsidTr="0067469D">
        <w:trPr>
          <w:tblHeader/>
        </w:trPr>
        <w:tc>
          <w:tcPr>
            <w:tcW w:w="2226" w:type="dxa"/>
            <w:shd w:val="clear" w:color="auto" w:fill="auto"/>
            <w:vAlign w:val="center"/>
          </w:tcPr>
          <w:p w14:paraId="51EA722B" w14:textId="77777777" w:rsidR="009E246E" w:rsidRPr="00D34119" w:rsidRDefault="009E246E" w:rsidP="0067469D">
            <w:pPr>
              <w:tabs>
                <w:tab w:val="left" w:pos="0"/>
                <w:tab w:val="left" w:pos="360"/>
                <w:tab w:val="left" w:pos="720"/>
                <w:tab w:val="left" w:pos="1086"/>
                <w:tab w:val="left" w:pos="1440"/>
                <w:tab w:val="left" w:pos="1802"/>
                <w:tab w:val="left" w:pos="2160"/>
                <w:tab w:val="left" w:pos="2520"/>
                <w:tab w:val="left" w:pos="2880"/>
              </w:tabs>
              <w:suppressAutoHyphens/>
              <w:jc w:val="center"/>
              <w:rPr>
                <w:b/>
                <w:u w:val="single"/>
              </w:rPr>
            </w:pPr>
            <w:r w:rsidRPr="00D34119">
              <w:rPr>
                <w:b/>
                <w:u w:val="single"/>
              </w:rPr>
              <w:t>Vomiting</w:t>
            </w:r>
          </w:p>
        </w:tc>
        <w:tc>
          <w:tcPr>
            <w:tcW w:w="3567" w:type="dxa"/>
            <w:shd w:val="clear" w:color="auto" w:fill="auto"/>
            <w:vAlign w:val="center"/>
          </w:tcPr>
          <w:p w14:paraId="2A2AC63F" w14:textId="673C8225" w:rsidR="009E246E" w:rsidRPr="00D34119" w:rsidRDefault="009E246E" w:rsidP="0067469D">
            <w:pPr>
              <w:tabs>
                <w:tab w:val="left" w:pos="0"/>
                <w:tab w:val="left" w:pos="360"/>
                <w:tab w:val="left" w:pos="720"/>
                <w:tab w:val="left" w:pos="1086"/>
                <w:tab w:val="left" w:pos="1440"/>
                <w:tab w:val="left" w:pos="1802"/>
                <w:tab w:val="left" w:pos="2160"/>
                <w:tab w:val="left" w:pos="2520"/>
                <w:tab w:val="left" w:pos="2880"/>
              </w:tabs>
              <w:suppressAutoHyphens/>
              <w:jc w:val="center"/>
              <w:rPr>
                <w:b/>
                <w:color w:val="auto"/>
              </w:rPr>
            </w:pPr>
            <w:r w:rsidRPr="00D34119">
              <w:rPr>
                <w:b/>
                <w:color w:val="auto"/>
              </w:rPr>
              <w:t xml:space="preserve">Management/Next Dose for </w:t>
            </w:r>
            <w:r w:rsidR="00060162" w:rsidRPr="00D34119">
              <w:rPr>
                <w:b/>
                <w:color w:val="auto"/>
              </w:rPr>
              <w:t>Triapine</w:t>
            </w:r>
          </w:p>
        </w:tc>
        <w:tc>
          <w:tcPr>
            <w:tcW w:w="3567" w:type="dxa"/>
            <w:shd w:val="clear" w:color="auto" w:fill="auto"/>
            <w:vAlign w:val="center"/>
          </w:tcPr>
          <w:p w14:paraId="46042492" w14:textId="3FE5C620" w:rsidR="009E246E" w:rsidRPr="00172CEA" w:rsidRDefault="009E246E" w:rsidP="0067469D">
            <w:pPr>
              <w:tabs>
                <w:tab w:val="left" w:pos="0"/>
                <w:tab w:val="left" w:pos="360"/>
                <w:tab w:val="left" w:pos="720"/>
                <w:tab w:val="left" w:pos="1086"/>
                <w:tab w:val="left" w:pos="1440"/>
                <w:tab w:val="left" w:pos="1802"/>
                <w:tab w:val="left" w:pos="2160"/>
                <w:tab w:val="left" w:pos="2520"/>
                <w:tab w:val="left" w:pos="2880"/>
              </w:tabs>
              <w:suppressAutoHyphens/>
              <w:jc w:val="center"/>
              <w:rPr>
                <w:b/>
                <w:color w:val="auto"/>
              </w:rPr>
            </w:pPr>
            <w:r w:rsidRPr="00172CEA">
              <w:rPr>
                <w:b/>
                <w:color w:val="auto"/>
              </w:rPr>
              <w:t xml:space="preserve">Management/Next Dose for </w:t>
            </w:r>
            <w:r w:rsidR="00060162" w:rsidRPr="00D34119">
              <w:rPr>
                <w:b/>
                <w:iCs/>
                <w:color w:val="auto"/>
              </w:rPr>
              <w:t>Radiation</w:t>
            </w:r>
          </w:p>
        </w:tc>
      </w:tr>
      <w:tr w:rsidR="009E246E" w:rsidRPr="00D34119" w14:paraId="7DE4DA5D" w14:textId="77777777" w:rsidTr="0067469D">
        <w:tc>
          <w:tcPr>
            <w:tcW w:w="2226" w:type="dxa"/>
            <w:shd w:val="clear" w:color="auto" w:fill="auto"/>
            <w:vAlign w:val="center"/>
          </w:tcPr>
          <w:p w14:paraId="01CF2454" w14:textId="77777777" w:rsidR="009E246E" w:rsidRPr="00D34119" w:rsidRDefault="009E246E" w:rsidP="0067469D">
            <w:pPr>
              <w:tabs>
                <w:tab w:val="left" w:pos="0"/>
                <w:tab w:val="left" w:pos="360"/>
                <w:tab w:val="left" w:pos="720"/>
                <w:tab w:val="left" w:pos="1086"/>
                <w:tab w:val="left" w:pos="1440"/>
                <w:tab w:val="left" w:pos="1802"/>
                <w:tab w:val="left" w:pos="2160"/>
                <w:tab w:val="left" w:pos="2520"/>
                <w:tab w:val="left" w:pos="2880"/>
              </w:tabs>
              <w:suppressAutoHyphens/>
              <w:jc w:val="center"/>
            </w:pPr>
            <w:r w:rsidRPr="00D34119">
              <w:t>≤ Grade 1</w:t>
            </w:r>
          </w:p>
        </w:tc>
        <w:tc>
          <w:tcPr>
            <w:tcW w:w="3567" w:type="dxa"/>
            <w:shd w:val="clear" w:color="auto" w:fill="auto"/>
          </w:tcPr>
          <w:p w14:paraId="02B160B1" w14:textId="77777777" w:rsidR="009E246E" w:rsidRPr="00D34119" w:rsidRDefault="009E246E" w:rsidP="0067469D">
            <w:pPr>
              <w:tabs>
                <w:tab w:val="left" w:pos="0"/>
                <w:tab w:val="left" w:pos="360"/>
                <w:tab w:val="left" w:pos="720"/>
                <w:tab w:val="left" w:pos="1086"/>
                <w:tab w:val="left" w:pos="1440"/>
                <w:tab w:val="left" w:pos="1802"/>
                <w:tab w:val="left" w:pos="2160"/>
                <w:tab w:val="left" w:pos="2520"/>
                <w:tab w:val="left" w:pos="2880"/>
              </w:tabs>
              <w:suppressAutoHyphens/>
            </w:pPr>
            <w:r w:rsidRPr="00D34119">
              <w:t>No change in dose</w:t>
            </w:r>
          </w:p>
        </w:tc>
        <w:tc>
          <w:tcPr>
            <w:tcW w:w="3567" w:type="dxa"/>
            <w:shd w:val="clear" w:color="auto" w:fill="auto"/>
          </w:tcPr>
          <w:p w14:paraId="69D7264A" w14:textId="77777777" w:rsidR="009E246E" w:rsidRPr="00172CEA" w:rsidRDefault="009E246E" w:rsidP="0067469D">
            <w:pPr>
              <w:tabs>
                <w:tab w:val="left" w:pos="0"/>
                <w:tab w:val="left" w:pos="360"/>
                <w:tab w:val="left" w:pos="720"/>
                <w:tab w:val="left" w:pos="1086"/>
                <w:tab w:val="left" w:pos="1440"/>
                <w:tab w:val="left" w:pos="1802"/>
                <w:tab w:val="left" w:pos="2160"/>
                <w:tab w:val="left" w:pos="2520"/>
                <w:tab w:val="left" w:pos="2880"/>
              </w:tabs>
              <w:suppressAutoHyphens/>
            </w:pPr>
            <w:r w:rsidRPr="00172CEA">
              <w:t>No change in dose</w:t>
            </w:r>
          </w:p>
        </w:tc>
      </w:tr>
      <w:tr w:rsidR="009E246E" w:rsidRPr="00D34119" w14:paraId="0F84EF4A" w14:textId="77777777" w:rsidTr="0067469D">
        <w:tc>
          <w:tcPr>
            <w:tcW w:w="2226" w:type="dxa"/>
            <w:shd w:val="clear" w:color="auto" w:fill="auto"/>
            <w:vAlign w:val="center"/>
          </w:tcPr>
          <w:p w14:paraId="4F9A1327" w14:textId="77777777" w:rsidR="009E246E" w:rsidRPr="00D34119" w:rsidRDefault="009E246E" w:rsidP="0067469D">
            <w:pPr>
              <w:tabs>
                <w:tab w:val="left" w:pos="0"/>
                <w:tab w:val="left" w:pos="360"/>
                <w:tab w:val="left" w:pos="720"/>
                <w:tab w:val="left" w:pos="1086"/>
                <w:tab w:val="left" w:pos="1440"/>
                <w:tab w:val="left" w:pos="1802"/>
                <w:tab w:val="left" w:pos="2160"/>
                <w:tab w:val="left" w:pos="2520"/>
                <w:tab w:val="left" w:pos="2880"/>
              </w:tabs>
              <w:suppressAutoHyphens/>
              <w:jc w:val="center"/>
            </w:pPr>
            <w:r w:rsidRPr="00D34119">
              <w:t>Grade 2</w:t>
            </w:r>
          </w:p>
        </w:tc>
        <w:tc>
          <w:tcPr>
            <w:tcW w:w="3567" w:type="dxa"/>
            <w:shd w:val="clear" w:color="auto" w:fill="auto"/>
          </w:tcPr>
          <w:p w14:paraId="64DD9243" w14:textId="77777777" w:rsidR="009E246E" w:rsidRPr="00D34119" w:rsidRDefault="009E246E" w:rsidP="0067469D">
            <w:pPr>
              <w:tabs>
                <w:tab w:val="left" w:pos="0"/>
                <w:tab w:val="left" w:pos="360"/>
                <w:tab w:val="left" w:pos="720"/>
                <w:tab w:val="left" w:pos="1086"/>
                <w:tab w:val="left" w:pos="1440"/>
                <w:tab w:val="left" w:pos="1802"/>
                <w:tab w:val="left" w:pos="2160"/>
                <w:tab w:val="left" w:pos="2520"/>
                <w:tab w:val="left" w:pos="2880"/>
              </w:tabs>
              <w:suppressAutoHyphens/>
            </w:pPr>
            <w:r w:rsidRPr="00D34119">
              <w:t>Hold until ≤ Grade 1.  Resume at same dose level.</w:t>
            </w:r>
          </w:p>
        </w:tc>
        <w:tc>
          <w:tcPr>
            <w:tcW w:w="3567" w:type="dxa"/>
            <w:shd w:val="clear" w:color="auto" w:fill="auto"/>
          </w:tcPr>
          <w:p w14:paraId="2340FF0A" w14:textId="65C7BE51" w:rsidR="009E246E" w:rsidRPr="00172CEA" w:rsidRDefault="009A4BAC" w:rsidP="0067469D">
            <w:pPr>
              <w:tabs>
                <w:tab w:val="left" w:pos="0"/>
                <w:tab w:val="left" w:pos="360"/>
                <w:tab w:val="left" w:pos="720"/>
                <w:tab w:val="left" w:pos="1086"/>
                <w:tab w:val="left" w:pos="1440"/>
                <w:tab w:val="left" w:pos="1802"/>
                <w:tab w:val="left" w:pos="2160"/>
                <w:tab w:val="left" w:pos="2520"/>
                <w:tab w:val="left" w:pos="2880"/>
              </w:tabs>
              <w:suppressAutoHyphens/>
            </w:pPr>
            <w:r>
              <w:t xml:space="preserve">Consider </w:t>
            </w:r>
            <w:proofErr w:type="gramStart"/>
            <w:r>
              <w:t>hold</w:t>
            </w:r>
            <w:proofErr w:type="gramEnd"/>
            <w:r>
              <w:t xml:space="preserve"> until ≤ Grade 1. </w:t>
            </w:r>
            <w:r w:rsidR="00172CEA">
              <w:t xml:space="preserve"> </w:t>
            </w:r>
            <w:r>
              <w:t xml:space="preserve"> Resume next fraction at same dose.</w:t>
            </w:r>
          </w:p>
        </w:tc>
      </w:tr>
      <w:tr w:rsidR="009E246E" w:rsidRPr="00D34119" w14:paraId="6289EB69" w14:textId="77777777" w:rsidTr="0067469D">
        <w:tc>
          <w:tcPr>
            <w:tcW w:w="2226" w:type="dxa"/>
            <w:shd w:val="clear" w:color="auto" w:fill="auto"/>
            <w:vAlign w:val="center"/>
          </w:tcPr>
          <w:p w14:paraId="79DC9663" w14:textId="77777777" w:rsidR="009E246E" w:rsidRPr="00D34119" w:rsidRDefault="009E246E" w:rsidP="0067469D">
            <w:pPr>
              <w:tabs>
                <w:tab w:val="left" w:pos="0"/>
                <w:tab w:val="left" w:pos="360"/>
                <w:tab w:val="left" w:pos="720"/>
                <w:tab w:val="left" w:pos="1086"/>
                <w:tab w:val="left" w:pos="1440"/>
                <w:tab w:val="left" w:pos="1802"/>
                <w:tab w:val="left" w:pos="2160"/>
                <w:tab w:val="left" w:pos="2520"/>
                <w:tab w:val="left" w:pos="2880"/>
              </w:tabs>
              <w:suppressAutoHyphens/>
              <w:jc w:val="center"/>
            </w:pPr>
            <w:r w:rsidRPr="00D34119">
              <w:t>Grade 3</w:t>
            </w:r>
          </w:p>
        </w:tc>
        <w:tc>
          <w:tcPr>
            <w:tcW w:w="3567" w:type="dxa"/>
            <w:shd w:val="clear" w:color="auto" w:fill="auto"/>
          </w:tcPr>
          <w:p w14:paraId="1E825020" w14:textId="77777777" w:rsidR="009E246E" w:rsidRPr="00D34119" w:rsidRDefault="009E246E" w:rsidP="0067469D">
            <w:pPr>
              <w:tabs>
                <w:tab w:val="left" w:pos="0"/>
                <w:tab w:val="left" w:pos="360"/>
                <w:tab w:val="left" w:pos="720"/>
                <w:tab w:val="left" w:pos="1086"/>
                <w:tab w:val="left" w:pos="1440"/>
                <w:tab w:val="left" w:pos="1802"/>
                <w:tab w:val="left" w:pos="2160"/>
                <w:tab w:val="left" w:pos="2520"/>
                <w:tab w:val="left" w:pos="2880"/>
              </w:tabs>
              <w:suppressAutoHyphens/>
            </w:pPr>
            <w:r w:rsidRPr="00D34119">
              <w:t>Hold</w:t>
            </w:r>
            <w:r w:rsidRPr="00D34119">
              <w:rPr>
                <w:vertAlign w:val="superscript"/>
              </w:rPr>
              <w:t>*</w:t>
            </w:r>
            <w:r w:rsidRPr="00D34119">
              <w:t xml:space="preserve"> until &lt; Grade 2.  Resume at one dose level lower, if indicated.</w:t>
            </w:r>
            <w:r w:rsidRPr="00D34119">
              <w:rPr>
                <w:vertAlign w:val="superscript"/>
              </w:rPr>
              <w:t>**</w:t>
            </w:r>
          </w:p>
        </w:tc>
        <w:tc>
          <w:tcPr>
            <w:tcW w:w="3567" w:type="dxa"/>
            <w:shd w:val="clear" w:color="auto" w:fill="auto"/>
          </w:tcPr>
          <w:p w14:paraId="08488E5B" w14:textId="4D31D8F1" w:rsidR="009E246E" w:rsidRPr="00172CEA" w:rsidRDefault="009E246E" w:rsidP="0067469D">
            <w:pPr>
              <w:tabs>
                <w:tab w:val="left" w:pos="0"/>
                <w:tab w:val="left" w:pos="360"/>
                <w:tab w:val="left" w:pos="720"/>
                <w:tab w:val="left" w:pos="1086"/>
                <w:tab w:val="left" w:pos="1440"/>
                <w:tab w:val="left" w:pos="1802"/>
                <w:tab w:val="left" w:pos="2160"/>
                <w:tab w:val="left" w:pos="2520"/>
                <w:tab w:val="left" w:pos="2880"/>
              </w:tabs>
              <w:suppressAutoHyphens/>
            </w:pPr>
            <w:r w:rsidRPr="00172CEA">
              <w:t>Hold</w:t>
            </w:r>
            <w:r w:rsidRPr="00172CEA">
              <w:rPr>
                <w:vertAlign w:val="superscript"/>
              </w:rPr>
              <w:t>*</w:t>
            </w:r>
            <w:r w:rsidRPr="00172CEA">
              <w:t xml:space="preserve"> until &lt; Grade 2.  Resume </w:t>
            </w:r>
            <w:r w:rsidR="005D374F">
              <w:t>next fraction</w:t>
            </w:r>
            <w:r w:rsidR="00F511F0">
              <w:t xml:space="preserve"> at same dose</w:t>
            </w:r>
            <w:r w:rsidR="005D374F">
              <w:t>.</w:t>
            </w:r>
          </w:p>
        </w:tc>
      </w:tr>
      <w:tr w:rsidR="009E246E" w:rsidRPr="00C023DD" w14:paraId="5B4CEB02" w14:textId="77777777" w:rsidTr="0067469D">
        <w:tc>
          <w:tcPr>
            <w:tcW w:w="2226" w:type="dxa"/>
            <w:shd w:val="clear" w:color="auto" w:fill="auto"/>
            <w:vAlign w:val="center"/>
          </w:tcPr>
          <w:p w14:paraId="6018F761" w14:textId="77777777" w:rsidR="009E246E" w:rsidRPr="00D34119" w:rsidRDefault="009E246E" w:rsidP="0067469D">
            <w:pPr>
              <w:tabs>
                <w:tab w:val="left" w:pos="0"/>
                <w:tab w:val="left" w:pos="360"/>
                <w:tab w:val="left" w:pos="720"/>
                <w:tab w:val="left" w:pos="1086"/>
                <w:tab w:val="left" w:pos="1440"/>
                <w:tab w:val="left" w:pos="1802"/>
                <w:tab w:val="left" w:pos="2160"/>
                <w:tab w:val="left" w:pos="2520"/>
                <w:tab w:val="left" w:pos="2880"/>
              </w:tabs>
              <w:suppressAutoHyphens/>
              <w:jc w:val="center"/>
            </w:pPr>
            <w:r w:rsidRPr="00D34119">
              <w:t>Grade 4</w:t>
            </w:r>
          </w:p>
        </w:tc>
        <w:tc>
          <w:tcPr>
            <w:tcW w:w="3567" w:type="dxa"/>
            <w:shd w:val="clear" w:color="auto" w:fill="auto"/>
          </w:tcPr>
          <w:p w14:paraId="38D73515" w14:textId="77777777" w:rsidR="009E246E" w:rsidRPr="00D34119" w:rsidRDefault="009E246E" w:rsidP="0067469D">
            <w:pPr>
              <w:tabs>
                <w:tab w:val="left" w:pos="0"/>
                <w:tab w:val="left" w:pos="360"/>
                <w:tab w:val="left" w:pos="720"/>
                <w:tab w:val="left" w:pos="1086"/>
                <w:tab w:val="left" w:pos="1440"/>
                <w:tab w:val="left" w:pos="1802"/>
                <w:tab w:val="left" w:pos="2160"/>
                <w:tab w:val="left" w:pos="2520"/>
                <w:tab w:val="left" w:pos="2880"/>
              </w:tabs>
              <w:suppressAutoHyphens/>
            </w:pPr>
            <w:r w:rsidRPr="00D34119">
              <w:t>Off protocol therapy</w:t>
            </w:r>
          </w:p>
        </w:tc>
        <w:tc>
          <w:tcPr>
            <w:tcW w:w="3567" w:type="dxa"/>
            <w:shd w:val="clear" w:color="auto" w:fill="auto"/>
          </w:tcPr>
          <w:p w14:paraId="331C2F3C" w14:textId="77777777" w:rsidR="009E246E" w:rsidRPr="00172CEA" w:rsidRDefault="009E246E" w:rsidP="0067469D">
            <w:pPr>
              <w:tabs>
                <w:tab w:val="left" w:pos="0"/>
                <w:tab w:val="left" w:pos="360"/>
                <w:tab w:val="left" w:pos="720"/>
                <w:tab w:val="left" w:pos="1086"/>
                <w:tab w:val="left" w:pos="1440"/>
                <w:tab w:val="left" w:pos="1802"/>
                <w:tab w:val="left" w:pos="2160"/>
                <w:tab w:val="left" w:pos="2520"/>
                <w:tab w:val="left" w:pos="2880"/>
              </w:tabs>
              <w:suppressAutoHyphens/>
            </w:pPr>
            <w:r w:rsidRPr="00172CEA">
              <w:t>Off protocol therapy</w:t>
            </w:r>
          </w:p>
        </w:tc>
      </w:tr>
      <w:tr w:rsidR="009E246E" w:rsidRPr="00C023DD" w14:paraId="4ED3B9CC" w14:textId="77777777" w:rsidTr="0067469D">
        <w:tc>
          <w:tcPr>
            <w:tcW w:w="9360" w:type="dxa"/>
            <w:gridSpan w:val="3"/>
            <w:shd w:val="clear" w:color="auto" w:fill="auto"/>
          </w:tcPr>
          <w:p w14:paraId="30E0A03E" w14:textId="77777777" w:rsidR="009E246E" w:rsidRPr="004C65CC" w:rsidRDefault="009E246E" w:rsidP="0067469D">
            <w:pPr>
              <w:tabs>
                <w:tab w:val="left" w:pos="0"/>
                <w:tab w:val="left" w:pos="360"/>
                <w:tab w:val="left" w:pos="720"/>
                <w:tab w:val="left" w:pos="1086"/>
                <w:tab w:val="left" w:pos="1440"/>
                <w:tab w:val="left" w:pos="1802"/>
                <w:tab w:val="left" w:pos="2160"/>
                <w:tab w:val="left" w:pos="2520"/>
                <w:tab w:val="left" w:pos="2880"/>
              </w:tabs>
              <w:suppressAutoHyphens/>
            </w:pPr>
            <w:r w:rsidRPr="00C023DD">
              <w:rPr>
                <w:vertAlign w:val="superscript"/>
              </w:rPr>
              <w:t>*</w:t>
            </w:r>
            <w:r w:rsidRPr="004C65CC">
              <w:t>Patients requiring a delay of &gt;2 weeks should go off protocol therapy.</w:t>
            </w:r>
          </w:p>
          <w:p w14:paraId="34702F4F" w14:textId="77777777" w:rsidR="009E246E" w:rsidRPr="004C65CC" w:rsidRDefault="009E246E" w:rsidP="0067469D">
            <w:pPr>
              <w:tabs>
                <w:tab w:val="left" w:pos="0"/>
                <w:tab w:val="left" w:pos="360"/>
                <w:tab w:val="left" w:pos="720"/>
                <w:tab w:val="left" w:pos="1086"/>
                <w:tab w:val="left" w:pos="1440"/>
                <w:tab w:val="left" w:pos="1802"/>
                <w:tab w:val="left" w:pos="2160"/>
                <w:tab w:val="left" w:pos="2520"/>
                <w:tab w:val="left" w:pos="2880"/>
              </w:tabs>
              <w:suppressAutoHyphens/>
            </w:pPr>
            <w:r w:rsidRPr="00C023DD">
              <w:rPr>
                <w:vertAlign w:val="superscript"/>
              </w:rPr>
              <w:t>**</w:t>
            </w:r>
            <w:r w:rsidRPr="004C65CC">
              <w:t>Patients requiring &gt; two dose reductions should go off protocol therapy.</w:t>
            </w:r>
          </w:p>
        </w:tc>
      </w:tr>
      <w:tr w:rsidR="009E246E" w:rsidRPr="00C023DD" w14:paraId="27AA3071" w14:textId="77777777" w:rsidTr="0067469D">
        <w:tc>
          <w:tcPr>
            <w:tcW w:w="9360" w:type="dxa"/>
            <w:gridSpan w:val="3"/>
            <w:shd w:val="clear" w:color="auto" w:fill="auto"/>
          </w:tcPr>
          <w:p w14:paraId="2B8BA79E" w14:textId="77777777" w:rsidR="009E246E" w:rsidRDefault="009E246E" w:rsidP="0067469D">
            <w:pPr>
              <w:tabs>
                <w:tab w:val="left" w:pos="0"/>
                <w:tab w:val="left" w:pos="360"/>
                <w:tab w:val="left" w:pos="720"/>
                <w:tab w:val="left" w:pos="1086"/>
                <w:tab w:val="left" w:pos="1440"/>
                <w:tab w:val="left" w:pos="1802"/>
                <w:tab w:val="left" w:pos="2160"/>
                <w:tab w:val="left" w:pos="2520"/>
                <w:tab w:val="left" w:pos="2880"/>
              </w:tabs>
              <w:suppressAutoHyphens/>
            </w:pPr>
            <w:r w:rsidRPr="004C65CC">
              <w:t xml:space="preserve">Recommended management:  </w:t>
            </w:r>
            <w:r w:rsidRPr="00C023DD">
              <w:t>antiemetics.</w:t>
            </w:r>
          </w:p>
        </w:tc>
      </w:tr>
    </w:tbl>
    <w:p w14:paraId="471122F0" w14:textId="77777777" w:rsidR="009E246E" w:rsidRDefault="009E246E" w:rsidP="009E246E">
      <w:pPr>
        <w:suppressAutoHyphens/>
      </w:pPr>
    </w:p>
    <w:tbl>
      <w:tblPr>
        <w:tblW w:w="93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226"/>
        <w:gridCol w:w="3567"/>
        <w:gridCol w:w="3567"/>
      </w:tblGrid>
      <w:tr w:rsidR="009E246E" w:rsidRPr="00C023DD" w14:paraId="00027CA6" w14:textId="77777777" w:rsidTr="0067469D">
        <w:trPr>
          <w:tblHeader/>
        </w:trPr>
        <w:tc>
          <w:tcPr>
            <w:tcW w:w="2226" w:type="dxa"/>
            <w:shd w:val="clear" w:color="auto" w:fill="auto"/>
            <w:vAlign w:val="center"/>
          </w:tcPr>
          <w:p w14:paraId="08DF59EE" w14:textId="77777777" w:rsidR="009E246E" w:rsidRPr="00BF60C2" w:rsidRDefault="009E246E" w:rsidP="0067469D">
            <w:pPr>
              <w:tabs>
                <w:tab w:val="left" w:pos="0"/>
                <w:tab w:val="left" w:pos="360"/>
                <w:tab w:val="left" w:pos="720"/>
                <w:tab w:val="left" w:pos="1086"/>
                <w:tab w:val="left" w:pos="1440"/>
                <w:tab w:val="left" w:pos="1802"/>
                <w:tab w:val="left" w:pos="2160"/>
                <w:tab w:val="left" w:pos="2520"/>
                <w:tab w:val="left" w:pos="2880"/>
              </w:tabs>
              <w:suppressAutoHyphens/>
              <w:jc w:val="center"/>
              <w:rPr>
                <w:b/>
                <w:u w:val="single"/>
              </w:rPr>
            </w:pPr>
            <w:r w:rsidRPr="00BF60C2">
              <w:rPr>
                <w:b/>
                <w:u w:val="single"/>
              </w:rPr>
              <w:t>Diarrhea</w:t>
            </w:r>
          </w:p>
        </w:tc>
        <w:tc>
          <w:tcPr>
            <w:tcW w:w="3567" w:type="dxa"/>
            <w:shd w:val="clear" w:color="auto" w:fill="auto"/>
            <w:vAlign w:val="center"/>
          </w:tcPr>
          <w:p w14:paraId="7B89ACA4" w14:textId="65825057" w:rsidR="009E246E" w:rsidRPr="002224D0" w:rsidRDefault="009E246E" w:rsidP="0067469D">
            <w:pPr>
              <w:tabs>
                <w:tab w:val="left" w:pos="0"/>
                <w:tab w:val="left" w:pos="360"/>
                <w:tab w:val="left" w:pos="720"/>
                <w:tab w:val="left" w:pos="1086"/>
                <w:tab w:val="left" w:pos="1440"/>
                <w:tab w:val="left" w:pos="1802"/>
                <w:tab w:val="left" w:pos="2160"/>
                <w:tab w:val="left" w:pos="2520"/>
                <w:tab w:val="left" w:pos="2880"/>
              </w:tabs>
              <w:suppressAutoHyphens/>
              <w:jc w:val="center"/>
              <w:rPr>
                <w:b/>
                <w:color w:val="auto"/>
              </w:rPr>
            </w:pPr>
            <w:r w:rsidRPr="002224D0">
              <w:rPr>
                <w:b/>
                <w:color w:val="auto"/>
              </w:rPr>
              <w:t xml:space="preserve">Management/Next Dose for </w:t>
            </w:r>
            <w:r w:rsidR="00060162" w:rsidRPr="002224D0">
              <w:rPr>
                <w:b/>
                <w:color w:val="auto"/>
              </w:rPr>
              <w:t>Triapine</w:t>
            </w:r>
          </w:p>
        </w:tc>
        <w:tc>
          <w:tcPr>
            <w:tcW w:w="3567" w:type="dxa"/>
            <w:shd w:val="clear" w:color="auto" w:fill="auto"/>
            <w:vAlign w:val="center"/>
          </w:tcPr>
          <w:p w14:paraId="6BB0FDB8" w14:textId="16C197BC" w:rsidR="009E246E" w:rsidRPr="00C077D7" w:rsidRDefault="009E246E" w:rsidP="0067469D">
            <w:pPr>
              <w:tabs>
                <w:tab w:val="left" w:pos="0"/>
                <w:tab w:val="left" w:pos="360"/>
                <w:tab w:val="left" w:pos="720"/>
                <w:tab w:val="left" w:pos="1086"/>
                <w:tab w:val="left" w:pos="1440"/>
                <w:tab w:val="left" w:pos="1802"/>
                <w:tab w:val="left" w:pos="2160"/>
                <w:tab w:val="left" w:pos="2520"/>
                <w:tab w:val="left" w:pos="2880"/>
              </w:tabs>
              <w:suppressAutoHyphens/>
              <w:jc w:val="center"/>
              <w:rPr>
                <w:b/>
                <w:color w:val="auto"/>
              </w:rPr>
            </w:pPr>
            <w:r w:rsidRPr="00C077D7">
              <w:rPr>
                <w:b/>
                <w:color w:val="auto"/>
              </w:rPr>
              <w:t xml:space="preserve">Management/Next Dose for </w:t>
            </w:r>
            <w:r w:rsidR="00060162" w:rsidRPr="00874D02">
              <w:rPr>
                <w:b/>
                <w:iCs/>
                <w:color w:val="auto"/>
              </w:rPr>
              <w:t>Radiation</w:t>
            </w:r>
          </w:p>
        </w:tc>
      </w:tr>
      <w:tr w:rsidR="009E246E" w:rsidRPr="00C023DD" w14:paraId="042E1B99" w14:textId="77777777" w:rsidTr="0067469D">
        <w:tc>
          <w:tcPr>
            <w:tcW w:w="2226" w:type="dxa"/>
            <w:shd w:val="clear" w:color="auto" w:fill="auto"/>
            <w:vAlign w:val="center"/>
          </w:tcPr>
          <w:p w14:paraId="7A74A911" w14:textId="77777777" w:rsidR="009E246E" w:rsidRDefault="009E246E" w:rsidP="0067469D">
            <w:pPr>
              <w:tabs>
                <w:tab w:val="left" w:pos="0"/>
                <w:tab w:val="left" w:pos="360"/>
                <w:tab w:val="left" w:pos="720"/>
                <w:tab w:val="left" w:pos="1086"/>
                <w:tab w:val="left" w:pos="1440"/>
                <w:tab w:val="left" w:pos="1802"/>
                <w:tab w:val="left" w:pos="2160"/>
                <w:tab w:val="left" w:pos="2520"/>
                <w:tab w:val="left" w:pos="2880"/>
              </w:tabs>
              <w:suppressAutoHyphens/>
              <w:jc w:val="center"/>
            </w:pPr>
            <w:r>
              <w:t>≤ Grade 1</w:t>
            </w:r>
          </w:p>
        </w:tc>
        <w:tc>
          <w:tcPr>
            <w:tcW w:w="3567" w:type="dxa"/>
            <w:shd w:val="clear" w:color="auto" w:fill="auto"/>
          </w:tcPr>
          <w:p w14:paraId="6886FD4A" w14:textId="77777777" w:rsidR="009E246E" w:rsidRDefault="009E246E" w:rsidP="0067469D">
            <w:pPr>
              <w:tabs>
                <w:tab w:val="left" w:pos="0"/>
                <w:tab w:val="left" w:pos="360"/>
                <w:tab w:val="left" w:pos="720"/>
                <w:tab w:val="left" w:pos="1086"/>
                <w:tab w:val="left" w:pos="1440"/>
                <w:tab w:val="left" w:pos="1802"/>
                <w:tab w:val="left" w:pos="2160"/>
                <w:tab w:val="left" w:pos="2520"/>
                <w:tab w:val="left" w:pos="2880"/>
              </w:tabs>
              <w:suppressAutoHyphens/>
            </w:pPr>
            <w:r>
              <w:t>No change in dose</w:t>
            </w:r>
          </w:p>
        </w:tc>
        <w:tc>
          <w:tcPr>
            <w:tcW w:w="3567" w:type="dxa"/>
            <w:shd w:val="clear" w:color="auto" w:fill="auto"/>
          </w:tcPr>
          <w:p w14:paraId="1DB00149" w14:textId="77777777" w:rsidR="009E246E" w:rsidRPr="00C077D7" w:rsidRDefault="009E246E" w:rsidP="0067469D">
            <w:pPr>
              <w:tabs>
                <w:tab w:val="left" w:pos="0"/>
                <w:tab w:val="left" w:pos="360"/>
                <w:tab w:val="left" w:pos="720"/>
                <w:tab w:val="left" w:pos="1086"/>
                <w:tab w:val="left" w:pos="1440"/>
                <w:tab w:val="left" w:pos="1802"/>
                <w:tab w:val="left" w:pos="2160"/>
                <w:tab w:val="left" w:pos="2520"/>
                <w:tab w:val="left" w:pos="2880"/>
              </w:tabs>
              <w:suppressAutoHyphens/>
            </w:pPr>
            <w:r w:rsidRPr="00C077D7">
              <w:t>No change in dose</w:t>
            </w:r>
          </w:p>
        </w:tc>
      </w:tr>
      <w:tr w:rsidR="009E246E" w:rsidRPr="00C023DD" w14:paraId="44B45FE0" w14:textId="77777777" w:rsidTr="0067469D">
        <w:tc>
          <w:tcPr>
            <w:tcW w:w="2226" w:type="dxa"/>
            <w:shd w:val="clear" w:color="auto" w:fill="auto"/>
            <w:vAlign w:val="center"/>
          </w:tcPr>
          <w:p w14:paraId="77E57A65" w14:textId="77777777" w:rsidR="009E246E" w:rsidRDefault="009E246E" w:rsidP="0067469D">
            <w:pPr>
              <w:tabs>
                <w:tab w:val="left" w:pos="0"/>
                <w:tab w:val="left" w:pos="360"/>
                <w:tab w:val="left" w:pos="720"/>
                <w:tab w:val="left" w:pos="1086"/>
                <w:tab w:val="left" w:pos="1440"/>
                <w:tab w:val="left" w:pos="1802"/>
                <w:tab w:val="left" w:pos="2160"/>
                <w:tab w:val="left" w:pos="2520"/>
                <w:tab w:val="left" w:pos="2880"/>
              </w:tabs>
              <w:suppressAutoHyphens/>
              <w:jc w:val="center"/>
            </w:pPr>
            <w:r>
              <w:t>Grade 2</w:t>
            </w:r>
          </w:p>
        </w:tc>
        <w:tc>
          <w:tcPr>
            <w:tcW w:w="3567" w:type="dxa"/>
            <w:shd w:val="clear" w:color="auto" w:fill="auto"/>
          </w:tcPr>
          <w:p w14:paraId="39956F46" w14:textId="77777777" w:rsidR="009E246E" w:rsidRDefault="009E246E" w:rsidP="0067469D">
            <w:pPr>
              <w:tabs>
                <w:tab w:val="left" w:pos="0"/>
                <w:tab w:val="left" w:pos="360"/>
                <w:tab w:val="left" w:pos="720"/>
                <w:tab w:val="left" w:pos="1086"/>
                <w:tab w:val="left" w:pos="1440"/>
                <w:tab w:val="left" w:pos="1802"/>
                <w:tab w:val="left" w:pos="2160"/>
                <w:tab w:val="left" w:pos="2520"/>
                <w:tab w:val="left" w:pos="2880"/>
              </w:tabs>
              <w:suppressAutoHyphens/>
            </w:pPr>
            <w:r>
              <w:t>Hold until ≤ Grade 1.  Resume at same dose level.</w:t>
            </w:r>
          </w:p>
        </w:tc>
        <w:tc>
          <w:tcPr>
            <w:tcW w:w="3567" w:type="dxa"/>
            <w:shd w:val="clear" w:color="auto" w:fill="auto"/>
          </w:tcPr>
          <w:p w14:paraId="34DAB090" w14:textId="31156BF8" w:rsidR="009E246E" w:rsidRPr="00C077D7" w:rsidRDefault="00916301" w:rsidP="0067469D">
            <w:pPr>
              <w:tabs>
                <w:tab w:val="left" w:pos="0"/>
                <w:tab w:val="left" w:pos="360"/>
                <w:tab w:val="left" w:pos="720"/>
                <w:tab w:val="left" w:pos="1086"/>
                <w:tab w:val="left" w:pos="1440"/>
                <w:tab w:val="left" w:pos="1802"/>
                <w:tab w:val="left" w:pos="2160"/>
                <w:tab w:val="left" w:pos="2520"/>
                <w:tab w:val="left" w:pos="2880"/>
              </w:tabs>
              <w:suppressAutoHyphens/>
            </w:pPr>
            <w:r>
              <w:t xml:space="preserve"> Consider </w:t>
            </w:r>
            <w:proofErr w:type="gramStart"/>
            <w:r>
              <w:t>hold</w:t>
            </w:r>
            <w:proofErr w:type="gramEnd"/>
            <w:r>
              <w:t xml:space="preserve"> until ≤ Grade 1.</w:t>
            </w:r>
            <w:r w:rsidR="00434249">
              <w:t xml:space="preserve"> Resume next fraction at same dose. </w:t>
            </w:r>
          </w:p>
        </w:tc>
      </w:tr>
      <w:tr w:rsidR="009E246E" w:rsidRPr="00C023DD" w14:paraId="624A3706" w14:textId="77777777" w:rsidTr="0067469D">
        <w:tc>
          <w:tcPr>
            <w:tcW w:w="2226" w:type="dxa"/>
            <w:shd w:val="clear" w:color="auto" w:fill="auto"/>
            <w:vAlign w:val="center"/>
          </w:tcPr>
          <w:p w14:paraId="56CEECDD" w14:textId="77777777" w:rsidR="009E246E" w:rsidRDefault="009E246E" w:rsidP="0067469D">
            <w:pPr>
              <w:tabs>
                <w:tab w:val="left" w:pos="0"/>
                <w:tab w:val="left" w:pos="360"/>
                <w:tab w:val="left" w:pos="720"/>
                <w:tab w:val="left" w:pos="1086"/>
                <w:tab w:val="left" w:pos="1440"/>
                <w:tab w:val="left" w:pos="1802"/>
                <w:tab w:val="left" w:pos="2160"/>
                <w:tab w:val="left" w:pos="2520"/>
                <w:tab w:val="left" w:pos="2880"/>
              </w:tabs>
              <w:suppressAutoHyphens/>
              <w:jc w:val="center"/>
            </w:pPr>
            <w:r>
              <w:t>Grade 3</w:t>
            </w:r>
          </w:p>
        </w:tc>
        <w:tc>
          <w:tcPr>
            <w:tcW w:w="3567" w:type="dxa"/>
            <w:shd w:val="clear" w:color="auto" w:fill="auto"/>
          </w:tcPr>
          <w:p w14:paraId="5B61C7FB" w14:textId="77777777" w:rsidR="009E246E" w:rsidRDefault="009E246E" w:rsidP="0067469D">
            <w:pPr>
              <w:tabs>
                <w:tab w:val="left" w:pos="0"/>
                <w:tab w:val="left" w:pos="360"/>
                <w:tab w:val="left" w:pos="720"/>
                <w:tab w:val="left" w:pos="1086"/>
                <w:tab w:val="left" w:pos="1440"/>
                <w:tab w:val="left" w:pos="1802"/>
                <w:tab w:val="left" w:pos="2160"/>
                <w:tab w:val="left" w:pos="2520"/>
                <w:tab w:val="left" w:pos="2880"/>
              </w:tabs>
              <w:suppressAutoHyphens/>
            </w:pPr>
            <w:r>
              <w:t>Hold</w:t>
            </w:r>
            <w:r w:rsidRPr="00C023DD">
              <w:rPr>
                <w:vertAlign w:val="superscript"/>
              </w:rPr>
              <w:t>*</w:t>
            </w:r>
            <w:r>
              <w:t xml:space="preserve"> until &lt; Grade 2.  Resume at one dose level lower, if indicated.</w:t>
            </w:r>
            <w:r w:rsidRPr="00C023DD">
              <w:rPr>
                <w:vertAlign w:val="superscript"/>
              </w:rPr>
              <w:t>**</w:t>
            </w:r>
          </w:p>
        </w:tc>
        <w:tc>
          <w:tcPr>
            <w:tcW w:w="3567" w:type="dxa"/>
            <w:shd w:val="clear" w:color="auto" w:fill="auto"/>
          </w:tcPr>
          <w:p w14:paraId="5141BF06" w14:textId="10E44CDD" w:rsidR="009E246E" w:rsidRPr="00C077D7" w:rsidRDefault="009E246E" w:rsidP="0067469D">
            <w:pPr>
              <w:tabs>
                <w:tab w:val="left" w:pos="0"/>
                <w:tab w:val="left" w:pos="360"/>
                <w:tab w:val="left" w:pos="720"/>
                <w:tab w:val="left" w:pos="1086"/>
                <w:tab w:val="left" w:pos="1440"/>
                <w:tab w:val="left" w:pos="1802"/>
                <w:tab w:val="left" w:pos="2160"/>
                <w:tab w:val="left" w:pos="2520"/>
                <w:tab w:val="left" w:pos="2880"/>
              </w:tabs>
              <w:suppressAutoHyphens/>
            </w:pPr>
            <w:r w:rsidRPr="00C077D7">
              <w:t>Hold</w:t>
            </w:r>
            <w:r w:rsidRPr="00C077D7">
              <w:rPr>
                <w:vertAlign w:val="superscript"/>
              </w:rPr>
              <w:t>*</w:t>
            </w:r>
            <w:r w:rsidRPr="00C077D7">
              <w:t xml:space="preserve"> until &lt; Grade 2.  Resume </w:t>
            </w:r>
            <w:r w:rsidR="00434249">
              <w:rPr>
                <w:vertAlign w:val="superscript"/>
              </w:rPr>
              <w:t xml:space="preserve"> </w:t>
            </w:r>
            <w:r w:rsidR="00434249">
              <w:t>next fraction at same dose.</w:t>
            </w:r>
          </w:p>
        </w:tc>
      </w:tr>
      <w:tr w:rsidR="009E246E" w:rsidRPr="00C023DD" w14:paraId="77D28860" w14:textId="77777777" w:rsidTr="0067469D">
        <w:tc>
          <w:tcPr>
            <w:tcW w:w="2226" w:type="dxa"/>
            <w:shd w:val="clear" w:color="auto" w:fill="auto"/>
            <w:vAlign w:val="center"/>
          </w:tcPr>
          <w:p w14:paraId="542DC5F5" w14:textId="77777777" w:rsidR="009E246E" w:rsidRDefault="009E246E" w:rsidP="0067469D">
            <w:pPr>
              <w:tabs>
                <w:tab w:val="left" w:pos="0"/>
                <w:tab w:val="left" w:pos="360"/>
                <w:tab w:val="left" w:pos="720"/>
                <w:tab w:val="left" w:pos="1086"/>
                <w:tab w:val="left" w:pos="1440"/>
                <w:tab w:val="left" w:pos="1802"/>
                <w:tab w:val="left" w:pos="2160"/>
                <w:tab w:val="left" w:pos="2520"/>
                <w:tab w:val="left" w:pos="2880"/>
              </w:tabs>
              <w:suppressAutoHyphens/>
              <w:jc w:val="center"/>
            </w:pPr>
            <w:r>
              <w:t>Grade 4</w:t>
            </w:r>
          </w:p>
        </w:tc>
        <w:tc>
          <w:tcPr>
            <w:tcW w:w="3567" w:type="dxa"/>
            <w:shd w:val="clear" w:color="auto" w:fill="auto"/>
          </w:tcPr>
          <w:p w14:paraId="7B102D9A" w14:textId="77777777" w:rsidR="009E246E" w:rsidRDefault="009E246E" w:rsidP="0067469D">
            <w:pPr>
              <w:tabs>
                <w:tab w:val="left" w:pos="0"/>
                <w:tab w:val="left" w:pos="360"/>
                <w:tab w:val="left" w:pos="720"/>
                <w:tab w:val="left" w:pos="1086"/>
                <w:tab w:val="left" w:pos="1440"/>
                <w:tab w:val="left" w:pos="1802"/>
                <w:tab w:val="left" w:pos="2160"/>
                <w:tab w:val="left" w:pos="2520"/>
                <w:tab w:val="left" w:pos="2880"/>
              </w:tabs>
              <w:suppressAutoHyphens/>
            </w:pPr>
            <w:r>
              <w:t>Off protocol therapy</w:t>
            </w:r>
          </w:p>
        </w:tc>
        <w:tc>
          <w:tcPr>
            <w:tcW w:w="3567" w:type="dxa"/>
            <w:shd w:val="clear" w:color="auto" w:fill="auto"/>
          </w:tcPr>
          <w:p w14:paraId="36B278D6" w14:textId="77777777" w:rsidR="009E246E" w:rsidRPr="00C077D7" w:rsidRDefault="009E246E" w:rsidP="0067469D">
            <w:pPr>
              <w:tabs>
                <w:tab w:val="left" w:pos="0"/>
                <w:tab w:val="left" w:pos="360"/>
                <w:tab w:val="left" w:pos="720"/>
                <w:tab w:val="left" w:pos="1086"/>
                <w:tab w:val="left" w:pos="1440"/>
                <w:tab w:val="left" w:pos="1802"/>
                <w:tab w:val="left" w:pos="2160"/>
                <w:tab w:val="left" w:pos="2520"/>
                <w:tab w:val="left" w:pos="2880"/>
              </w:tabs>
              <w:suppressAutoHyphens/>
            </w:pPr>
            <w:r w:rsidRPr="00C077D7">
              <w:t>Off protocol therapy</w:t>
            </w:r>
          </w:p>
        </w:tc>
      </w:tr>
      <w:tr w:rsidR="009E246E" w:rsidRPr="00C023DD" w14:paraId="66FF023A" w14:textId="77777777" w:rsidTr="0067469D">
        <w:tc>
          <w:tcPr>
            <w:tcW w:w="9360" w:type="dxa"/>
            <w:gridSpan w:val="3"/>
            <w:shd w:val="clear" w:color="auto" w:fill="auto"/>
          </w:tcPr>
          <w:p w14:paraId="62C6B486" w14:textId="77777777" w:rsidR="009E246E" w:rsidRDefault="009E246E" w:rsidP="0067469D">
            <w:pPr>
              <w:tabs>
                <w:tab w:val="left" w:pos="0"/>
                <w:tab w:val="left" w:pos="360"/>
                <w:tab w:val="left" w:pos="720"/>
                <w:tab w:val="left" w:pos="1086"/>
                <w:tab w:val="left" w:pos="1440"/>
                <w:tab w:val="left" w:pos="1802"/>
                <w:tab w:val="left" w:pos="2160"/>
                <w:tab w:val="left" w:pos="2520"/>
                <w:tab w:val="left" w:pos="2880"/>
              </w:tabs>
              <w:suppressAutoHyphens/>
            </w:pPr>
            <w:r w:rsidRPr="00C023DD">
              <w:rPr>
                <w:vertAlign w:val="superscript"/>
              </w:rPr>
              <w:t>*</w:t>
            </w:r>
            <w:r>
              <w:t>Patients requiring a delay of &gt;2 weeks should go off protocol therapy.</w:t>
            </w:r>
          </w:p>
          <w:p w14:paraId="7C085703" w14:textId="77777777" w:rsidR="009E246E" w:rsidRDefault="009E246E" w:rsidP="0067469D">
            <w:pPr>
              <w:tabs>
                <w:tab w:val="left" w:pos="0"/>
                <w:tab w:val="left" w:pos="360"/>
                <w:tab w:val="left" w:pos="720"/>
                <w:tab w:val="left" w:pos="1086"/>
                <w:tab w:val="left" w:pos="1440"/>
                <w:tab w:val="left" w:pos="1802"/>
                <w:tab w:val="left" w:pos="2160"/>
                <w:tab w:val="left" w:pos="2520"/>
                <w:tab w:val="left" w:pos="2880"/>
              </w:tabs>
              <w:suppressAutoHyphens/>
            </w:pPr>
            <w:r w:rsidRPr="00C023DD">
              <w:rPr>
                <w:vertAlign w:val="superscript"/>
              </w:rPr>
              <w:t>**</w:t>
            </w:r>
            <w:r>
              <w:t>Patients requiring &gt; two dose reductions should go off protocol therapy.</w:t>
            </w:r>
          </w:p>
        </w:tc>
      </w:tr>
      <w:tr w:rsidR="009E246E" w:rsidRPr="00C023DD" w14:paraId="27A054ED" w14:textId="77777777" w:rsidTr="0067469D">
        <w:tc>
          <w:tcPr>
            <w:tcW w:w="9360" w:type="dxa"/>
            <w:gridSpan w:val="3"/>
            <w:shd w:val="clear" w:color="auto" w:fill="auto"/>
          </w:tcPr>
          <w:p w14:paraId="600559E3" w14:textId="07AA13F3" w:rsidR="009E246E" w:rsidRDefault="009E246E" w:rsidP="0067469D">
            <w:pPr>
              <w:tabs>
                <w:tab w:val="left" w:pos="0"/>
                <w:tab w:val="left" w:pos="360"/>
                <w:tab w:val="left" w:pos="720"/>
                <w:tab w:val="left" w:pos="1086"/>
                <w:tab w:val="left" w:pos="1440"/>
                <w:tab w:val="left" w:pos="1802"/>
                <w:tab w:val="left" w:pos="2160"/>
                <w:tab w:val="left" w:pos="2520"/>
                <w:tab w:val="left" w:pos="2880"/>
              </w:tabs>
              <w:suppressAutoHyphens/>
            </w:pPr>
            <w:r>
              <w:t>Recommended management:  Loperamide antidiarrheal therapy</w:t>
            </w:r>
            <w:r w:rsidR="00FD3427">
              <w:t>.</w:t>
            </w:r>
          </w:p>
          <w:p w14:paraId="48564C1B" w14:textId="2CAEF7C2" w:rsidR="009E246E" w:rsidRDefault="009E246E" w:rsidP="0067469D">
            <w:pPr>
              <w:tabs>
                <w:tab w:val="left" w:pos="0"/>
                <w:tab w:val="left" w:pos="360"/>
                <w:tab w:val="left" w:pos="720"/>
                <w:tab w:val="left" w:pos="1086"/>
                <w:tab w:val="left" w:pos="1440"/>
                <w:tab w:val="left" w:pos="1802"/>
                <w:tab w:val="left" w:pos="2160"/>
                <w:tab w:val="left" w:pos="2520"/>
                <w:tab w:val="left" w:pos="2880"/>
              </w:tabs>
              <w:suppressAutoHyphens/>
            </w:pPr>
            <w:r>
              <w:t>Dosage schedule:  4 mg at first onset, followed by 2 mg with each loose motion until diarrhea-free for 12 hours (maximum dosage:  16 mg/24 hours)</w:t>
            </w:r>
            <w:r w:rsidR="00FD3427">
              <w:t>.</w:t>
            </w:r>
          </w:p>
          <w:p w14:paraId="31B27E34" w14:textId="77777777" w:rsidR="009E246E" w:rsidRDefault="009E246E" w:rsidP="0067469D">
            <w:pPr>
              <w:tabs>
                <w:tab w:val="left" w:pos="0"/>
                <w:tab w:val="left" w:pos="360"/>
                <w:tab w:val="left" w:pos="720"/>
                <w:tab w:val="left" w:pos="1086"/>
                <w:tab w:val="left" w:pos="1440"/>
                <w:tab w:val="left" w:pos="1802"/>
                <w:tab w:val="left" w:pos="2160"/>
                <w:tab w:val="left" w:pos="2520"/>
                <w:tab w:val="left" w:pos="2880"/>
              </w:tabs>
              <w:suppressAutoHyphens/>
            </w:pPr>
            <w:r>
              <w:t>Adjunct anti-diarrheal therapy is permitted and should be recorded when used.</w:t>
            </w:r>
          </w:p>
        </w:tc>
      </w:tr>
    </w:tbl>
    <w:p w14:paraId="4CE6DF3D" w14:textId="77777777" w:rsidR="009E246E" w:rsidRDefault="009E246E" w:rsidP="009E246E">
      <w:pPr>
        <w:suppressAutoHyphens/>
      </w:pPr>
    </w:p>
    <w:tbl>
      <w:tblPr>
        <w:tblW w:w="93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226"/>
        <w:gridCol w:w="3567"/>
        <w:gridCol w:w="3567"/>
      </w:tblGrid>
      <w:tr w:rsidR="009E246E" w:rsidRPr="00422CA1" w14:paraId="6FC5F78F" w14:textId="77777777" w:rsidTr="0067469D">
        <w:trPr>
          <w:tblHeader/>
        </w:trPr>
        <w:tc>
          <w:tcPr>
            <w:tcW w:w="2226" w:type="dxa"/>
            <w:shd w:val="clear" w:color="auto" w:fill="auto"/>
            <w:vAlign w:val="center"/>
          </w:tcPr>
          <w:p w14:paraId="6C133E3F" w14:textId="77777777" w:rsidR="009E246E" w:rsidRPr="00422CA1" w:rsidRDefault="009E246E" w:rsidP="0067469D">
            <w:pPr>
              <w:tabs>
                <w:tab w:val="left" w:pos="0"/>
                <w:tab w:val="left" w:pos="360"/>
                <w:tab w:val="left" w:pos="720"/>
                <w:tab w:val="left" w:pos="1086"/>
                <w:tab w:val="left" w:pos="1440"/>
                <w:tab w:val="left" w:pos="1802"/>
                <w:tab w:val="left" w:pos="2160"/>
                <w:tab w:val="left" w:pos="2520"/>
                <w:tab w:val="left" w:pos="2880"/>
              </w:tabs>
              <w:suppressAutoHyphens/>
              <w:jc w:val="center"/>
              <w:rPr>
                <w:b/>
                <w:u w:val="single"/>
              </w:rPr>
            </w:pPr>
            <w:r w:rsidRPr="00422CA1">
              <w:rPr>
                <w:b/>
                <w:u w:val="single"/>
              </w:rPr>
              <w:t>Neutropenia</w:t>
            </w:r>
          </w:p>
        </w:tc>
        <w:tc>
          <w:tcPr>
            <w:tcW w:w="3567" w:type="dxa"/>
            <w:shd w:val="clear" w:color="auto" w:fill="auto"/>
            <w:vAlign w:val="center"/>
          </w:tcPr>
          <w:p w14:paraId="3947DDFD" w14:textId="6918AEB7" w:rsidR="009E246E" w:rsidRPr="00422CA1" w:rsidRDefault="009E246E" w:rsidP="0067469D">
            <w:pPr>
              <w:tabs>
                <w:tab w:val="left" w:pos="0"/>
                <w:tab w:val="left" w:pos="360"/>
                <w:tab w:val="left" w:pos="720"/>
                <w:tab w:val="left" w:pos="1086"/>
                <w:tab w:val="left" w:pos="1440"/>
                <w:tab w:val="left" w:pos="1802"/>
                <w:tab w:val="left" w:pos="2160"/>
                <w:tab w:val="left" w:pos="2520"/>
                <w:tab w:val="left" w:pos="2880"/>
              </w:tabs>
              <w:suppressAutoHyphens/>
              <w:jc w:val="center"/>
              <w:rPr>
                <w:b/>
                <w:color w:val="auto"/>
              </w:rPr>
            </w:pPr>
            <w:r w:rsidRPr="00422CA1">
              <w:rPr>
                <w:b/>
                <w:color w:val="auto"/>
              </w:rPr>
              <w:t xml:space="preserve">Management/Next Dose for </w:t>
            </w:r>
            <w:r w:rsidR="00060162" w:rsidRPr="00422CA1">
              <w:rPr>
                <w:b/>
                <w:color w:val="auto"/>
              </w:rPr>
              <w:t>Triapine</w:t>
            </w:r>
          </w:p>
        </w:tc>
        <w:tc>
          <w:tcPr>
            <w:tcW w:w="3567" w:type="dxa"/>
            <w:shd w:val="clear" w:color="auto" w:fill="auto"/>
            <w:vAlign w:val="center"/>
          </w:tcPr>
          <w:p w14:paraId="151C0A5B" w14:textId="7E7E0541" w:rsidR="009E246E" w:rsidRPr="000D2A81" w:rsidRDefault="009E246E" w:rsidP="0067469D">
            <w:pPr>
              <w:tabs>
                <w:tab w:val="left" w:pos="0"/>
                <w:tab w:val="left" w:pos="360"/>
                <w:tab w:val="left" w:pos="720"/>
                <w:tab w:val="left" w:pos="1086"/>
                <w:tab w:val="left" w:pos="1440"/>
                <w:tab w:val="left" w:pos="1802"/>
                <w:tab w:val="left" w:pos="2160"/>
                <w:tab w:val="left" w:pos="2520"/>
                <w:tab w:val="left" w:pos="2880"/>
              </w:tabs>
              <w:suppressAutoHyphens/>
              <w:jc w:val="center"/>
              <w:rPr>
                <w:b/>
                <w:color w:val="auto"/>
              </w:rPr>
            </w:pPr>
            <w:r w:rsidRPr="000D2A81">
              <w:rPr>
                <w:b/>
                <w:color w:val="auto"/>
              </w:rPr>
              <w:t xml:space="preserve">Management/Next Dose for </w:t>
            </w:r>
            <w:r w:rsidR="00060162" w:rsidRPr="00422CA1">
              <w:rPr>
                <w:b/>
                <w:iCs/>
                <w:color w:val="auto"/>
              </w:rPr>
              <w:t>Radiation</w:t>
            </w:r>
          </w:p>
        </w:tc>
      </w:tr>
      <w:tr w:rsidR="009E246E" w:rsidRPr="00422CA1" w14:paraId="4DAECFA4" w14:textId="77777777" w:rsidTr="0067469D">
        <w:tc>
          <w:tcPr>
            <w:tcW w:w="2226" w:type="dxa"/>
            <w:shd w:val="clear" w:color="auto" w:fill="auto"/>
            <w:vAlign w:val="center"/>
          </w:tcPr>
          <w:p w14:paraId="18B71320" w14:textId="77777777" w:rsidR="009E246E" w:rsidRPr="00422CA1" w:rsidRDefault="009E246E" w:rsidP="0067469D">
            <w:pPr>
              <w:tabs>
                <w:tab w:val="left" w:pos="0"/>
                <w:tab w:val="left" w:pos="360"/>
                <w:tab w:val="left" w:pos="720"/>
                <w:tab w:val="left" w:pos="1086"/>
                <w:tab w:val="left" w:pos="1440"/>
                <w:tab w:val="left" w:pos="1802"/>
                <w:tab w:val="left" w:pos="2160"/>
                <w:tab w:val="left" w:pos="2520"/>
                <w:tab w:val="left" w:pos="2880"/>
              </w:tabs>
              <w:suppressAutoHyphens/>
              <w:jc w:val="center"/>
            </w:pPr>
            <w:r w:rsidRPr="00422CA1">
              <w:t>≤ Grade 1</w:t>
            </w:r>
          </w:p>
        </w:tc>
        <w:tc>
          <w:tcPr>
            <w:tcW w:w="3567" w:type="dxa"/>
            <w:shd w:val="clear" w:color="auto" w:fill="auto"/>
          </w:tcPr>
          <w:p w14:paraId="426574F0" w14:textId="77777777" w:rsidR="009E246E" w:rsidRPr="00422CA1" w:rsidRDefault="009E246E" w:rsidP="0067469D">
            <w:pPr>
              <w:tabs>
                <w:tab w:val="left" w:pos="0"/>
                <w:tab w:val="left" w:pos="360"/>
                <w:tab w:val="left" w:pos="720"/>
                <w:tab w:val="left" w:pos="1086"/>
                <w:tab w:val="left" w:pos="1440"/>
                <w:tab w:val="left" w:pos="1802"/>
                <w:tab w:val="left" w:pos="2160"/>
                <w:tab w:val="left" w:pos="2520"/>
                <w:tab w:val="left" w:pos="2880"/>
              </w:tabs>
              <w:suppressAutoHyphens/>
            </w:pPr>
            <w:r w:rsidRPr="00422CA1">
              <w:t>No change in dose</w:t>
            </w:r>
          </w:p>
        </w:tc>
        <w:tc>
          <w:tcPr>
            <w:tcW w:w="3567" w:type="dxa"/>
            <w:shd w:val="clear" w:color="auto" w:fill="auto"/>
          </w:tcPr>
          <w:p w14:paraId="4943EB83" w14:textId="77777777" w:rsidR="009E246E" w:rsidRPr="000D2A81" w:rsidRDefault="009E246E" w:rsidP="0067469D">
            <w:pPr>
              <w:tabs>
                <w:tab w:val="left" w:pos="0"/>
                <w:tab w:val="left" w:pos="360"/>
                <w:tab w:val="left" w:pos="720"/>
                <w:tab w:val="left" w:pos="1086"/>
                <w:tab w:val="left" w:pos="1440"/>
                <w:tab w:val="left" w:pos="1802"/>
                <w:tab w:val="left" w:pos="2160"/>
                <w:tab w:val="left" w:pos="2520"/>
                <w:tab w:val="left" w:pos="2880"/>
              </w:tabs>
              <w:suppressAutoHyphens/>
            </w:pPr>
            <w:r w:rsidRPr="000D2A81">
              <w:t>No change in dose</w:t>
            </w:r>
          </w:p>
        </w:tc>
      </w:tr>
      <w:tr w:rsidR="009E246E" w:rsidRPr="00422CA1" w14:paraId="003DBF60" w14:textId="77777777" w:rsidTr="0067469D">
        <w:tc>
          <w:tcPr>
            <w:tcW w:w="2226" w:type="dxa"/>
            <w:shd w:val="clear" w:color="auto" w:fill="auto"/>
            <w:vAlign w:val="center"/>
          </w:tcPr>
          <w:p w14:paraId="46609241" w14:textId="77777777" w:rsidR="009E246E" w:rsidRPr="00422CA1" w:rsidRDefault="009E246E" w:rsidP="0067469D">
            <w:pPr>
              <w:tabs>
                <w:tab w:val="left" w:pos="0"/>
                <w:tab w:val="left" w:pos="360"/>
                <w:tab w:val="left" w:pos="720"/>
                <w:tab w:val="left" w:pos="1086"/>
                <w:tab w:val="left" w:pos="1440"/>
                <w:tab w:val="left" w:pos="1802"/>
                <w:tab w:val="left" w:pos="2160"/>
                <w:tab w:val="left" w:pos="2520"/>
                <w:tab w:val="left" w:pos="2880"/>
              </w:tabs>
              <w:suppressAutoHyphens/>
              <w:jc w:val="center"/>
            </w:pPr>
            <w:r w:rsidRPr="00422CA1">
              <w:t>Grade 2</w:t>
            </w:r>
          </w:p>
        </w:tc>
        <w:tc>
          <w:tcPr>
            <w:tcW w:w="3567" w:type="dxa"/>
            <w:shd w:val="clear" w:color="auto" w:fill="auto"/>
          </w:tcPr>
          <w:p w14:paraId="01D7B2FD" w14:textId="77777777" w:rsidR="009E246E" w:rsidRPr="00422CA1" w:rsidRDefault="009E246E" w:rsidP="0067469D">
            <w:pPr>
              <w:tabs>
                <w:tab w:val="left" w:pos="0"/>
                <w:tab w:val="left" w:pos="360"/>
                <w:tab w:val="left" w:pos="720"/>
                <w:tab w:val="left" w:pos="1086"/>
                <w:tab w:val="left" w:pos="1440"/>
                <w:tab w:val="left" w:pos="1802"/>
                <w:tab w:val="left" w:pos="2160"/>
                <w:tab w:val="left" w:pos="2520"/>
                <w:tab w:val="left" w:pos="2880"/>
              </w:tabs>
              <w:suppressAutoHyphens/>
            </w:pPr>
            <w:r w:rsidRPr="00422CA1">
              <w:t>Hold until ≤ Grade 1.  Resume at same dose level.</w:t>
            </w:r>
          </w:p>
        </w:tc>
        <w:tc>
          <w:tcPr>
            <w:tcW w:w="3567" w:type="dxa"/>
            <w:shd w:val="clear" w:color="auto" w:fill="auto"/>
          </w:tcPr>
          <w:p w14:paraId="4AFA528D" w14:textId="5A0DEBC8" w:rsidR="009E246E" w:rsidRPr="000D2A81" w:rsidRDefault="00807998" w:rsidP="0067469D">
            <w:pPr>
              <w:tabs>
                <w:tab w:val="left" w:pos="0"/>
                <w:tab w:val="left" w:pos="360"/>
                <w:tab w:val="left" w:pos="720"/>
                <w:tab w:val="left" w:pos="1086"/>
                <w:tab w:val="left" w:pos="1440"/>
                <w:tab w:val="left" w:pos="1802"/>
                <w:tab w:val="left" w:pos="2160"/>
                <w:tab w:val="left" w:pos="2520"/>
                <w:tab w:val="left" w:pos="2880"/>
              </w:tabs>
              <w:suppressAutoHyphens/>
            </w:pPr>
            <w:r>
              <w:t xml:space="preserve">Consider </w:t>
            </w:r>
            <w:proofErr w:type="gramStart"/>
            <w:r>
              <w:t>hold</w:t>
            </w:r>
            <w:proofErr w:type="gramEnd"/>
            <w:r>
              <w:t xml:space="preserve"> until ≤ Grade 1</w:t>
            </w:r>
            <w:r w:rsidR="006B047F">
              <w:t>.</w:t>
            </w:r>
            <w:r w:rsidR="000D2A81">
              <w:t xml:space="preserve">  </w:t>
            </w:r>
            <w:r w:rsidR="006B047F">
              <w:t xml:space="preserve"> </w:t>
            </w:r>
            <w:r w:rsidR="009E246E" w:rsidRPr="000D2A81">
              <w:t xml:space="preserve">Resume </w:t>
            </w:r>
            <w:r w:rsidR="006B047F">
              <w:t>next fraction at same dose.</w:t>
            </w:r>
          </w:p>
        </w:tc>
      </w:tr>
      <w:tr w:rsidR="009E246E" w:rsidRPr="00422CA1" w14:paraId="55F7C622" w14:textId="77777777" w:rsidTr="0067469D">
        <w:tc>
          <w:tcPr>
            <w:tcW w:w="2226" w:type="dxa"/>
            <w:shd w:val="clear" w:color="auto" w:fill="auto"/>
            <w:vAlign w:val="center"/>
          </w:tcPr>
          <w:p w14:paraId="5BE36951" w14:textId="77777777" w:rsidR="009E246E" w:rsidRPr="00422CA1" w:rsidRDefault="009E246E" w:rsidP="0067469D">
            <w:pPr>
              <w:tabs>
                <w:tab w:val="left" w:pos="0"/>
                <w:tab w:val="left" w:pos="360"/>
                <w:tab w:val="left" w:pos="720"/>
                <w:tab w:val="left" w:pos="1086"/>
                <w:tab w:val="left" w:pos="1440"/>
                <w:tab w:val="left" w:pos="1802"/>
                <w:tab w:val="left" w:pos="2160"/>
                <w:tab w:val="left" w:pos="2520"/>
                <w:tab w:val="left" w:pos="2880"/>
              </w:tabs>
              <w:suppressAutoHyphens/>
              <w:jc w:val="center"/>
            </w:pPr>
            <w:r w:rsidRPr="00422CA1">
              <w:t>Grade 3</w:t>
            </w:r>
          </w:p>
        </w:tc>
        <w:tc>
          <w:tcPr>
            <w:tcW w:w="3567" w:type="dxa"/>
            <w:shd w:val="clear" w:color="auto" w:fill="auto"/>
          </w:tcPr>
          <w:p w14:paraId="3E4C1F0B" w14:textId="77777777" w:rsidR="009E246E" w:rsidRPr="00422CA1" w:rsidRDefault="009E246E" w:rsidP="0067469D">
            <w:pPr>
              <w:tabs>
                <w:tab w:val="left" w:pos="0"/>
                <w:tab w:val="left" w:pos="360"/>
                <w:tab w:val="left" w:pos="720"/>
                <w:tab w:val="left" w:pos="1086"/>
                <w:tab w:val="left" w:pos="1440"/>
                <w:tab w:val="left" w:pos="1802"/>
                <w:tab w:val="left" w:pos="2160"/>
                <w:tab w:val="left" w:pos="2520"/>
                <w:tab w:val="left" w:pos="2880"/>
              </w:tabs>
              <w:suppressAutoHyphens/>
            </w:pPr>
            <w:r w:rsidRPr="00422CA1">
              <w:t>Hold</w:t>
            </w:r>
            <w:r w:rsidRPr="00422CA1">
              <w:rPr>
                <w:vertAlign w:val="superscript"/>
              </w:rPr>
              <w:t>*</w:t>
            </w:r>
            <w:r w:rsidRPr="00422CA1">
              <w:t xml:space="preserve"> until &lt; Grade 2.  Resume at one dose level lower, if indicated.</w:t>
            </w:r>
            <w:r w:rsidRPr="00422CA1">
              <w:rPr>
                <w:vertAlign w:val="superscript"/>
              </w:rPr>
              <w:t>**</w:t>
            </w:r>
          </w:p>
        </w:tc>
        <w:tc>
          <w:tcPr>
            <w:tcW w:w="3567" w:type="dxa"/>
            <w:shd w:val="clear" w:color="auto" w:fill="auto"/>
          </w:tcPr>
          <w:p w14:paraId="094FD053" w14:textId="2E3794A5" w:rsidR="009E246E" w:rsidRPr="000D2A81" w:rsidRDefault="006B047F" w:rsidP="0067469D">
            <w:pPr>
              <w:tabs>
                <w:tab w:val="left" w:pos="0"/>
                <w:tab w:val="left" w:pos="360"/>
                <w:tab w:val="left" w:pos="720"/>
                <w:tab w:val="left" w:pos="1086"/>
                <w:tab w:val="left" w:pos="1440"/>
                <w:tab w:val="left" w:pos="1802"/>
                <w:tab w:val="left" w:pos="2160"/>
                <w:tab w:val="left" w:pos="2520"/>
                <w:tab w:val="left" w:pos="2880"/>
              </w:tabs>
              <w:suppressAutoHyphens/>
            </w:pPr>
            <w:r>
              <w:rPr>
                <w:vertAlign w:val="superscript"/>
              </w:rPr>
              <w:t xml:space="preserve"> </w:t>
            </w:r>
            <w:r>
              <w:t xml:space="preserve">Consider </w:t>
            </w:r>
            <w:proofErr w:type="gramStart"/>
            <w:r>
              <w:t>hold</w:t>
            </w:r>
            <w:proofErr w:type="gramEnd"/>
            <w:r>
              <w:t xml:space="preserve"> until ≤ Grade 1.</w:t>
            </w:r>
            <w:r w:rsidR="000D2A81">
              <w:t xml:space="preserve">  </w:t>
            </w:r>
            <w:r>
              <w:t xml:space="preserve"> </w:t>
            </w:r>
            <w:r w:rsidRPr="0005715D">
              <w:t>Resume</w:t>
            </w:r>
            <w:r>
              <w:t xml:space="preserve"> next fraction at same dose.</w:t>
            </w:r>
          </w:p>
        </w:tc>
      </w:tr>
      <w:tr w:rsidR="009E246E" w:rsidRPr="00422CA1" w14:paraId="3AA38848" w14:textId="77777777" w:rsidTr="0067469D">
        <w:tc>
          <w:tcPr>
            <w:tcW w:w="2226" w:type="dxa"/>
            <w:shd w:val="clear" w:color="auto" w:fill="auto"/>
            <w:vAlign w:val="center"/>
          </w:tcPr>
          <w:p w14:paraId="1D78F938" w14:textId="77777777" w:rsidR="009E246E" w:rsidRPr="00422CA1" w:rsidRDefault="009E246E" w:rsidP="0067469D">
            <w:pPr>
              <w:tabs>
                <w:tab w:val="left" w:pos="0"/>
                <w:tab w:val="left" w:pos="360"/>
                <w:tab w:val="left" w:pos="720"/>
                <w:tab w:val="left" w:pos="1086"/>
                <w:tab w:val="left" w:pos="1440"/>
                <w:tab w:val="left" w:pos="1802"/>
                <w:tab w:val="left" w:pos="2160"/>
                <w:tab w:val="left" w:pos="2520"/>
                <w:tab w:val="left" w:pos="2880"/>
              </w:tabs>
              <w:suppressAutoHyphens/>
              <w:jc w:val="center"/>
            </w:pPr>
            <w:r w:rsidRPr="00422CA1">
              <w:t>Grade 4</w:t>
            </w:r>
          </w:p>
        </w:tc>
        <w:tc>
          <w:tcPr>
            <w:tcW w:w="3567" w:type="dxa"/>
            <w:shd w:val="clear" w:color="auto" w:fill="auto"/>
          </w:tcPr>
          <w:p w14:paraId="44FD9E47" w14:textId="77777777" w:rsidR="009E246E" w:rsidRPr="00422CA1" w:rsidRDefault="009E246E" w:rsidP="0067469D">
            <w:pPr>
              <w:tabs>
                <w:tab w:val="left" w:pos="0"/>
                <w:tab w:val="left" w:pos="360"/>
                <w:tab w:val="left" w:pos="720"/>
                <w:tab w:val="left" w:pos="1086"/>
                <w:tab w:val="left" w:pos="1440"/>
                <w:tab w:val="left" w:pos="1802"/>
                <w:tab w:val="left" w:pos="2160"/>
                <w:tab w:val="left" w:pos="2520"/>
                <w:tab w:val="left" w:pos="2880"/>
              </w:tabs>
              <w:suppressAutoHyphens/>
            </w:pPr>
            <w:r w:rsidRPr="00422CA1">
              <w:t>Off protocol therapy</w:t>
            </w:r>
          </w:p>
        </w:tc>
        <w:tc>
          <w:tcPr>
            <w:tcW w:w="3567" w:type="dxa"/>
            <w:shd w:val="clear" w:color="auto" w:fill="auto"/>
          </w:tcPr>
          <w:p w14:paraId="50ADE7D4" w14:textId="601D508E" w:rsidR="009E246E" w:rsidRPr="000D2A81" w:rsidRDefault="000C2E08" w:rsidP="0067469D">
            <w:pPr>
              <w:tabs>
                <w:tab w:val="left" w:pos="0"/>
                <w:tab w:val="left" w:pos="360"/>
                <w:tab w:val="left" w:pos="720"/>
                <w:tab w:val="left" w:pos="1086"/>
                <w:tab w:val="left" w:pos="1440"/>
                <w:tab w:val="left" w:pos="1802"/>
                <w:tab w:val="left" w:pos="2160"/>
                <w:tab w:val="left" w:pos="2520"/>
                <w:tab w:val="left" w:pos="2880"/>
              </w:tabs>
              <w:suppressAutoHyphens/>
            </w:pPr>
            <w:r>
              <w:t xml:space="preserve"> Hold until ≤ Grade 3</w:t>
            </w:r>
            <w:r w:rsidR="003C1101">
              <w:t>***</w:t>
            </w:r>
            <w:r>
              <w:t xml:space="preserve"> or o</w:t>
            </w:r>
            <w:r w:rsidRPr="0005715D">
              <w:t>ff protocol therapy</w:t>
            </w:r>
          </w:p>
        </w:tc>
      </w:tr>
      <w:tr w:rsidR="009E246E" w:rsidRPr="00422CA1" w14:paraId="5D50709E" w14:textId="77777777" w:rsidTr="0067469D">
        <w:tc>
          <w:tcPr>
            <w:tcW w:w="9360" w:type="dxa"/>
            <w:gridSpan w:val="3"/>
            <w:shd w:val="clear" w:color="auto" w:fill="auto"/>
          </w:tcPr>
          <w:p w14:paraId="2EB00AF3" w14:textId="77777777" w:rsidR="009E246E" w:rsidRPr="00422CA1" w:rsidRDefault="009E246E" w:rsidP="0067469D">
            <w:pPr>
              <w:tabs>
                <w:tab w:val="left" w:pos="0"/>
                <w:tab w:val="left" w:pos="360"/>
                <w:tab w:val="left" w:pos="720"/>
                <w:tab w:val="left" w:pos="1086"/>
                <w:tab w:val="left" w:pos="1440"/>
                <w:tab w:val="left" w:pos="1802"/>
                <w:tab w:val="left" w:pos="2160"/>
                <w:tab w:val="left" w:pos="2520"/>
                <w:tab w:val="left" w:pos="2880"/>
              </w:tabs>
              <w:suppressAutoHyphens/>
            </w:pPr>
            <w:r w:rsidRPr="00422CA1">
              <w:rPr>
                <w:vertAlign w:val="superscript"/>
              </w:rPr>
              <w:t>*</w:t>
            </w:r>
            <w:r w:rsidRPr="00422CA1">
              <w:t>Patients requiring a delay of &gt;2 weeks should go off protocol therapy.</w:t>
            </w:r>
          </w:p>
          <w:p w14:paraId="31DB76E9" w14:textId="77777777" w:rsidR="009E246E" w:rsidRDefault="009E246E" w:rsidP="0067469D">
            <w:pPr>
              <w:tabs>
                <w:tab w:val="left" w:pos="0"/>
                <w:tab w:val="left" w:pos="360"/>
                <w:tab w:val="left" w:pos="720"/>
                <w:tab w:val="left" w:pos="1086"/>
                <w:tab w:val="left" w:pos="1440"/>
                <w:tab w:val="left" w:pos="1802"/>
                <w:tab w:val="left" w:pos="2160"/>
                <w:tab w:val="left" w:pos="2520"/>
                <w:tab w:val="left" w:pos="2880"/>
              </w:tabs>
              <w:suppressAutoHyphens/>
            </w:pPr>
            <w:r w:rsidRPr="00422CA1">
              <w:rPr>
                <w:vertAlign w:val="superscript"/>
              </w:rPr>
              <w:t>**</w:t>
            </w:r>
            <w:r w:rsidRPr="00422CA1">
              <w:t>Patients requiring &gt; two dose reductions should go off protocol therapy.</w:t>
            </w:r>
          </w:p>
          <w:p w14:paraId="32A0C91F" w14:textId="1C4FC4C3" w:rsidR="003C1101" w:rsidRPr="005D16C0" w:rsidRDefault="003C1101" w:rsidP="0067469D">
            <w:pPr>
              <w:tabs>
                <w:tab w:val="left" w:pos="0"/>
                <w:tab w:val="left" w:pos="360"/>
                <w:tab w:val="left" w:pos="720"/>
                <w:tab w:val="left" w:pos="1086"/>
                <w:tab w:val="left" w:pos="1440"/>
                <w:tab w:val="left" w:pos="1802"/>
                <w:tab w:val="left" w:pos="2160"/>
                <w:tab w:val="left" w:pos="2520"/>
                <w:tab w:val="left" w:pos="2880"/>
              </w:tabs>
              <w:suppressAutoHyphens/>
            </w:pPr>
            <w:r>
              <w:t>***</w:t>
            </w:r>
            <w:r w:rsidR="006D6335">
              <w:t xml:space="preserve"> </w:t>
            </w:r>
            <w:r w:rsidR="005D16C0">
              <w:t>Consider t</w:t>
            </w:r>
            <w:r w:rsidR="006D6335">
              <w:t>emporar</w:t>
            </w:r>
            <w:r w:rsidR="005D16C0">
              <w:t xml:space="preserve">y </w:t>
            </w:r>
            <w:r w:rsidR="006D6335">
              <w:t xml:space="preserve">hold </w:t>
            </w:r>
            <w:r w:rsidR="005D16C0">
              <w:t xml:space="preserve">of </w:t>
            </w:r>
            <w:r w:rsidR="006D6335">
              <w:t>radiation until absolute neutrophil count r</w:t>
            </w:r>
            <w:r w:rsidR="005D16C0">
              <w:t>ecovers</w:t>
            </w:r>
            <w:r w:rsidR="006D6335">
              <w:t xml:space="preserve"> to &gt; 500 / mm</w:t>
            </w:r>
            <w:r w:rsidR="006D6335" w:rsidRPr="00D20BCE">
              <w:rPr>
                <w:vertAlign w:val="superscript"/>
              </w:rPr>
              <w:t>3</w:t>
            </w:r>
            <w:r w:rsidR="005D16C0">
              <w:t xml:space="preserve"> at discretion of treating physician</w:t>
            </w:r>
            <w:r w:rsidR="00D20BCE">
              <w:t>.</w:t>
            </w:r>
          </w:p>
        </w:tc>
      </w:tr>
      <w:tr w:rsidR="009E246E" w:rsidRPr="00422CA1" w14:paraId="1D75EBB8" w14:textId="77777777" w:rsidTr="0067469D">
        <w:tc>
          <w:tcPr>
            <w:tcW w:w="9360" w:type="dxa"/>
            <w:gridSpan w:val="3"/>
            <w:shd w:val="clear" w:color="auto" w:fill="auto"/>
          </w:tcPr>
          <w:p w14:paraId="71FD4CBD" w14:textId="6A8B25D4" w:rsidR="009E246E" w:rsidRPr="00507612" w:rsidRDefault="00FD3427" w:rsidP="0067469D">
            <w:pPr>
              <w:tabs>
                <w:tab w:val="left" w:pos="0"/>
                <w:tab w:val="left" w:pos="360"/>
                <w:tab w:val="left" w:pos="720"/>
                <w:tab w:val="left" w:pos="1086"/>
                <w:tab w:val="left" w:pos="1440"/>
                <w:tab w:val="left" w:pos="1802"/>
                <w:tab w:val="left" w:pos="2160"/>
                <w:tab w:val="left" w:pos="2520"/>
                <w:tab w:val="left" w:pos="2880"/>
              </w:tabs>
              <w:suppressAutoHyphens/>
              <w:rPr>
                <w:iCs/>
              </w:rPr>
            </w:pPr>
            <w:r>
              <w:t xml:space="preserve">Recommended management:  </w:t>
            </w:r>
            <w:r w:rsidR="008E6DE8" w:rsidRPr="00507612">
              <w:rPr>
                <w:iCs/>
              </w:rPr>
              <w:t xml:space="preserve">G-CSF is allowed. </w:t>
            </w:r>
          </w:p>
        </w:tc>
      </w:tr>
    </w:tbl>
    <w:p w14:paraId="4FE0AB77" w14:textId="77777777" w:rsidR="009E246E" w:rsidRPr="00422CA1" w:rsidRDefault="009E246E" w:rsidP="009E246E">
      <w:pPr>
        <w:suppressAutoHyphens/>
      </w:pPr>
    </w:p>
    <w:tbl>
      <w:tblPr>
        <w:tblW w:w="93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226"/>
        <w:gridCol w:w="3567"/>
        <w:gridCol w:w="3567"/>
      </w:tblGrid>
      <w:tr w:rsidR="009E246E" w:rsidRPr="00422CA1" w14:paraId="2AA1AA20" w14:textId="77777777" w:rsidTr="0067469D">
        <w:trPr>
          <w:tblHeader/>
        </w:trPr>
        <w:tc>
          <w:tcPr>
            <w:tcW w:w="2226" w:type="dxa"/>
            <w:shd w:val="clear" w:color="auto" w:fill="auto"/>
            <w:vAlign w:val="center"/>
          </w:tcPr>
          <w:p w14:paraId="0FC036E8" w14:textId="77777777" w:rsidR="009E246E" w:rsidRPr="00422CA1" w:rsidRDefault="009E246E" w:rsidP="0067469D">
            <w:pPr>
              <w:tabs>
                <w:tab w:val="left" w:pos="0"/>
                <w:tab w:val="left" w:pos="360"/>
                <w:tab w:val="left" w:pos="720"/>
                <w:tab w:val="left" w:pos="1086"/>
                <w:tab w:val="left" w:pos="1440"/>
                <w:tab w:val="left" w:pos="1802"/>
                <w:tab w:val="left" w:pos="2160"/>
                <w:tab w:val="left" w:pos="2520"/>
                <w:tab w:val="left" w:pos="2880"/>
              </w:tabs>
              <w:suppressAutoHyphens/>
              <w:jc w:val="center"/>
              <w:rPr>
                <w:b/>
                <w:u w:val="single"/>
              </w:rPr>
            </w:pPr>
            <w:r w:rsidRPr="00422CA1">
              <w:rPr>
                <w:b/>
                <w:u w:val="single"/>
              </w:rPr>
              <w:t>Thrombocytopenia</w:t>
            </w:r>
          </w:p>
        </w:tc>
        <w:tc>
          <w:tcPr>
            <w:tcW w:w="3567" w:type="dxa"/>
            <w:shd w:val="clear" w:color="auto" w:fill="auto"/>
            <w:vAlign w:val="center"/>
          </w:tcPr>
          <w:p w14:paraId="5C0720C5" w14:textId="03FA9030" w:rsidR="009E246E" w:rsidRPr="00422CA1" w:rsidRDefault="009E246E" w:rsidP="0067469D">
            <w:pPr>
              <w:tabs>
                <w:tab w:val="left" w:pos="0"/>
                <w:tab w:val="left" w:pos="360"/>
                <w:tab w:val="left" w:pos="720"/>
                <w:tab w:val="left" w:pos="1086"/>
                <w:tab w:val="left" w:pos="1440"/>
                <w:tab w:val="left" w:pos="1802"/>
                <w:tab w:val="left" w:pos="2160"/>
                <w:tab w:val="left" w:pos="2520"/>
                <w:tab w:val="left" w:pos="2880"/>
              </w:tabs>
              <w:suppressAutoHyphens/>
              <w:jc w:val="center"/>
              <w:rPr>
                <w:b/>
                <w:color w:val="auto"/>
              </w:rPr>
            </w:pPr>
            <w:r w:rsidRPr="00422CA1">
              <w:rPr>
                <w:b/>
                <w:color w:val="auto"/>
              </w:rPr>
              <w:t xml:space="preserve">Management/Next Dose for </w:t>
            </w:r>
            <w:r w:rsidR="00060162" w:rsidRPr="00422CA1">
              <w:rPr>
                <w:b/>
                <w:color w:val="auto"/>
              </w:rPr>
              <w:t>Triapine</w:t>
            </w:r>
          </w:p>
        </w:tc>
        <w:tc>
          <w:tcPr>
            <w:tcW w:w="3567" w:type="dxa"/>
            <w:shd w:val="clear" w:color="auto" w:fill="auto"/>
            <w:vAlign w:val="center"/>
          </w:tcPr>
          <w:p w14:paraId="18811224" w14:textId="64A4A1C3" w:rsidR="009E246E" w:rsidRPr="00B72AFF" w:rsidRDefault="009E246E" w:rsidP="0067469D">
            <w:pPr>
              <w:tabs>
                <w:tab w:val="left" w:pos="0"/>
                <w:tab w:val="left" w:pos="360"/>
                <w:tab w:val="left" w:pos="720"/>
                <w:tab w:val="left" w:pos="1086"/>
                <w:tab w:val="left" w:pos="1440"/>
                <w:tab w:val="left" w:pos="1802"/>
                <w:tab w:val="left" w:pos="2160"/>
                <w:tab w:val="left" w:pos="2520"/>
                <w:tab w:val="left" w:pos="2880"/>
              </w:tabs>
              <w:suppressAutoHyphens/>
              <w:jc w:val="center"/>
              <w:rPr>
                <w:b/>
                <w:color w:val="auto"/>
              </w:rPr>
            </w:pPr>
            <w:r w:rsidRPr="00B72AFF">
              <w:rPr>
                <w:b/>
                <w:color w:val="auto"/>
              </w:rPr>
              <w:t xml:space="preserve">Management/Next Dose for </w:t>
            </w:r>
            <w:r w:rsidR="00060162" w:rsidRPr="00422CA1">
              <w:rPr>
                <w:b/>
                <w:iCs/>
                <w:color w:val="auto"/>
              </w:rPr>
              <w:t>Radiation</w:t>
            </w:r>
          </w:p>
        </w:tc>
      </w:tr>
      <w:tr w:rsidR="009E246E" w:rsidRPr="00422CA1" w14:paraId="7CE61EE5" w14:textId="77777777" w:rsidTr="0067469D">
        <w:tc>
          <w:tcPr>
            <w:tcW w:w="2226" w:type="dxa"/>
            <w:shd w:val="clear" w:color="auto" w:fill="auto"/>
            <w:vAlign w:val="center"/>
          </w:tcPr>
          <w:p w14:paraId="17084633" w14:textId="77777777" w:rsidR="009E246E" w:rsidRPr="00422CA1" w:rsidRDefault="009E246E" w:rsidP="0067469D">
            <w:pPr>
              <w:tabs>
                <w:tab w:val="left" w:pos="0"/>
                <w:tab w:val="left" w:pos="360"/>
                <w:tab w:val="left" w:pos="720"/>
                <w:tab w:val="left" w:pos="1086"/>
                <w:tab w:val="left" w:pos="1440"/>
                <w:tab w:val="left" w:pos="1802"/>
                <w:tab w:val="left" w:pos="2160"/>
                <w:tab w:val="left" w:pos="2520"/>
                <w:tab w:val="left" w:pos="2880"/>
              </w:tabs>
              <w:suppressAutoHyphens/>
              <w:jc w:val="center"/>
            </w:pPr>
            <w:r w:rsidRPr="00422CA1">
              <w:t>≤ Grade 1</w:t>
            </w:r>
          </w:p>
        </w:tc>
        <w:tc>
          <w:tcPr>
            <w:tcW w:w="3567" w:type="dxa"/>
            <w:shd w:val="clear" w:color="auto" w:fill="auto"/>
          </w:tcPr>
          <w:p w14:paraId="3379CB53" w14:textId="77777777" w:rsidR="009E246E" w:rsidRPr="00422CA1" w:rsidRDefault="009E246E" w:rsidP="0067469D">
            <w:pPr>
              <w:tabs>
                <w:tab w:val="left" w:pos="0"/>
                <w:tab w:val="left" w:pos="360"/>
                <w:tab w:val="left" w:pos="720"/>
                <w:tab w:val="left" w:pos="1086"/>
                <w:tab w:val="left" w:pos="1440"/>
                <w:tab w:val="left" w:pos="1802"/>
                <w:tab w:val="left" w:pos="2160"/>
                <w:tab w:val="left" w:pos="2520"/>
                <w:tab w:val="left" w:pos="2880"/>
              </w:tabs>
              <w:suppressAutoHyphens/>
            </w:pPr>
            <w:r w:rsidRPr="00422CA1">
              <w:t>No change in dose</w:t>
            </w:r>
          </w:p>
        </w:tc>
        <w:tc>
          <w:tcPr>
            <w:tcW w:w="3567" w:type="dxa"/>
            <w:shd w:val="clear" w:color="auto" w:fill="auto"/>
          </w:tcPr>
          <w:p w14:paraId="6279FCDA" w14:textId="77777777" w:rsidR="009E246E" w:rsidRPr="009E5B61" w:rsidRDefault="009E246E" w:rsidP="0067469D">
            <w:pPr>
              <w:tabs>
                <w:tab w:val="left" w:pos="0"/>
                <w:tab w:val="left" w:pos="360"/>
                <w:tab w:val="left" w:pos="720"/>
                <w:tab w:val="left" w:pos="1086"/>
                <w:tab w:val="left" w:pos="1440"/>
                <w:tab w:val="left" w:pos="1802"/>
                <w:tab w:val="left" w:pos="2160"/>
                <w:tab w:val="left" w:pos="2520"/>
                <w:tab w:val="left" w:pos="2880"/>
              </w:tabs>
              <w:suppressAutoHyphens/>
            </w:pPr>
            <w:r w:rsidRPr="009E5B61">
              <w:t>No change in dose</w:t>
            </w:r>
          </w:p>
        </w:tc>
      </w:tr>
      <w:tr w:rsidR="009E246E" w:rsidRPr="00422CA1" w14:paraId="5F24E333" w14:textId="77777777" w:rsidTr="0067469D">
        <w:tc>
          <w:tcPr>
            <w:tcW w:w="2226" w:type="dxa"/>
            <w:shd w:val="clear" w:color="auto" w:fill="auto"/>
            <w:vAlign w:val="center"/>
          </w:tcPr>
          <w:p w14:paraId="233C2005" w14:textId="77777777" w:rsidR="009E246E" w:rsidRPr="00422CA1" w:rsidRDefault="009E246E" w:rsidP="0067469D">
            <w:pPr>
              <w:tabs>
                <w:tab w:val="left" w:pos="0"/>
                <w:tab w:val="left" w:pos="360"/>
                <w:tab w:val="left" w:pos="720"/>
                <w:tab w:val="left" w:pos="1086"/>
                <w:tab w:val="left" w:pos="1440"/>
                <w:tab w:val="left" w:pos="1802"/>
                <w:tab w:val="left" w:pos="2160"/>
                <w:tab w:val="left" w:pos="2520"/>
                <w:tab w:val="left" w:pos="2880"/>
              </w:tabs>
              <w:suppressAutoHyphens/>
              <w:jc w:val="center"/>
            </w:pPr>
            <w:r w:rsidRPr="00422CA1">
              <w:t>Grade 2</w:t>
            </w:r>
          </w:p>
        </w:tc>
        <w:tc>
          <w:tcPr>
            <w:tcW w:w="3567" w:type="dxa"/>
            <w:shd w:val="clear" w:color="auto" w:fill="auto"/>
          </w:tcPr>
          <w:p w14:paraId="54A517C9" w14:textId="77777777" w:rsidR="009E246E" w:rsidRPr="00422CA1" w:rsidRDefault="009E246E" w:rsidP="0067469D">
            <w:pPr>
              <w:tabs>
                <w:tab w:val="left" w:pos="0"/>
                <w:tab w:val="left" w:pos="360"/>
                <w:tab w:val="left" w:pos="720"/>
                <w:tab w:val="left" w:pos="1086"/>
                <w:tab w:val="left" w:pos="1440"/>
                <w:tab w:val="left" w:pos="1802"/>
                <w:tab w:val="left" w:pos="2160"/>
                <w:tab w:val="left" w:pos="2520"/>
                <w:tab w:val="left" w:pos="2880"/>
              </w:tabs>
              <w:suppressAutoHyphens/>
            </w:pPr>
            <w:r w:rsidRPr="00422CA1">
              <w:t>Hold until ≤ Grade 1.  Resume at same dose level.</w:t>
            </w:r>
          </w:p>
        </w:tc>
        <w:tc>
          <w:tcPr>
            <w:tcW w:w="3567" w:type="dxa"/>
            <w:shd w:val="clear" w:color="auto" w:fill="auto"/>
          </w:tcPr>
          <w:p w14:paraId="5C8E6E28" w14:textId="63CB0328" w:rsidR="009E246E" w:rsidRPr="009E5B61" w:rsidRDefault="009477DE" w:rsidP="0067469D">
            <w:pPr>
              <w:tabs>
                <w:tab w:val="left" w:pos="0"/>
                <w:tab w:val="left" w:pos="360"/>
                <w:tab w:val="left" w:pos="720"/>
                <w:tab w:val="left" w:pos="1086"/>
                <w:tab w:val="left" w:pos="1440"/>
                <w:tab w:val="left" w:pos="1802"/>
                <w:tab w:val="left" w:pos="2160"/>
                <w:tab w:val="left" w:pos="2520"/>
                <w:tab w:val="left" w:pos="2880"/>
              </w:tabs>
              <w:suppressAutoHyphens/>
            </w:pPr>
            <w:r>
              <w:t xml:space="preserve">Consider </w:t>
            </w:r>
            <w:proofErr w:type="gramStart"/>
            <w:r>
              <w:t>hold</w:t>
            </w:r>
            <w:proofErr w:type="gramEnd"/>
            <w:r>
              <w:t xml:space="preserve"> until ≤ Grade 1. </w:t>
            </w:r>
            <w:r w:rsidR="00B72AFF">
              <w:t xml:space="preserve"> </w:t>
            </w:r>
            <w:r w:rsidR="004F54BA" w:rsidRPr="0005715D">
              <w:t xml:space="preserve">Resume </w:t>
            </w:r>
            <w:r w:rsidR="004F54BA">
              <w:t>next</w:t>
            </w:r>
            <w:r>
              <w:t xml:space="preserve"> fraction at same dose.</w:t>
            </w:r>
          </w:p>
        </w:tc>
      </w:tr>
      <w:tr w:rsidR="009E246E" w:rsidRPr="00422CA1" w14:paraId="3272E3D7" w14:textId="77777777" w:rsidTr="0067469D">
        <w:tc>
          <w:tcPr>
            <w:tcW w:w="2226" w:type="dxa"/>
            <w:shd w:val="clear" w:color="auto" w:fill="auto"/>
            <w:vAlign w:val="center"/>
          </w:tcPr>
          <w:p w14:paraId="252D003C" w14:textId="77777777" w:rsidR="009E246E" w:rsidRPr="00422CA1" w:rsidRDefault="009E246E" w:rsidP="0067469D">
            <w:pPr>
              <w:tabs>
                <w:tab w:val="left" w:pos="0"/>
                <w:tab w:val="left" w:pos="360"/>
                <w:tab w:val="left" w:pos="720"/>
                <w:tab w:val="left" w:pos="1086"/>
                <w:tab w:val="left" w:pos="1440"/>
                <w:tab w:val="left" w:pos="1802"/>
                <w:tab w:val="left" w:pos="2160"/>
                <w:tab w:val="left" w:pos="2520"/>
                <w:tab w:val="left" w:pos="2880"/>
              </w:tabs>
              <w:suppressAutoHyphens/>
              <w:jc w:val="center"/>
            </w:pPr>
            <w:r w:rsidRPr="00422CA1">
              <w:t>Grade 3</w:t>
            </w:r>
          </w:p>
        </w:tc>
        <w:tc>
          <w:tcPr>
            <w:tcW w:w="3567" w:type="dxa"/>
            <w:shd w:val="clear" w:color="auto" w:fill="auto"/>
          </w:tcPr>
          <w:p w14:paraId="4A6EB611" w14:textId="77777777" w:rsidR="009E246E" w:rsidRPr="00422CA1" w:rsidRDefault="009E246E" w:rsidP="0067469D">
            <w:pPr>
              <w:tabs>
                <w:tab w:val="left" w:pos="0"/>
                <w:tab w:val="left" w:pos="360"/>
                <w:tab w:val="left" w:pos="720"/>
                <w:tab w:val="left" w:pos="1086"/>
                <w:tab w:val="left" w:pos="1440"/>
                <w:tab w:val="left" w:pos="1802"/>
                <w:tab w:val="left" w:pos="2160"/>
                <w:tab w:val="left" w:pos="2520"/>
                <w:tab w:val="left" w:pos="2880"/>
              </w:tabs>
              <w:suppressAutoHyphens/>
            </w:pPr>
            <w:r w:rsidRPr="00422CA1">
              <w:t>Hold</w:t>
            </w:r>
            <w:r w:rsidRPr="00422CA1">
              <w:rPr>
                <w:vertAlign w:val="superscript"/>
              </w:rPr>
              <w:t>*</w:t>
            </w:r>
            <w:r w:rsidRPr="00422CA1">
              <w:t xml:space="preserve"> until &lt; Grade 2.  Resume at one dose level lower, if indicated.</w:t>
            </w:r>
            <w:r w:rsidRPr="00422CA1">
              <w:rPr>
                <w:vertAlign w:val="superscript"/>
              </w:rPr>
              <w:t>**</w:t>
            </w:r>
          </w:p>
        </w:tc>
        <w:tc>
          <w:tcPr>
            <w:tcW w:w="3567" w:type="dxa"/>
            <w:shd w:val="clear" w:color="auto" w:fill="auto"/>
          </w:tcPr>
          <w:p w14:paraId="144B93D4" w14:textId="7D922D3C" w:rsidR="009E246E" w:rsidRPr="009E5B61" w:rsidRDefault="009477DE" w:rsidP="0067469D">
            <w:pPr>
              <w:tabs>
                <w:tab w:val="left" w:pos="0"/>
                <w:tab w:val="left" w:pos="360"/>
                <w:tab w:val="left" w:pos="720"/>
                <w:tab w:val="left" w:pos="1086"/>
                <w:tab w:val="left" w:pos="1440"/>
                <w:tab w:val="left" w:pos="1802"/>
                <w:tab w:val="left" w:pos="2160"/>
                <w:tab w:val="left" w:pos="2520"/>
                <w:tab w:val="left" w:pos="2880"/>
              </w:tabs>
              <w:suppressAutoHyphens/>
            </w:pPr>
            <w:r>
              <w:t xml:space="preserve">Consider </w:t>
            </w:r>
            <w:proofErr w:type="gramStart"/>
            <w:r>
              <w:t>hold</w:t>
            </w:r>
            <w:proofErr w:type="gramEnd"/>
            <w:r>
              <w:t xml:space="preserve"> until ≤ Grade 1. </w:t>
            </w:r>
            <w:r w:rsidR="00B72AFF">
              <w:t xml:space="preserve"> </w:t>
            </w:r>
            <w:r w:rsidR="002E1CC5" w:rsidRPr="0005715D">
              <w:t xml:space="preserve">Resume </w:t>
            </w:r>
            <w:r w:rsidR="002E1CC5">
              <w:t>next</w:t>
            </w:r>
            <w:r>
              <w:t xml:space="preserve"> fraction at same dose.</w:t>
            </w:r>
          </w:p>
        </w:tc>
      </w:tr>
      <w:tr w:rsidR="009E246E" w:rsidRPr="00422CA1" w14:paraId="073C21EB" w14:textId="77777777" w:rsidTr="0067469D">
        <w:tc>
          <w:tcPr>
            <w:tcW w:w="2226" w:type="dxa"/>
            <w:shd w:val="clear" w:color="auto" w:fill="auto"/>
            <w:vAlign w:val="center"/>
          </w:tcPr>
          <w:p w14:paraId="7C9B6EF1" w14:textId="77777777" w:rsidR="009E246E" w:rsidRPr="00422CA1" w:rsidRDefault="009E246E" w:rsidP="0067469D">
            <w:pPr>
              <w:tabs>
                <w:tab w:val="left" w:pos="0"/>
                <w:tab w:val="left" w:pos="360"/>
                <w:tab w:val="left" w:pos="720"/>
                <w:tab w:val="left" w:pos="1086"/>
                <w:tab w:val="left" w:pos="1440"/>
                <w:tab w:val="left" w:pos="1802"/>
                <w:tab w:val="left" w:pos="2160"/>
                <w:tab w:val="left" w:pos="2520"/>
                <w:tab w:val="left" w:pos="2880"/>
              </w:tabs>
              <w:suppressAutoHyphens/>
              <w:jc w:val="center"/>
            </w:pPr>
            <w:r w:rsidRPr="00422CA1">
              <w:t>Grade 4</w:t>
            </w:r>
          </w:p>
        </w:tc>
        <w:tc>
          <w:tcPr>
            <w:tcW w:w="3567" w:type="dxa"/>
            <w:shd w:val="clear" w:color="auto" w:fill="auto"/>
          </w:tcPr>
          <w:p w14:paraId="71FC0A76" w14:textId="77777777" w:rsidR="009E246E" w:rsidRPr="00422CA1" w:rsidRDefault="009E246E" w:rsidP="0067469D">
            <w:pPr>
              <w:tabs>
                <w:tab w:val="left" w:pos="0"/>
                <w:tab w:val="left" w:pos="360"/>
                <w:tab w:val="left" w:pos="720"/>
                <w:tab w:val="left" w:pos="1086"/>
                <w:tab w:val="left" w:pos="1440"/>
                <w:tab w:val="left" w:pos="1802"/>
                <w:tab w:val="left" w:pos="2160"/>
                <w:tab w:val="left" w:pos="2520"/>
                <w:tab w:val="left" w:pos="2880"/>
              </w:tabs>
              <w:suppressAutoHyphens/>
            </w:pPr>
            <w:r w:rsidRPr="00422CA1">
              <w:t>Off protocol therapy</w:t>
            </w:r>
          </w:p>
        </w:tc>
        <w:tc>
          <w:tcPr>
            <w:tcW w:w="3567" w:type="dxa"/>
            <w:shd w:val="clear" w:color="auto" w:fill="auto"/>
          </w:tcPr>
          <w:p w14:paraId="6D2A34E5" w14:textId="791AC825" w:rsidR="009E246E" w:rsidRPr="00B72AFF" w:rsidRDefault="000C2E08" w:rsidP="0067469D">
            <w:pPr>
              <w:tabs>
                <w:tab w:val="left" w:pos="0"/>
                <w:tab w:val="left" w:pos="360"/>
                <w:tab w:val="left" w:pos="720"/>
                <w:tab w:val="left" w:pos="1086"/>
                <w:tab w:val="left" w:pos="1440"/>
                <w:tab w:val="left" w:pos="1802"/>
                <w:tab w:val="left" w:pos="2160"/>
                <w:tab w:val="left" w:pos="2520"/>
                <w:tab w:val="left" w:pos="2880"/>
              </w:tabs>
              <w:suppressAutoHyphens/>
            </w:pPr>
            <w:r>
              <w:t>Hold until ≤ Grade 3</w:t>
            </w:r>
            <w:r w:rsidR="005D16C0">
              <w:t>***</w:t>
            </w:r>
            <w:r>
              <w:t xml:space="preserve"> or o</w:t>
            </w:r>
            <w:r w:rsidR="009E246E" w:rsidRPr="00B72AFF">
              <w:t>ff protocol therapy</w:t>
            </w:r>
          </w:p>
        </w:tc>
      </w:tr>
      <w:tr w:rsidR="009E246E" w:rsidRPr="00422CA1" w14:paraId="571523BE" w14:textId="77777777" w:rsidTr="0067469D">
        <w:tc>
          <w:tcPr>
            <w:tcW w:w="9360" w:type="dxa"/>
            <w:gridSpan w:val="3"/>
            <w:shd w:val="clear" w:color="auto" w:fill="auto"/>
          </w:tcPr>
          <w:p w14:paraId="28EDD711" w14:textId="77777777" w:rsidR="009E246E" w:rsidRPr="00422CA1" w:rsidRDefault="009E246E" w:rsidP="0067469D">
            <w:pPr>
              <w:tabs>
                <w:tab w:val="left" w:pos="0"/>
                <w:tab w:val="left" w:pos="360"/>
                <w:tab w:val="left" w:pos="720"/>
                <w:tab w:val="left" w:pos="1086"/>
                <w:tab w:val="left" w:pos="1440"/>
                <w:tab w:val="left" w:pos="1802"/>
                <w:tab w:val="left" w:pos="2160"/>
                <w:tab w:val="left" w:pos="2520"/>
                <w:tab w:val="left" w:pos="2880"/>
              </w:tabs>
              <w:suppressAutoHyphens/>
            </w:pPr>
            <w:r w:rsidRPr="00422CA1">
              <w:rPr>
                <w:vertAlign w:val="superscript"/>
              </w:rPr>
              <w:t>*</w:t>
            </w:r>
            <w:r w:rsidRPr="00422CA1">
              <w:t>Patients requiring a delay of &gt;2 weeks should go off protocol therapy.</w:t>
            </w:r>
          </w:p>
          <w:p w14:paraId="7953F04D" w14:textId="77777777" w:rsidR="009E246E" w:rsidRDefault="009E246E" w:rsidP="0067469D">
            <w:pPr>
              <w:tabs>
                <w:tab w:val="left" w:pos="0"/>
                <w:tab w:val="left" w:pos="360"/>
                <w:tab w:val="left" w:pos="720"/>
                <w:tab w:val="left" w:pos="1086"/>
                <w:tab w:val="left" w:pos="1440"/>
                <w:tab w:val="left" w:pos="1802"/>
                <w:tab w:val="left" w:pos="2160"/>
                <w:tab w:val="left" w:pos="2520"/>
                <w:tab w:val="left" w:pos="2880"/>
              </w:tabs>
              <w:suppressAutoHyphens/>
            </w:pPr>
            <w:r w:rsidRPr="00422CA1">
              <w:rPr>
                <w:vertAlign w:val="superscript"/>
              </w:rPr>
              <w:t>**</w:t>
            </w:r>
            <w:r w:rsidRPr="00422CA1">
              <w:t>Patients requiring &gt; two dose reductions should go off protocol therapy.</w:t>
            </w:r>
          </w:p>
          <w:p w14:paraId="47605E79" w14:textId="25D41F59" w:rsidR="005D16C0" w:rsidRPr="00422CA1" w:rsidRDefault="005D16C0" w:rsidP="0067469D">
            <w:pPr>
              <w:tabs>
                <w:tab w:val="left" w:pos="0"/>
                <w:tab w:val="left" w:pos="360"/>
                <w:tab w:val="left" w:pos="720"/>
                <w:tab w:val="left" w:pos="1086"/>
                <w:tab w:val="left" w:pos="1440"/>
                <w:tab w:val="left" w:pos="1802"/>
                <w:tab w:val="left" w:pos="2160"/>
                <w:tab w:val="left" w:pos="2520"/>
                <w:tab w:val="left" w:pos="2880"/>
              </w:tabs>
              <w:suppressAutoHyphens/>
            </w:pPr>
            <w:r>
              <w:t xml:space="preserve">*** Consider temporary hold of radiation until </w:t>
            </w:r>
            <w:r w:rsidR="00185114">
              <w:t>platelet</w:t>
            </w:r>
            <w:r>
              <w:t xml:space="preserve"> count recovers to &gt; </w:t>
            </w:r>
            <w:r w:rsidR="00F04220">
              <w:t>50,000</w:t>
            </w:r>
            <w:r>
              <w:t xml:space="preserve"> / mm</w:t>
            </w:r>
            <w:r w:rsidRPr="0005715D">
              <w:rPr>
                <w:vertAlign w:val="superscript"/>
              </w:rPr>
              <w:t>3</w:t>
            </w:r>
            <w:r>
              <w:t xml:space="preserve"> at discretion of treating physician</w:t>
            </w:r>
            <w:r w:rsidR="009E5B61">
              <w:t>.</w:t>
            </w:r>
          </w:p>
        </w:tc>
      </w:tr>
      <w:tr w:rsidR="009E246E" w:rsidRPr="00422CA1" w14:paraId="35BA7334" w14:textId="77777777" w:rsidTr="0067469D">
        <w:tc>
          <w:tcPr>
            <w:tcW w:w="9360" w:type="dxa"/>
            <w:gridSpan w:val="3"/>
            <w:shd w:val="clear" w:color="auto" w:fill="auto"/>
          </w:tcPr>
          <w:p w14:paraId="61091D6B" w14:textId="49D91F0E" w:rsidR="009E246E" w:rsidRPr="00507612" w:rsidRDefault="00FD3427" w:rsidP="0067469D">
            <w:pPr>
              <w:tabs>
                <w:tab w:val="left" w:pos="0"/>
                <w:tab w:val="left" w:pos="360"/>
                <w:tab w:val="left" w:pos="720"/>
                <w:tab w:val="left" w:pos="1086"/>
                <w:tab w:val="left" w:pos="1440"/>
                <w:tab w:val="left" w:pos="1802"/>
                <w:tab w:val="left" w:pos="2160"/>
                <w:tab w:val="left" w:pos="2520"/>
                <w:tab w:val="left" w:pos="2880"/>
              </w:tabs>
              <w:suppressAutoHyphens/>
              <w:rPr>
                <w:iCs/>
              </w:rPr>
            </w:pPr>
            <w:r>
              <w:t xml:space="preserve">Recommended management:  </w:t>
            </w:r>
            <w:r w:rsidR="005F1CA3" w:rsidRPr="00507612">
              <w:rPr>
                <w:iCs/>
              </w:rPr>
              <w:t>Platelet transfusions are allowed.</w:t>
            </w:r>
          </w:p>
        </w:tc>
      </w:tr>
    </w:tbl>
    <w:p w14:paraId="2503D9D7" w14:textId="77777777" w:rsidR="009E246E" w:rsidRPr="00422CA1" w:rsidRDefault="009E246E" w:rsidP="009E246E">
      <w:pPr>
        <w:suppressAutoHyphens/>
      </w:pPr>
    </w:p>
    <w:p w14:paraId="3AE2CF7B" w14:textId="3CBFAD86" w:rsidR="00CB5EF4" w:rsidRDefault="003905F7" w:rsidP="00EA0AFF">
      <w:pPr>
        <w:pStyle w:val="Level3Heading"/>
        <w:suppressAutoHyphens/>
      </w:pPr>
      <w:r>
        <w:t>Methemoglobinemia</w:t>
      </w:r>
    </w:p>
    <w:p w14:paraId="679E3E0F" w14:textId="77777777" w:rsidR="003905F7" w:rsidRDefault="003905F7" w:rsidP="009E246E">
      <w:pPr>
        <w:suppressAutoHyphens/>
      </w:pPr>
    </w:p>
    <w:p w14:paraId="7DDAAD38" w14:textId="3B308788" w:rsidR="003E556B" w:rsidRDefault="00124013" w:rsidP="003E556B">
      <w:pPr>
        <w:pStyle w:val="BodyText"/>
        <w:kinsoku w:val="0"/>
        <w:overflowPunct w:val="0"/>
        <w:spacing w:after="0"/>
        <w:ind w:right="116"/>
        <w:jc w:val="both"/>
        <w:rPr>
          <w:spacing w:val="-1"/>
        </w:rPr>
      </w:pPr>
      <w:r>
        <w:rPr>
          <w:spacing w:val="-1"/>
        </w:rPr>
        <w:t>It is expected for all patients to show a transient rise in methemoglobin (</w:t>
      </w:r>
      <w:r w:rsidR="002B543C">
        <w:rPr>
          <w:spacing w:val="-1"/>
        </w:rPr>
        <w:t xml:space="preserve">up to 3-5%, maximum 15%) while on study. </w:t>
      </w:r>
      <w:r w:rsidR="00D01876">
        <w:rPr>
          <w:spacing w:val="-1"/>
        </w:rPr>
        <w:t xml:space="preserve"> </w:t>
      </w:r>
      <w:r w:rsidR="003E556B" w:rsidRPr="00905B17">
        <w:rPr>
          <w:spacing w:val="-1"/>
        </w:rPr>
        <w:t xml:space="preserve">Please </w:t>
      </w:r>
      <w:r w:rsidR="003E556B">
        <w:rPr>
          <w:spacing w:val="-1"/>
        </w:rPr>
        <w:t>note,</w:t>
      </w:r>
      <w:r w:rsidR="003E556B" w:rsidRPr="00905B17">
        <w:rPr>
          <w:spacing w:val="-1"/>
        </w:rPr>
        <w:t xml:space="preserve"> it is </w:t>
      </w:r>
      <w:r w:rsidR="003E556B">
        <w:rPr>
          <w:spacing w:val="-1"/>
        </w:rPr>
        <w:t>the</w:t>
      </w:r>
      <w:r w:rsidR="003E556B" w:rsidRPr="00905B17">
        <w:rPr>
          <w:spacing w:val="-1"/>
        </w:rPr>
        <w:t xml:space="preserve"> trend in the O</w:t>
      </w:r>
      <w:r w:rsidR="003E556B" w:rsidRPr="00905B17">
        <w:rPr>
          <w:spacing w:val="-1"/>
          <w:vertAlign w:val="subscript"/>
        </w:rPr>
        <w:t>2</w:t>
      </w:r>
      <w:r w:rsidR="003E556B" w:rsidRPr="00905B17">
        <w:rPr>
          <w:spacing w:val="-1"/>
        </w:rPr>
        <w:t xml:space="preserve"> </w:t>
      </w:r>
      <w:r w:rsidR="003E556B">
        <w:rPr>
          <w:spacing w:val="-1"/>
        </w:rPr>
        <w:t>saturation</w:t>
      </w:r>
      <w:r w:rsidR="003E556B" w:rsidRPr="00905B17">
        <w:rPr>
          <w:spacing w:val="-1"/>
        </w:rPr>
        <w:t xml:space="preserve"> that is of importance. </w:t>
      </w:r>
      <w:r w:rsidR="00D01876">
        <w:rPr>
          <w:spacing w:val="-1"/>
        </w:rPr>
        <w:t xml:space="preserve"> </w:t>
      </w:r>
      <w:r w:rsidR="003E556B" w:rsidRPr="00905B17">
        <w:rPr>
          <w:spacing w:val="-1"/>
        </w:rPr>
        <w:t xml:space="preserve">Since pulse </w:t>
      </w:r>
      <w:r w:rsidR="003E556B">
        <w:rPr>
          <w:spacing w:val="-1"/>
        </w:rPr>
        <w:t>oximetry</w:t>
      </w:r>
      <w:r w:rsidR="003E556B" w:rsidRPr="00905B17">
        <w:rPr>
          <w:spacing w:val="-1"/>
        </w:rPr>
        <w:t xml:space="preserve"> is known to be </w:t>
      </w:r>
      <w:r w:rsidR="003E556B">
        <w:rPr>
          <w:spacing w:val="-1"/>
        </w:rPr>
        <w:t>unreliable</w:t>
      </w:r>
      <w:r w:rsidR="003E556B" w:rsidRPr="00905B17">
        <w:rPr>
          <w:spacing w:val="-1"/>
        </w:rPr>
        <w:t xml:space="preserve"> in the </w:t>
      </w:r>
      <w:r w:rsidR="003E556B">
        <w:rPr>
          <w:spacing w:val="-1"/>
        </w:rPr>
        <w:t>presence</w:t>
      </w:r>
      <w:r w:rsidR="003E556B" w:rsidRPr="00905B17">
        <w:rPr>
          <w:spacing w:val="-1"/>
        </w:rPr>
        <w:t xml:space="preserve"> of significant </w:t>
      </w:r>
      <w:r w:rsidR="003E556B">
        <w:rPr>
          <w:spacing w:val="-1"/>
        </w:rPr>
        <w:t>methemoglobinemia,</w:t>
      </w:r>
      <w:r w:rsidR="003E556B" w:rsidRPr="00905B17">
        <w:rPr>
          <w:spacing w:val="-1"/>
        </w:rPr>
        <w:t xml:space="preserve"> weight </w:t>
      </w:r>
      <w:r w:rsidR="003E556B">
        <w:rPr>
          <w:spacing w:val="-1"/>
        </w:rPr>
        <w:t>should</w:t>
      </w:r>
      <w:r w:rsidR="003E556B" w:rsidRPr="00905B17">
        <w:rPr>
          <w:spacing w:val="-1"/>
        </w:rPr>
        <w:t xml:space="preserve"> not be given to a single </w:t>
      </w:r>
      <w:r w:rsidR="003E556B">
        <w:rPr>
          <w:spacing w:val="-1"/>
        </w:rPr>
        <w:t>value</w:t>
      </w:r>
      <w:r w:rsidR="003E556B" w:rsidRPr="00905B17">
        <w:rPr>
          <w:spacing w:val="-1"/>
        </w:rPr>
        <w:t xml:space="preserve"> alone.  In any case where there is significant doubt, serial spot </w:t>
      </w:r>
      <w:r w:rsidR="003E556B">
        <w:rPr>
          <w:spacing w:val="-1"/>
        </w:rPr>
        <w:t>methemoglobins</w:t>
      </w:r>
      <w:r w:rsidR="003E556B" w:rsidRPr="00905B17">
        <w:rPr>
          <w:spacing w:val="-1"/>
        </w:rPr>
        <w:t xml:space="preserve"> should be obtained (as clinically indicated</w:t>
      </w:r>
      <w:r w:rsidR="00D01876">
        <w:rPr>
          <w:spacing w:val="-1"/>
        </w:rPr>
        <w:t>,</w:t>
      </w:r>
      <w:r w:rsidR="003E556B" w:rsidRPr="00905B17">
        <w:rPr>
          <w:spacing w:val="-1"/>
        </w:rPr>
        <w:t xml:space="preserve"> based on </w:t>
      </w:r>
      <w:r w:rsidR="003E556B">
        <w:rPr>
          <w:spacing w:val="-1"/>
        </w:rPr>
        <w:t>symptoms</w:t>
      </w:r>
      <w:r w:rsidR="003E556B" w:rsidRPr="00905B17">
        <w:rPr>
          <w:spacing w:val="-1"/>
        </w:rPr>
        <w:t xml:space="preserve"> such as but not </w:t>
      </w:r>
      <w:r w:rsidR="003E556B">
        <w:rPr>
          <w:spacing w:val="-1"/>
        </w:rPr>
        <w:t>limited</w:t>
      </w:r>
      <w:r w:rsidR="003E556B" w:rsidRPr="00905B17">
        <w:rPr>
          <w:spacing w:val="-1"/>
        </w:rPr>
        <w:t xml:space="preserve"> to </w:t>
      </w:r>
      <w:r w:rsidR="003E556B">
        <w:rPr>
          <w:spacing w:val="-1"/>
        </w:rPr>
        <w:t>skin</w:t>
      </w:r>
      <w:r w:rsidR="003E556B" w:rsidRPr="00905B17">
        <w:rPr>
          <w:spacing w:val="-1"/>
        </w:rPr>
        <w:t xml:space="preserve"> </w:t>
      </w:r>
      <w:r w:rsidR="003E556B">
        <w:rPr>
          <w:spacing w:val="-1"/>
        </w:rPr>
        <w:t>discoloration,</w:t>
      </w:r>
      <w:r w:rsidR="003E556B" w:rsidRPr="00905B17">
        <w:rPr>
          <w:spacing w:val="-1"/>
        </w:rPr>
        <w:t xml:space="preserve"> </w:t>
      </w:r>
      <w:r w:rsidR="003E556B">
        <w:rPr>
          <w:spacing w:val="-1"/>
        </w:rPr>
        <w:t>cyanosis,</w:t>
      </w:r>
      <w:r w:rsidR="003E556B" w:rsidRPr="00905B17">
        <w:rPr>
          <w:spacing w:val="-1"/>
        </w:rPr>
        <w:t xml:space="preserve"> </w:t>
      </w:r>
      <w:r w:rsidR="003E556B">
        <w:rPr>
          <w:spacing w:val="-1"/>
        </w:rPr>
        <w:t>coma,</w:t>
      </w:r>
      <w:r w:rsidR="003E556B" w:rsidRPr="00905B17">
        <w:rPr>
          <w:spacing w:val="-1"/>
        </w:rPr>
        <w:t xml:space="preserve"> or </w:t>
      </w:r>
      <w:r w:rsidR="003E556B">
        <w:rPr>
          <w:spacing w:val="-1"/>
        </w:rPr>
        <w:t>dysrhythmia</w:t>
      </w:r>
      <w:r w:rsidR="003E556B" w:rsidRPr="00905B17">
        <w:rPr>
          <w:spacing w:val="-1"/>
        </w:rPr>
        <w:t xml:space="preserve"> and </w:t>
      </w:r>
      <w:r w:rsidR="003E556B">
        <w:rPr>
          <w:spacing w:val="-1"/>
        </w:rPr>
        <w:t>levels</w:t>
      </w:r>
      <w:r w:rsidR="003E556B" w:rsidRPr="00905B17">
        <w:rPr>
          <w:spacing w:val="-1"/>
        </w:rPr>
        <w:t xml:space="preserve"> </w:t>
      </w:r>
      <w:r w:rsidR="003E556B">
        <w:rPr>
          <w:spacing w:val="-1"/>
        </w:rPr>
        <w:t>can</w:t>
      </w:r>
      <w:r w:rsidR="003E556B" w:rsidRPr="00905B17">
        <w:rPr>
          <w:spacing w:val="-1"/>
        </w:rPr>
        <w:t xml:space="preserve"> be </w:t>
      </w:r>
      <w:r w:rsidR="003E556B">
        <w:rPr>
          <w:spacing w:val="-1"/>
        </w:rPr>
        <w:t>repeated</w:t>
      </w:r>
      <w:r w:rsidR="003E556B" w:rsidRPr="00905B17">
        <w:rPr>
          <w:spacing w:val="-1"/>
        </w:rPr>
        <w:t xml:space="preserve"> every 6-8 hours until</w:t>
      </w:r>
      <w:r w:rsidR="003E556B">
        <w:rPr>
          <w:spacing w:val="-1"/>
        </w:rPr>
        <w:t xml:space="preserve"> </w:t>
      </w:r>
      <w:r w:rsidR="003E556B" w:rsidRPr="00905B17">
        <w:rPr>
          <w:spacing w:val="-1"/>
        </w:rPr>
        <w:t xml:space="preserve">levels </w:t>
      </w:r>
      <w:r w:rsidR="003E556B">
        <w:rPr>
          <w:spacing w:val="-1"/>
        </w:rPr>
        <w:t>&lt;20%)</w:t>
      </w:r>
      <w:r w:rsidR="003E556B" w:rsidRPr="00905B17">
        <w:rPr>
          <w:spacing w:val="-1"/>
        </w:rPr>
        <w:t xml:space="preserve"> and consultation as </w:t>
      </w:r>
      <w:r w:rsidR="003E556B">
        <w:rPr>
          <w:spacing w:val="-1"/>
        </w:rPr>
        <w:t>needed.</w:t>
      </w:r>
    </w:p>
    <w:p w14:paraId="080B5D9D" w14:textId="77777777" w:rsidR="003E556B" w:rsidRDefault="003E556B" w:rsidP="005C2DA2">
      <w:pPr>
        <w:pStyle w:val="BodyText"/>
        <w:kinsoku w:val="0"/>
        <w:overflowPunct w:val="0"/>
        <w:spacing w:after="0"/>
        <w:ind w:right="117"/>
        <w:jc w:val="both"/>
        <w:rPr>
          <w:spacing w:val="-1"/>
        </w:rPr>
      </w:pPr>
    </w:p>
    <w:p w14:paraId="690B9104" w14:textId="1862511E" w:rsidR="005C2DA2" w:rsidRDefault="002B543C" w:rsidP="005C2DA2">
      <w:pPr>
        <w:pStyle w:val="BodyText"/>
        <w:kinsoku w:val="0"/>
        <w:overflowPunct w:val="0"/>
        <w:spacing w:after="0"/>
        <w:ind w:right="117"/>
        <w:jc w:val="both"/>
        <w:rPr>
          <w:spacing w:val="-1"/>
        </w:rPr>
      </w:pPr>
      <w:r>
        <w:rPr>
          <w:spacing w:val="-1"/>
        </w:rPr>
        <w:t>If the patient remains asymptomatic</w:t>
      </w:r>
      <w:r w:rsidR="004E2848">
        <w:rPr>
          <w:spacing w:val="-1"/>
        </w:rPr>
        <w:t xml:space="preserve"> </w:t>
      </w:r>
      <w:r w:rsidR="004E2848">
        <w:rPr>
          <w:i/>
          <w:iCs/>
          <w:spacing w:val="-1"/>
        </w:rPr>
        <w:t xml:space="preserve">or </w:t>
      </w:r>
      <w:r w:rsidR="004E2848">
        <w:rPr>
          <w:spacing w:val="-1"/>
        </w:rPr>
        <w:t>methemoglobin levels &lt;5% within 24 hours, no changes to treatment or dose are required.</w:t>
      </w:r>
      <w:r w:rsidR="000205EC">
        <w:rPr>
          <w:spacing w:val="-1"/>
        </w:rPr>
        <w:t xml:space="preserve"> </w:t>
      </w:r>
      <w:r w:rsidR="004E2848">
        <w:rPr>
          <w:spacing w:val="-1"/>
        </w:rPr>
        <w:t xml:space="preserve"> </w:t>
      </w:r>
      <w:r w:rsidR="005C2DA2" w:rsidRPr="004E2848">
        <w:rPr>
          <w:spacing w:val="-1"/>
        </w:rPr>
        <w:t>If</w:t>
      </w:r>
      <w:r w:rsidR="005C2DA2" w:rsidRPr="00D92C9D">
        <w:rPr>
          <w:spacing w:val="-1"/>
        </w:rPr>
        <w:t xml:space="preserve"> patient is symptomatic </w:t>
      </w:r>
      <w:r w:rsidR="000205EC">
        <w:rPr>
          <w:spacing w:val="-1"/>
        </w:rPr>
        <w:t>(</w:t>
      </w:r>
      <w:r w:rsidR="000205EC">
        <w:rPr>
          <w:i/>
          <w:iCs/>
          <w:spacing w:val="-1"/>
        </w:rPr>
        <w:t>e.g.</w:t>
      </w:r>
      <w:r w:rsidR="00905B17">
        <w:rPr>
          <w:i/>
          <w:iCs/>
          <w:spacing w:val="-1"/>
        </w:rPr>
        <w:t>,</w:t>
      </w:r>
      <w:r w:rsidR="003871DD">
        <w:rPr>
          <w:i/>
          <w:iCs/>
          <w:spacing w:val="-1"/>
        </w:rPr>
        <w:t xml:space="preserve"> </w:t>
      </w:r>
      <w:r w:rsidR="003871DD">
        <w:rPr>
          <w:spacing w:val="-1"/>
        </w:rPr>
        <w:t>dyspnea</w:t>
      </w:r>
      <w:r w:rsidR="000A118F">
        <w:rPr>
          <w:spacing w:val="-1"/>
        </w:rPr>
        <w:t xml:space="preserve"> </w:t>
      </w:r>
      <w:r w:rsidR="005C2DA2" w:rsidRPr="00B72AFF">
        <w:rPr>
          <w:i/>
          <w:iCs/>
          <w:spacing w:val="-1"/>
        </w:rPr>
        <w:t>or</w:t>
      </w:r>
      <w:r w:rsidR="005C2DA2" w:rsidRPr="00D92C9D">
        <w:rPr>
          <w:spacing w:val="-1"/>
        </w:rPr>
        <w:t xml:space="preserve"> hypoxia </w:t>
      </w:r>
      <w:r w:rsidR="000A118F">
        <w:rPr>
          <w:spacing w:val="-1"/>
        </w:rPr>
        <w:t>[</w:t>
      </w:r>
      <w:r w:rsidR="005C2DA2" w:rsidRPr="00D92C9D">
        <w:rPr>
          <w:spacing w:val="-1"/>
        </w:rPr>
        <w:t>&lt;92%</w:t>
      </w:r>
      <w:r w:rsidR="000A118F">
        <w:rPr>
          <w:spacing w:val="-1"/>
        </w:rPr>
        <w:t>]</w:t>
      </w:r>
      <w:r w:rsidR="005C2DA2" w:rsidRPr="00D92C9D">
        <w:rPr>
          <w:spacing w:val="-1"/>
        </w:rPr>
        <w:t xml:space="preserve"> requiring oxygen</w:t>
      </w:r>
      <w:r w:rsidR="000A118F">
        <w:rPr>
          <w:spacing w:val="-1"/>
        </w:rPr>
        <w:t>)</w:t>
      </w:r>
      <w:r w:rsidR="005C2DA2" w:rsidRPr="00D92C9D">
        <w:rPr>
          <w:spacing w:val="-1"/>
        </w:rPr>
        <w:t xml:space="preserve">, obtain “spot” methemoglobin level and serial sampling as clinically indicated (based on symptoms such as but not limited to skin discoloration, cyanosis, coma, dysrhythmia, levels can be repeated every 6-8 hours until levels &lt;20%). </w:t>
      </w:r>
      <w:r w:rsidR="005C2DA2">
        <w:rPr>
          <w:spacing w:val="-1"/>
        </w:rPr>
        <w:t xml:space="preserve"> </w:t>
      </w:r>
      <w:r w:rsidR="005C2DA2" w:rsidRPr="00D92C9D">
        <w:rPr>
          <w:spacing w:val="-1"/>
        </w:rPr>
        <w:t>Supportive care</w:t>
      </w:r>
      <w:r w:rsidR="00607BCC">
        <w:rPr>
          <w:spacing w:val="-1"/>
        </w:rPr>
        <w:t xml:space="preserve"> with supplemental oxygen starting at 2 liters / minute </w:t>
      </w:r>
      <w:r w:rsidR="005C2DA2" w:rsidRPr="00D92C9D">
        <w:rPr>
          <w:spacing w:val="-1"/>
        </w:rPr>
        <w:t>should be provided as clinically indicated.</w:t>
      </w:r>
    </w:p>
    <w:p w14:paraId="32355144" w14:textId="77777777" w:rsidR="005C2DA2" w:rsidRDefault="005C2DA2" w:rsidP="005C2DA2">
      <w:pPr>
        <w:pStyle w:val="BodyText"/>
        <w:kinsoku w:val="0"/>
        <w:overflowPunct w:val="0"/>
        <w:spacing w:after="0"/>
        <w:jc w:val="both"/>
        <w:rPr>
          <w:sz w:val="23"/>
          <w:szCs w:val="23"/>
        </w:rPr>
      </w:pPr>
    </w:p>
    <w:p w14:paraId="427B693B" w14:textId="5F2B98BC" w:rsidR="005C2DA2" w:rsidRDefault="002A5242" w:rsidP="005C2DA2">
      <w:pPr>
        <w:pStyle w:val="BodyText"/>
        <w:kinsoku w:val="0"/>
        <w:overflowPunct w:val="0"/>
        <w:spacing w:after="0"/>
        <w:ind w:right="116"/>
        <w:jc w:val="both"/>
        <w:rPr>
          <w:spacing w:val="-1"/>
        </w:rPr>
      </w:pPr>
      <w:r>
        <w:t>F</w:t>
      </w:r>
      <w:r w:rsidR="005C2DA2">
        <w:t>or</w:t>
      </w:r>
      <w:r w:rsidR="005C2DA2">
        <w:rPr>
          <w:spacing w:val="22"/>
        </w:rPr>
        <w:t xml:space="preserve"> </w:t>
      </w:r>
      <w:r w:rsidR="005C2DA2">
        <w:t>patients</w:t>
      </w:r>
      <w:r w:rsidR="005C2DA2">
        <w:rPr>
          <w:spacing w:val="22"/>
        </w:rPr>
        <w:t xml:space="preserve"> </w:t>
      </w:r>
      <w:r w:rsidR="005C2DA2">
        <w:rPr>
          <w:spacing w:val="-1"/>
        </w:rPr>
        <w:t>not</w:t>
      </w:r>
      <w:r w:rsidR="005C2DA2">
        <w:rPr>
          <w:spacing w:val="23"/>
        </w:rPr>
        <w:t xml:space="preserve"> </w:t>
      </w:r>
      <w:r w:rsidR="005C2DA2">
        <w:t>fitting</w:t>
      </w:r>
      <w:r w:rsidR="005C2DA2">
        <w:rPr>
          <w:spacing w:val="22"/>
        </w:rPr>
        <w:t xml:space="preserve"> </w:t>
      </w:r>
      <w:r w:rsidR="005C2DA2">
        <w:rPr>
          <w:spacing w:val="-1"/>
        </w:rPr>
        <w:t>this</w:t>
      </w:r>
      <w:r w:rsidR="005C2DA2">
        <w:rPr>
          <w:spacing w:val="22"/>
        </w:rPr>
        <w:t xml:space="preserve"> </w:t>
      </w:r>
      <w:r w:rsidR="005C2DA2">
        <w:t>pattern,</w:t>
      </w:r>
      <w:r w:rsidR="005C2DA2">
        <w:rPr>
          <w:spacing w:val="21"/>
        </w:rPr>
        <w:t xml:space="preserve"> </w:t>
      </w:r>
      <w:r w:rsidR="005C2DA2">
        <w:rPr>
          <w:spacing w:val="-1"/>
        </w:rPr>
        <w:t>the</w:t>
      </w:r>
      <w:r w:rsidR="005C2DA2">
        <w:rPr>
          <w:spacing w:val="22"/>
        </w:rPr>
        <w:t xml:space="preserve"> </w:t>
      </w:r>
      <w:r w:rsidR="005C2DA2">
        <w:t>following</w:t>
      </w:r>
      <w:r w:rsidR="005C2DA2">
        <w:rPr>
          <w:spacing w:val="55"/>
        </w:rPr>
        <w:t xml:space="preserve"> </w:t>
      </w:r>
      <w:r w:rsidR="005C2DA2">
        <w:t xml:space="preserve">guidelines </w:t>
      </w:r>
      <w:r w:rsidR="005C2DA2">
        <w:rPr>
          <w:spacing w:val="-1"/>
        </w:rPr>
        <w:t>should</w:t>
      </w:r>
      <w:r w:rsidR="005C2DA2">
        <w:t xml:space="preserve"> be </w:t>
      </w:r>
      <w:r w:rsidR="005C2DA2">
        <w:rPr>
          <w:spacing w:val="-1"/>
        </w:rPr>
        <w:t>followed:</w:t>
      </w:r>
    </w:p>
    <w:p w14:paraId="1380D9DF" w14:textId="77777777" w:rsidR="005C2DA2" w:rsidRDefault="005C2DA2" w:rsidP="005C2DA2">
      <w:pPr>
        <w:pStyle w:val="BodyText"/>
        <w:kinsoku w:val="0"/>
        <w:overflowPunct w:val="0"/>
        <w:spacing w:after="0"/>
      </w:pPr>
    </w:p>
    <w:p w14:paraId="513306E5" w14:textId="5494859F" w:rsidR="005C2DA2" w:rsidRDefault="00CB4CE3" w:rsidP="00562B10">
      <w:pPr>
        <w:pStyle w:val="BodyText"/>
        <w:numPr>
          <w:ilvl w:val="0"/>
          <w:numId w:val="89"/>
        </w:numPr>
        <w:kinsoku w:val="0"/>
        <w:overflowPunct w:val="0"/>
        <w:autoSpaceDE w:val="0"/>
        <w:autoSpaceDN w:val="0"/>
        <w:adjustRightInd w:val="0"/>
        <w:spacing w:after="0"/>
        <w:ind w:left="720" w:right="117"/>
      </w:pPr>
      <w:r w:rsidRPr="00CB4CE3">
        <w:rPr>
          <w:b/>
          <w:bCs/>
        </w:rPr>
        <w:t>IF</w:t>
      </w:r>
      <w:r w:rsidR="005C2DA2">
        <w:t xml:space="preserve"> </w:t>
      </w:r>
      <w:r w:rsidR="005C2DA2">
        <w:rPr>
          <w:spacing w:val="-1"/>
        </w:rPr>
        <w:t>methemoglobin</w:t>
      </w:r>
      <w:r w:rsidR="005C2DA2">
        <w:rPr>
          <w:spacing w:val="22"/>
        </w:rPr>
        <w:t xml:space="preserve"> </w:t>
      </w:r>
      <w:r w:rsidR="005C2DA2">
        <w:t>is</w:t>
      </w:r>
      <w:r w:rsidR="005C2DA2">
        <w:rPr>
          <w:spacing w:val="26"/>
        </w:rPr>
        <w:t xml:space="preserve"> </w:t>
      </w:r>
      <w:r w:rsidR="005C2DA2">
        <w:rPr>
          <w:spacing w:val="-1"/>
        </w:rPr>
        <w:t>asymptomatic,</w:t>
      </w:r>
      <w:r w:rsidR="005C2DA2">
        <w:t xml:space="preserve"> &lt;20%, </w:t>
      </w:r>
      <w:r w:rsidR="005C2DA2">
        <w:rPr>
          <w:spacing w:val="-1"/>
        </w:rPr>
        <w:t>and</w:t>
      </w:r>
      <w:r w:rsidR="005C2DA2">
        <w:rPr>
          <w:spacing w:val="23"/>
        </w:rPr>
        <w:t xml:space="preserve"> </w:t>
      </w:r>
      <w:r w:rsidR="005C2DA2">
        <w:rPr>
          <w:spacing w:val="-1"/>
        </w:rPr>
        <w:t>NOT</w:t>
      </w:r>
      <w:r w:rsidR="005C2DA2">
        <w:t xml:space="preserve"> </w:t>
      </w:r>
      <w:r w:rsidR="005C2DA2">
        <w:rPr>
          <w:spacing w:val="-1"/>
        </w:rPr>
        <w:t>accompanied</w:t>
      </w:r>
      <w:r w:rsidR="005C2DA2">
        <w:t xml:space="preserve"> by (oxygen </w:t>
      </w:r>
      <w:r w:rsidR="005C2DA2">
        <w:rPr>
          <w:spacing w:val="-1"/>
        </w:rPr>
        <w:t>saturation</w:t>
      </w:r>
      <w:r w:rsidR="005C2DA2">
        <w:t xml:space="preserve"> </w:t>
      </w:r>
      <w:r w:rsidR="005C2DA2">
        <w:rPr>
          <w:spacing w:val="-1"/>
        </w:rPr>
        <w:t>&lt;92%)</w:t>
      </w:r>
      <w:r w:rsidR="00441DF4">
        <w:rPr>
          <w:spacing w:val="-1"/>
        </w:rPr>
        <w:t xml:space="preserve"> </w:t>
      </w:r>
      <w:r w:rsidR="00441DF4">
        <w:t xml:space="preserve">hypoxia </w:t>
      </w:r>
      <w:r w:rsidR="00441DF4">
        <w:rPr>
          <w:i/>
          <w:iCs/>
        </w:rPr>
        <w:t>or</w:t>
      </w:r>
      <w:r w:rsidR="00441DF4">
        <w:t xml:space="preserve"> methemoglobin levels &lt; 5% within 24 hours</w:t>
      </w:r>
      <w:r w:rsidR="00C75A2B">
        <w:t xml:space="preserve">, </w:t>
      </w:r>
      <w:r w:rsidR="00C75A2B">
        <w:rPr>
          <w:b/>
          <w:bCs/>
          <w:spacing w:val="-1"/>
        </w:rPr>
        <w:t>THEN</w:t>
      </w:r>
      <w:r w:rsidR="00C75A2B">
        <w:rPr>
          <w:spacing w:val="-1"/>
        </w:rPr>
        <w:t>:</w:t>
      </w:r>
      <w:r w:rsidR="005C2DA2">
        <w:t xml:space="preserve"> </w:t>
      </w:r>
      <w:r w:rsidR="005C2DA2">
        <w:rPr>
          <w:spacing w:val="-1"/>
        </w:rPr>
        <w:t xml:space="preserve"> treat</w:t>
      </w:r>
      <w:r w:rsidR="005C2DA2">
        <w:t xml:space="preserve"> </w:t>
      </w:r>
      <w:r w:rsidR="005C2DA2">
        <w:rPr>
          <w:spacing w:val="-1"/>
        </w:rPr>
        <w:t>without</w:t>
      </w:r>
      <w:r w:rsidR="005C2DA2">
        <w:t xml:space="preserve"> </w:t>
      </w:r>
      <w:r w:rsidR="005C2DA2">
        <w:rPr>
          <w:spacing w:val="-1"/>
        </w:rPr>
        <w:t>change</w:t>
      </w:r>
      <w:r w:rsidR="005C2DA2">
        <w:t xml:space="preserve"> in dose.</w:t>
      </w:r>
    </w:p>
    <w:p w14:paraId="2D9C5297" w14:textId="77777777" w:rsidR="005C2DA2" w:rsidRDefault="005C2DA2" w:rsidP="005C2DA2">
      <w:pPr>
        <w:pStyle w:val="BodyText"/>
        <w:kinsoku w:val="0"/>
        <w:overflowPunct w:val="0"/>
        <w:spacing w:after="0"/>
        <w:rPr>
          <w:sz w:val="20"/>
          <w:szCs w:val="20"/>
        </w:rPr>
      </w:pPr>
    </w:p>
    <w:p w14:paraId="611924B3" w14:textId="67029250" w:rsidR="005C2DA2" w:rsidRDefault="005C2DA2" w:rsidP="00562B10">
      <w:pPr>
        <w:pStyle w:val="BodyText"/>
        <w:numPr>
          <w:ilvl w:val="0"/>
          <w:numId w:val="88"/>
        </w:numPr>
        <w:kinsoku w:val="0"/>
        <w:overflowPunct w:val="0"/>
        <w:autoSpaceDE w:val="0"/>
        <w:autoSpaceDN w:val="0"/>
        <w:adjustRightInd w:val="0"/>
        <w:spacing w:after="0"/>
        <w:ind w:left="720" w:right="117" w:hanging="360"/>
        <w:rPr>
          <w:spacing w:val="-1"/>
        </w:rPr>
      </w:pPr>
      <w:r w:rsidRPr="00CB4CE3">
        <w:rPr>
          <w:b/>
          <w:bCs/>
        </w:rPr>
        <w:t>I</w:t>
      </w:r>
      <w:r w:rsidR="00CB4CE3" w:rsidRPr="00CB4CE3">
        <w:rPr>
          <w:b/>
          <w:bCs/>
        </w:rPr>
        <w:t>F</w:t>
      </w:r>
      <w:r>
        <w:rPr>
          <w:b/>
          <w:bCs/>
          <w:spacing w:val="39"/>
        </w:rPr>
        <w:t xml:space="preserve"> </w:t>
      </w:r>
      <w:r>
        <w:rPr>
          <w:spacing w:val="-1"/>
        </w:rPr>
        <w:t>methemoglobin</w:t>
      </w:r>
      <w:r>
        <w:rPr>
          <w:spacing w:val="39"/>
        </w:rPr>
        <w:t xml:space="preserve"> </w:t>
      </w:r>
      <w:r>
        <w:rPr>
          <w:spacing w:val="-1"/>
        </w:rPr>
        <w:t>&gt;15%</w:t>
      </w:r>
      <w:r>
        <w:rPr>
          <w:spacing w:val="39"/>
        </w:rPr>
        <w:t xml:space="preserve"> </w:t>
      </w:r>
      <w:r>
        <w:t>lasts</w:t>
      </w:r>
      <w:r>
        <w:rPr>
          <w:spacing w:val="39"/>
        </w:rPr>
        <w:t xml:space="preserve"> </w:t>
      </w:r>
      <w:r>
        <w:rPr>
          <w:spacing w:val="-1"/>
        </w:rPr>
        <w:t>more</w:t>
      </w:r>
      <w:r>
        <w:rPr>
          <w:spacing w:val="41"/>
        </w:rPr>
        <w:t xml:space="preserve"> </w:t>
      </w:r>
      <w:r>
        <w:t>than</w:t>
      </w:r>
      <w:r>
        <w:rPr>
          <w:spacing w:val="38"/>
        </w:rPr>
        <w:t xml:space="preserve"> </w:t>
      </w:r>
      <w:r>
        <w:t>3</w:t>
      </w:r>
      <w:r>
        <w:rPr>
          <w:spacing w:val="39"/>
        </w:rPr>
        <w:t xml:space="preserve"> </w:t>
      </w:r>
      <w:r>
        <w:rPr>
          <w:spacing w:val="-1"/>
        </w:rPr>
        <w:t>hours</w:t>
      </w:r>
      <w:r>
        <w:rPr>
          <w:spacing w:val="40"/>
        </w:rPr>
        <w:t xml:space="preserve"> </w:t>
      </w:r>
      <w:r>
        <w:t>OR</w:t>
      </w:r>
      <w:r>
        <w:rPr>
          <w:spacing w:val="38"/>
        </w:rPr>
        <w:t xml:space="preserve"> </w:t>
      </w:r>
      <w:r>
        <w:t>if</w:t>
      </w:r>
      <w:r>
        <w:rPr>
          <w:spacing w:val="39"/>
        </w:rPr>
        <w:t xml:space="preserve"> </w:t>
      </w:r>
      <w:r>
        <w:rPr>
          <w:spacing w:val="-1"/>
        </w:rPr>
        <w:t>methemoglobin</w:t>
      </w:r>
      <w:r>
        <w:rPr>
          <w:spacing w:val="39"/>
        </w:rPr>
        <w:t xml:space="preserve"> </w:t>
      </w:r>
      <w:r>
        <w:t>&gt;20%</w:t>
      </w:r>
      <w:r>
        <w:rPr>
          <w:spacing w:val="37"/>
        </w:rPr>
        <w:t xml:space="preserve"> </w:t>
      </w:r>
      <w:r>
        <w:t>OR</w:t>
      </w:r>
      <w:r>
        <w:rPr>
          <w:spacing w:val="38"/>
        </w:rPr>
        <w:t xml:space="preserve"> </w:t>
      </w:r>
      <w:r>
        <w:t>if</w:t>
      </w:r>
      <w:r>
        <w:rPr>
          <w:spacing w:val="63"/>
        </w:rPr>
        <w:t xml:space="preserve"> </w:t>
      </w:r>
      <w:r>
        <w:t>oxygen</w:t>
      </w:r>
      <w:r>
        <w:rPr>
          <w:spacing w:val="10"/>
        </w:rPr>
        <w:t xml:space="preserve"> </w:t>
      </w:r>
      <w:r>
        <w:rPr>
          <w:spacing w:val="-1"/>
        </w:rPr>
        <w:t>saturation</w:t>
      </w:r>
      <w:r>
        <w:rPr>
          <w:spacing w:val="10"/>
        </w:rPr>
        <w:t xml:space="preserve"> </w:t>
      </w:r>
      <w:r>
        <w:t>&lt;92%</w:t>
      </w:r>
      <w:r w:rsidR="003B21BC">
        <w:t xml:space="preserve"> OR patient has moderate to severe symptoms</w:t>
      </w:r>
      <w:r>
        <w:t>,</w:t>
      </w:r>
      <w:r>
        <w:rPr>
          <w:spacing w:val="11"/>
        </w:rPr>
        <w:t xml:space="preserve"> </w:t>
      </w:r>
      <w:r>
        <w:rPr>
          <w:b/>
          <w:bCs/>
          <w:spacing w:val="-1"/>
        </w:rPr>
        <w:t>THEN</w:t>
      </w:r>
      <w:r>
        <w:rPr>
          <w:spacing w:val="-1"/>
        </w:rPr>
        <w:t>:</w:t>
      </w:r>
      <w:r>
        <w:rPr>
          <w:spacing w:val="11"/>
        </w:rPr>
        <w:t xml:space="preserve"> </w:t>
      </w:r>
      <w:r w:rsidR="00F35AB0">
        <w:rPr>
          <w:spacing w:val="11"/>
        </w:rPr>
        <w:t xml:space="preserve">provide appropriate supportive care </w:t>
      </w:r>
      <w:r w:rsidR="00D00EC2">
        <w:rPr>
          <w:spacing w:val="11"/>
        </w:rPr>
        <w:t xml:space="preserve">and </w:t>
      </w:r>
      <w:r>
        <w:t>obtain</w:t>
      </w:r>
      <w:r>
        <w:rPr>
          <w:spacing w:val="11"/>
        </w:rPr>
        <w:t xml:space="preserve"> </w:t>
      </w:r>
      <w:r>
        <w:rPr>
          <w:spacing w:val="-1"/>
        </w:rPr>
        <w:t>arterial</w:t>
      </w:r>
      <w:r>
        <w:rPr>
          <w:spacing w:val="11"/>
        </w:rPr>
        <w:t xml:space="preserve"> </w:t>
      </w:r>
      <w:r>
        <w:t>blood</w:t>
      </w:r>
      <w:r>
        <w:rPr>
          <w:spacing w:val="11"/>
        </w:rPr>
        <w:t xml:space="preserve"> </w:t>
      </w:r>
      <w:r>
        <w:t>gases</w:t>
      </w:r>
      <w:r w:rsidR="00445CC0">
        <w:t xml:space="preserve"> which can be repeated</w:t>
      </w:r>
      <w:r w:rsidR="00EF376A">
        <w:t xml:space="preserve"> every 6-8 hours</w:t>
      </w:r>
      <w:r w:rsidR="004E549E">
        <w:t xml:space="preserve">. </w:t>
      </w:r>
      <w:r w:rsidR="007C67A0">
        <w:t xml:space="preserve"> </w:t>
      </w:r>
      <w:r w:rsidR="004E549E">
        <w:t>A</w:t>
      </w:r>
      <w:r>
        <w:rPr>
          <w:spacing w:val="10"/>
        </w:rPr>
        <w:t xml:space="preserve"> </w:t>
      </w:r>
      <w:r>
        <w:t>pO2</w:t>
      </w:r>
      <w:r>
        <w:rPr>
          <w:spacing w:val="10"/>
        </w:rPr>
        <w:t xml:space="preserve"> </w:t>
      </w:r>
      <w:r>
        <w:t>&lt;80</w:t>
      </w:r>
      <w:r>
        <w:rPr>
          <w:spacing w:val="10"/>
        </w:rPr>
        <w:t xml:space="preserve"> </w:t>
      </w:r>
      <w:r>
        <w:t>should</w:t>
      </w:r>
      <w:r>
        <w:rPr>
          <w:spacing w:val="10"/>
        </w:rPr>
        <w:t xml:space="preserve"> </w:t>
      </w:r>
      <w:r>
        <w:rPr>
          <w:spacing w:val="-1"/>
        </w:rPr>
        <w:t>result</w:t>
      </w:r>
      <w:r>
        <w:rPr>
          <w:spacing w:val="10"/>
        </w:rPr>
        <w:t xml:space="preserve"> </w:t>
      </w:r>
      <w:r>
        <w:t>in</w:t>
      </w:r>
      <w:r>
        <w:rPr>
          <w:spacing w:val="49"/>
        </w:rPr>
        <w:t xml:space="preserve"> </w:t>
      </w:r>
      <w:r>
        <w:t>hospitalization</w:t>
      </w:r>
      <w:r>
        <w:rPr>
          <w:spacing w:val="16"/>
        </w:rPr>
        <w:t xml:space="preserve"> </w:t>
      </w:r>
      <w:r>
        <w:t>and</w:t>
      </w:r>
      <w:r>
        <w:rPr>
          <w:spacing w:val="16"/>
        </w:rPr>
        <w:t xml:space="preserve"> </w:t>
      </w:r>
      <w:r>
        <w:rPr>
          <w:spacing w:val="-1"/>
        </w:rPr>
        <w:t>will</w:t>
      </w:r>
      <w:r>
        <w:rPr>
          <w:spacing w:val="17"/>
        </w:rPr>
        <w:t xml:space="preserve"> </w:t>
      </w:r>
      <w:r>
        <w:t>be</w:t>
      </w:r>
      <w:r>
        <w:rPr>
          <w:spacing w:val="16"/>
        </w:rPr>
        <w:t xml:space="preserve"> </w:t>
      </w:r>
      <w:r>
        <w:rPr>
          <w:spacing w:val="-1"/>
        </w:rPr>
        <w:t>counted</w:t>
      </w:r>
      <w:r>
        <w:rPr>
          <w:spacing w:val="16"/>
        </w:rPr>
        <w:t xml:space="preserve"> </w:t>
      </w:r>
      <w:r>
        <w:t>as</w:t>
      </w:r>
      <w:r>
        <w:rPr>
          <w:spacing w:val="17"/>
        </w:rPr>
        <w:t xml:space="preserve"> </w:t>
      </w:r>
      <w:r>
        <w:t>DLT.</w:t>
      </w:r>
      <w:r>
        <w:rPr>
          <w:spacing w:val="16"/>
        </w:rPr>
        <w:t xml:space="preserve">  </w:t>
      </w:r>
      <w:r>
        <w:t>If</w:t>
      </w:r>
      <w:r>
        <w:rPr>
          <w:spacing w:val="16"/>
        </w:rPr>
        <w:t xml:space="preserve"> </w:t>
      </w:r>
      <w:r>
        <w:t>pO2</w:t>
      </w:r>
      <w:r>
        <w:rPr>
          <w:spacing w:val="16"/>
        </w:rPr>
        <w:t xml:space="preserve"> </w:t>
      </w:r>
      <w:r>
        <w:rPr>
          <w:spacing w:val="-1"/>
        </w:rPr>
        <w:t>normalizes</w:t>
      </w:r>
      <w:r>
        <w:rPr>
          <w:spacing w:val="17"/>
        </w:rPr>
        <w:t xml:space="preserve"> </w:t>
      </w:r>
      <w:r>
        <w:rPr>
          <w:spacing w:val="-1"/>
        </w:rPr>
        <w:t>within</w:t>
      </w:r>
      <w:r>
        <w:rPr>
          <w:spacing w:val="16"/>
        </w:rPr>
        <w:t xml:space="preserve"> </w:t>
      </w:r>
      <w:r>
        <w:t>24</w:t>
      </w:r>
      <w:r>
        <w:rPr>
          <w:spacing w:val="16"/>
        </w:rPr>
        <w:t xml:space="preserve"> </w:t>
      </w:r>
      <w:r>
        <w:t>hours,</w:t>
      </w:r>
      <w:r>
        <w:rPr>
          <w:spacing w:val="41"/>
        </w:rPr>
        <w:t xml:space="preserve"> </w:t>
      </w:r>
      <w:r>
        <w:rPr>
          <w:spacing w:val="-1"/>
        </w:rPr>
        <w:t>retreatment</w:t>
      </w:r>
      <w:r>
        <w:rPr>
          <w:spacing w:val="48"/>
        </w:rPr>
        <w:t xml:space="preserve"> </w:t>
      </w:r>
      <w:r>
        <w:t>at</w:t>
      </w:r>
      <w:r>
        <w:rPr>
          <w:spacing w:val="49"/>
        </w:rPr>
        <w:t xml:space="preserve"> </w:t>
      </w:r>
      <w:r>
        <w:t>a</w:t>
      </w:r>
      <w:r>
        <w:rPr>
          <w:spacing w:val="48"/>
        </w:rPr>
        <w:t xml:space="preserve"> </w:t>
      </w:r>
      <w:r>
        <w:t>lower</w:t>
      </w:r>
      <w:r>
        <w:rPr>
          <w:spacing w:val="48"/>
        </w:rPr>
        <w:t xml:space="preserve"> </w:t>
      </w:r>
      <w:r>
        <w:t>dose</w:t>
      </w:r>
      <w:r>
        <w:rPr>
          <w:spacing w:val="49"/>
        </w:rPr>
        <w:t xml:space="preserve"> </w:t>
      </w:r>
      <w:r>
        <w:rPr>
          <w:spacing w:val="-1"/>
        </w:rPr>
        <w:t>level</w:t>
      </w:r>
      <w:r>
        <w:rPr>
          <w:spacing w:val="48"/>
        </w:rPr>
        <w:t xml:space="preserve"> </w:t>
      </w:r>
      <w:r>
        <w:rPr>
          <w:spacing w:val="-1"/>
        </w:rPr>
        <w:t>may</w:t>
      </w:r>
      <w:r>
        <w:rPr>
          <w:spacing w:val="49"/>
        </w:rPr>
        <w:t xml:space="preserve"> </w:t>
      </w:r>
      <w:r>
        <w:t>be</w:t>
      </w:r>
      <w:r>
        <w:rPr>
          <w:spacing w:val="49"/>
        </w:rPr>
        <w:t xml:space="preserve"> </w:t>
      </w:r>
      <w:r>
        <w:t>considered</w:t>
      </w:r>
      <w:r>
        <w:rPr>
          <w:spacing w:val="48"/>
        </w:rPr>
        <w:t xml:space="preserve"> </w:t>
      </w:r>
      <w:r>
        <w:t>by</w:t>
      </w:r>
      <w:r>
        <w:rPr>
          <w:spacing w:val="48"/>
        </w:rPr>
        <w:t xml:space="preserve"> </w:t>
      </w:r>
      <w:r>
        <w:rPr>
          <w:spacing w:val="-1"/>
        </w:rPr>
        <w:t>the</w:t>
      </w:r>
      <w:r>
        <w:rPr>
          <w:spacing w:val="49"/>
        </w:rPr>
        <w:t xml:space="preserve"> </w:t>
      </w:r>
      <w:r>
        <w:t>Principal</w:t>
      </w:r>
      <w:r>
        <w:rPr>
          <w:spacing w:val="48"/>
        </w:rPr>
        <w:t xml:space="preserve"> </w:t>
      </w:r>
      <w:r>
        <w:rPr>
          <w:spacing w:val="-1"/>
        </w:rPr>
        <w:t>Investigator.</w:t>
      </w:r>
      <w:r w:rsidR="00FD4636">
        <w:rPr>
          <w:spacing w:val="-1"/>
        </w:rPr>
        <w:t xml:space="preserve"> </w:t>
      </w:r>
    </w:p>
    <w:p w14:paraId="05540D5E" w14:textId="21E39A0D" w:rsidR="000B243D" w:rsidRDefault="00CB4CE3" w:rsidP="00562B10">
      <w:pPr>
        <w:pStyle w:val="BodyText"/>
        <w:numPr>
          <w:ilvl w:val="0"/>
          <w:numId w:val="88"/>
        </w:numPr>
        <w:kinsoku w:val="0"/>
        <w:overflowPunct w:val="0"/>
        <w:autoSpaceDE w:val="0"/>
        <w:autoSpaceDN w:val="0"/>
        <w:adjustRightInd w:val="0"/>
        <w:spacing w:after="0"/>
        <w:ind w:left="720" w:right="117" w:hanging="360"/>
        <w:rPr>
          <w:spacing w:val="-1"/>
        </w:rPr>
      </w:pPr>
      <w:r w:rsidRPr="00CB4CE3">
        <w:rPr>
          <w:b/>
          <w:bCs/>
        </w:rPr>
        <w:t>IF</w:t>
      </w:r>
      <w:r w:rsidR="000B243D">
        <w:rPr>
          <w:spacing w:val="-1"/>
        </w:rPr>
        <w:t xml:space="preserve"> patient has moderate to severe, but rapidly reversible (i.e., over several hours) </w:t>
      </w:r>
      <w:r w:rsidR="000B243D">
        <w:rPr>
          <w:spacing w:val="-1"/>
        </w:rPr>
        <w:lastRenderedPageBreak/>
        <w:t xml:space="preserve">symptoms NOT requiring hospitalization, </w:t>
      </w:r>
      <w:r w:rsidR="00C75A2B">
        <w:rPr>
          <w:b/>
          <w:bCs/>
          <w:spacing w:val="-1"/>
        </w:rPr>
        <w:t>THEN</w:t>
      </w:r>
      <w:r w:rsidR="000B243D">
        <w:rPr>
          <w:spacing w:val="-1"/>
        </w:rPr>
        <w:t xml:space="preserve"> </w:t>
      </w:r>
      <w:r w:rsidR="00596370">
        <w:rPr>
          <w:spacing w:val="-1"/>
        </w:rPr>
        <w:t xml:space="preserve">retreatment at a lower dose level may be considered by the Principal Investigator. </w:t>
      </w:r>
    </w:p>
    <w:p w14:paraId="6189768E" w14:textId="31344421" w:rsidR="008D7645" w:rsidRDefault="00CB4CE3" w:rsidP="00562B10">
      <w:pPr>
        <w:pStyle w:val="BodyText"/>
        <w:numPr>
          <w:ilvl w:val="0"/>
          <w:numId w:val="88"/>
        </w:numPr>
        <w:kinsoku w:val="0"/>
        <w:overflowPunct w:val="0"/>
        <w:autoSpaceDE w:val="0"/>
        <w:autoSpaceDN w:val="0"/>
        <w:adjustRightInd w:val="0"/>
        <w:spacing w:after="0"/>
        <w:ind w:left="720" w:right="117" w:hanging="360"/>
        <w:rPr>
          <w:spacing w:val="-1"/>
        </w:rPr>
      </w:pPr>
      <w:r w:rsidRPr="00CB4CE3">
        <w:rPr>
          <w:b/>
          <w:bCs/>
        </w:rPr>
        <w:t>IF</w:t>
      </w:r>
      <w:r w:rsidR="002E5B7E">
        <w:rPr>
          <w:spacing w:val="-1"/>
        </w:rPr>
        <w:t xml:space="preserve"> patient develops hypotension (systolic blood pressure &lt; 85 mmHg), </w:t>
      </w:r>
      <w:r w:rsidR="00C75A2B">
        <w:rPr>
          <w:b/>
          <w:bCs/>
          <w:spacing w:val="-1"/>
        </w:rPr>
        <w:t>THEN</w:t>
      </w:r>
      <w:r w:rsidR="00C75A2B">
        <w:rPr>
          <w:spacing w:val="-1"/>
        </w:rPr>
        <w:t xml:space="preserve"> </w:t>
      </w:r>
      <w:r w:rsidR="002E5B7E">
        <w:rPr>
          <w:spacing w:val="-1"/>
        </w:rPr>
        <w:t xml:space="preserve">triapine administration should be stopped and not receive additional triapine treatment on study. </w:t>
      </w:r>
    </w:p>
    <w:p w14:paraId="1CA1C98F" w14:textId="77777777" w:rsidR="005C2DA2" w:rsidRDefault="005C2DA2" w:rsidP="005C2DA2">
      <w:pPr>
        <w:pStyle w:val="BodyText"/>
        <w:kinsoku w:val="0"/>
        <w:overflowPunct w:val="0"/>
        <w:spacing w:after="0"/>
      </w:pPr>
    </w:p>
    <w:p w14:paraId="3FED3FC1" w14:textId="61D5B4B0" w:rsidR="003905F7" w:rsidRDefault="005C2DA2" w:rsidP="005C2DA2">
      <w:pPr>
        <w:suppressAutoHyphens/>
      </w:pPr>
      <w:r w:rsidRPr="00507488">
        <w:t xml:space="preserve">Treatment options for methemoglobinemia could include methylene blue, 1-2 mg/kg IV over five minutes.  However, </w:t>
      </w:r>
      <w:r w:rsidRPr="00507488">
        <w:rPr>
          <w:u w:val="single"/>
        </w:rPr>
        <w:t>methylene blue is contraindicated in patients with glucose-6-phosphate (G6PD) deficiency</w:t>
      </w:r>
      <w:r w:rsidRPr="00507488">
        <w:t>, since its pharmacologic action as an electron carrier in the reduction of methemoglobin is itself dependent on the generation of NADPH by G6PD through the hexose monophosphate shunt. Thus, methylene blue may be at best ineffective in such patients and may have the potential to complicate the clinical situation by provoking hemolysis, although this association is less clear. In situations where the use of methylene blue may be contraindicated (</w:t>
      </w:r>
      <w:r w:rsidRPr="00507488">
        <w:rPr>
          <w:i/>
          <w:iCs/>
        </w:rPr>
        <w:t>e.g</w:t>
      </w:r>
      <w:r w:rsidRPr="00507488">
        <w:t xml:space="preserve">., in those individuals who are in the high-risk group </w:t>
      </w:r>
      <w:r w:rsidR="001118B7">
        <w:t>[</w:t>
      </w:r>
      <w:r w:rsidRPr="00507488">
        <w:t>patients of African, Asian or Mediterranean origin/ancestry</w:t>
      </w:r>
      <w:r w:rsidR="001118B7">
        <w:t>]</w:t>
      </w:r>
      <w:r w:rsidRPr="00507488">
        <w:t>, who may have had a</w:t>
      </w:r>
      <w:r w:rsidR="001118B7">
        <w:t xml:space="preserve"> prior</w:t>
      </w:r>
      <w:r w:rsidRPr="00507488">
        <w:t xml:space="preserve"> false negative G6PD</w:t>
      </w:r>
      <w:r>
        <w:t xml:space="preserve"> d</w:t>
      </w:r>
      <w:r w:rsidRPr="00507488">
        <w:t>eficiency test, the successful use of ascorbic acid (1000 mg IV q6h) has been described.</w:t>
      </w:r>
    </w:p>
    <w:p w14:paraId="639B08D3" w14:textId="77777777" w:rsidR="003905F7" w:rsidRPr="007300F3" w:rsidRDefault="003905F7" w:rsidP="009E246E">
      <w:pPr>
        <w:suppressAutoHyphens/>
      </w:pPr>
    </w:p>
    <w:p w14:paraId="2A3E86EA" w14:textId="21909106" w:rsidR="00C479A8" w:rsidRPr="007300F3" w:rsidRDefault="00C479A8" w:rsidP="00C94562">
      <w:pPr>
        <w:pStyle w:val="Heading1"/>
      </w:pPr>
      <w:bookmarkStart w:id="96" w:name="_Ref1546497"/>
      <w:bookmarkStart w:id="97" w:name="_Toc176419921"/>
      <w:r w:rsidRPr="007300F3">
        <w:t>PHARMACEUTICAL</w:t>
      </w:r>
      <w:r>
        <w:t xml:space="preserve"> </w:t>
      </w:r>
      <w:r w:rsidRPr="007300F3">
        <w:t>INFORMATION</w:t>
      </w:r>
      <w:bookmarkEnd w:id="96"/>
      <w:bookmarkEnd w:id="97"/>
    </w:p>
    <w:p w14:paraId="3BCA81B2" w14:textId="77777777" w:rsidR="00C479A8" w:rsidRPr="007300F3" w:rsidRDefault="00C479A8" w:rsidP="00C479A8">
      <w:pPr>
        <w:suppressAutoHyphens/>
      </w:pPr>
    </w:p>
    <w:p w14:paraId="62DE5677" w14:textId="0F0A2B73" w:rsidR="00C479A8" w:rsidRDefault="00C479A8" w:rsidP="00C479A8">
      <w:pPr>
        <w:suppressAutoHyphens/>
      </w:pPr>
      <w:r w:rsidRPr="007300F3">
        <w:t>A list of the adverse events and potential risks associated with the investigational agent administered in this study can be found in S</w:t>
      </w:r>
      <w:r w:rsidR="000B32DE">
        <w:t>ection 10</w:t>
      </w:r>
      <w:r w:rsidRPr="007300F3">
        <w:t>.1.</w:t>
      </w:r>
    </w:p>
    <w:p w14:paraId="53B671D6" w14:textId="77777777" w:rsidR="00C479A8" w:rsidRPr="007300F3" w:rsidRDefault="00C479A8" w:rsidP="00C479A8">
      <w:pPr>
        <w:suppressAutoHyphens/>
      </w:pPr>
    </w:p>
    <w:p w14:paraId="193A0FF6" w14:textId="2F56BD54" w:rsidR="00C479A8" w:rsidRPr="00447BF2" w:rsidRDefault="00C479A8" w:rsidP="00C94562">
      <w:pPr>
        <w:pStyle w:val="Heading2"/>
        <w:rPr>
          <w:color w:val="auto"/>
        </w:rPr>
      </w:pPr>
      <w:bookmarkStart w:id="98" w:name="_Toc176419922"/>
      <w:r w:rsidRPr="00447BF2">
        <w:rPr>
          <w:color w:val="auto"/>
        </w:rPr>
        <w:t>CTEP IND Agent</w:t>
      </w:r>
      <w:bookmarkEnd w:id="98"/>
    </w:p>
    <w:p w14:paraId="02543DC7" w14:textId="77777777" w:rsidR="00C479A8" w:rsidRPr="00447BF2" w:rsidRDefault="00C479A8" w:rsidP="00C479A8">
      <w:pPr>
        <w:suppressAutoHyphens/>
        <w:rPr>
          <w:color w:val="auto"/>
        </w:rPr>
      </w:pPr>
    </w:p>
    <w:p w14:paraId="74D2AE77" w14:textId="28280905" w:rsidR="00C479A8" w:rsidRPr="00447BF2" w:rsidRDefault="001F4DA2" w:rsidP="00C312CF">
      <w:pPr>
        <w:pStyle w:val="Level3Heading"/>
        <w:rPr>
          <w:color w:val="auto"/>
          <w:u w:val="single"/>
        </w:rPr>
      </w:pPr>
      <w:r w:rsidRPr="00447BF2">
        <w:rPr>
          <w:color w:val="auto"/>
          <w:u w:val="single"/>
        </w:rPr>
        <w:t>Triapine</w:t>
      </w:r>
      <w:r w:rsidR="00C479A8" w:rsidRPr="00447BF2">
        <w:rPr>
          <w:color w:val="auto"/>
          <w:u w:val="single"/>
        </w:rPr>
        <w:t xml:space="preserve"> (NSC </w:t>
      </w:r>
      <w:r w:rsidRPr="00447BF2">
        <w:rPr>
          <w:color w:val="auto"/>
          <w:u w:val="single"/>
        </w:rPr>
        <w:t>663249</w:t>
      </w:r>
      <w:r w:rsidR="00C479A8" w:rsidRPr="00447BF2">
        <w:rPr>
          <w:color w:val="auto"/>
          <w:u w:val="single"/>
        </w:rPr>
        <w:t>)</w:t>
      </w:r>
    </w:p>
    <w:p w14:paraId="517C0DC2" w14:textId="77777777" w:rsidR="00C479A8" w:rsidRPr="00447BF2" w:rsidRDefault="00C479A8" w:rsidP="00C479A8">
      <w:pPr>
        <w:suppressAutoHyphens/>
        <w:ind w:left="720"/>
        <w:rPr>
          <w:color w:val="auto"/>
        </w:rPr>
      </w:pPr>
    </w:p>
    <w:p w14:paraId="31C776C4" w14:textId="77777777" w:rsidR="001173BC" w:rsidRPr="00447BF2" w:rsidRDefault="001173BC" w:rsidP="001173BC">
      <w:pPr>
        <w:tabs>
          <w:tab w:val="left" w:pos="2160"/>
          <w:tab w:val="left" w:pos="2700"/>
        </w:tabs>
        <w:suppressAutoHyphens/>
        <w:ind w:left="5040" w:hanging="5040"/>
        <w:jc w:val="both"/>
        <w:rPr>
          <w:color w:val="auto"/>
          <w:spacing w:val="-3"/>
        </w:rPr>
      </w:pPr>
      <w:r w:rsidRPr="00447BF2">
        <w:rPr>
          <w:b/>
          <w:color w:val="auto"/>
          <w:spacing w:val="-3"/>
        </w:rPr>
        <w:t xml:space="preserve">Chemical Name: </w:t>
      </w:r>
      <w:r w:rsidRPr="00447BF2">
        <w:rPr>
          <w:b/>
          <w:color w:val="auto"/>
          <w:spacing w:val="-3"/>
        </w:rPr>
        <w:tab/>
      </w:r>
      <w:r w:rsidRPr="00447BF2">
        <w:rPr>
          <w:color w:val="auto"/>
          <w:spacing w:val="-3"/>
        </w:rPr>
        <w:t>3-aminopyridine-2-carboxaldehyde thiosemicarbazone</w:t>
      </w:r>
    </w:p>
    <w:p w14:paraId="4C2414B8" w14:textId="77777777" w:rsidR="001173BC" w:rsidRPr="00447BF2" w:rsidRDefault="001173BC" w:rsidP="001173BC">
      <w:pPr>
        <w:suppressAutoHyphens/>
        <w:jc w:val="both"/>
        <w:rPr>
          <w:b/>
          <w:color w:val="auto"/>
          <w:spacing w:val="-3"/>
        </w:rPr>
      </w:pPr>
    </w:p>
    <w:p w14:paraId="1F3BB6AE" w14:textId="77777777" w:rsidR="001173BC" w:rsidRPr="00447BF2" w:rsidRDefault="001173BC" w:rsidP="001173BC">
      <w:pPr>
        <w:suppressAutoHyphens/>
        <w:jc w:val="both"/>
        <w:rPr>
          <w:b/>
          <w:color w:val="auto"/>
          <w:spacing w:val="-3"/>
        </w:rPr>
      </w:pPr>
      <w:r w:rsidRPr="00447BF2">
        <w:rPr>
          <w:b/>
          <w:color w:val="auto"/>
          <w:spacing w:val="-3"/>
        </w:rPr>
        <w:t>Other Names:</w:t>
      </w:r>
      <w:r w:rsidRPr="00447BF2">
        <w:rPr>
          <w:b/>
          <w:color w:val="auto"/>
          <w:spacing w:val="-3"/>
        </w:rPr>
        <w:tab/>
      </w:r>
      <w:r w:rsidRPr="00447BF2">
        <w:rPr>
          <w:color w:val="auto"/>
          <w:spacing w:val="-3"/>
        </w:rPr>
        <w:t>3-AP</w:t>
      </w:r>
    </w:p>
    <w:p w14:paraId="50DBF0E6" w14:textId="77777777" w:rsidR="001173BC" w:rsidRPr="00447BF2" w:rsidRDefault="001173BC" w:rsidP="001173BC">
      <w:pPr>
        <w:suppressAutoHyphens/>
        <w:jc w:val="both"/>
        <w:rPr>
          <w:color w:val="auto"/>
          <w:spacing w:val="-3"/>
        </w:rPr>
      </w:pPr>
    </w:p>
    <w:p w14:paraId="20B59088" w14:textId="77777777" w:rsidR="001173BC" w:rsidRPr="00447BF2" w:rsidRDefault="001173BC" w:rsidP="001173BC">
      <w:pPr>
        <w:suppressAutoHyphens/>
        <w:ind w:left="2160" w:hanging="2160"/>
        <w:jc w:val="both"/>
        <w:rPr>
          <w:color w:val="auto"/>
          <w:spacing w:val="-3"/>
        </w:rPr>
      </w:pPr>
      <w:r w:rsidRPr="00447BF2">
        <w:rPr>
          <w:b/>
          <w:color w:val="auto"/>
          <w:spacing w:val="-3"/>
        </w:rPr>
        <w:t>Classification:</w:t>
      </w:r>
      <w:r w:rsidRPr="00447BF2">
        <w:rPr>
          <w:color w:val="auto"/>
          <w:spacing w:val="-3"/>
        </w:rPr>
        <w:t xml:space="preserve"> </w:t>
      </w:r>
      <w:r w:rsidRPr="00447BF2">
        <w:rPr>
          <w:color w:val="auto"/>
          <w:spacing w:val="-3"/>
        </w:rPr>
        <w:tab/>
        <w:t>Triapine</w:t>
      </w:r>
      <w:r w:rsidRPr="00447BF2">
        <w:rPr>
          <w:b/>
          <w:color w:val="auto"/>
          <w:spacing w:val="-3"/>
        </w:rPr>
        <w:t xml:space="preserve">, </w:t>
      </w:r>
      <w:r w:rsidRPr="00447BF2">
        <w:rPr>
          <w:color w:val="auto"/>
          <w:spacing w:val="-3"/>
        </w:rPr>
        <w:t>an α-heterocyclic carboxaldehyde thiosemicarbazone (HCT), is a ribonucleotide reductase (RNR)</w:t>
      </w:r>
      <w:r w:rsidRPr="00447BF2">
        <w:rPr>
          <w:b/>
          <w:color w:val="auto"/>
          <w:spacing w:val="-3"/>
        </w:rPr>
        <w:t xml:space="preserve"> </w:t>
      </w:r>
      <w:r w:rsidRPr="00447BF2">
        <w:rPr>
          <w:color w:val="auto"/>
          <w:spacing w:val="-3"/>
        </w:rPr>
        <w:t>inhibitor that acts on the M2 (R2) subunit. The HCTs are the most potent RNR inhibitors, being 65 -5,000 times more potent than hydroxyurea.</w:t>
      </w:r>
    </w:p>
    <w:p w14:paraId="7076773D" w14:textId="77777777" w:rsidR="001173BC" w:rsidRPr="00447BF2" w:rsidRDefault="001173BC" w:rsidP="001173BC">
      <w:pPr>
        <w:suppressAutoHyphens/>
        <w:jc w:val="both"/>
        <w:rPr>
          <w:color w:val="auto"/>
          <w:spacing w:val="-3"/>
        </w:rPr>
      </w:pPr>
    </w:p>
    <w:p w14:paraId="0BC94418" w14:textId="77777777" w:rsidR="001173BC" w:rsidRPr="00447BF2" w:rsidRDefault="001173BC" w:rsidP="001173BC">
      <w:pPr>
        <w:suppressAutoHyphens/>
        <w:jc w:val="both"/>
        <w:rPr>
          <w:color w:val="auto"/>
          <w:spacing w:val="-3"/>
        </w:rPr>
      </w:pPr>
      <w:r w:rsidRPr="00447BF2">
        <w:rPr>
          <w:b/>
          <w:color w:val="auto"/>
          <w:spacing w:val="-3"/>
        </w:rPr>
        <w:t>Mechanism of Action:</w:t>
      </w:r>
      <w:r w:rsidRPr="00447BF2">
        <w:rPr>
          <w:color w:val="auto"/>
          <w:spacing w:val="-3"/>
        </w:rPr>
        <w:t xml:space="preserve"> </w:t>
      </w:r>
      <w:r w:rsidRPr="00447BF2">
        <w:rPr>
          <w:color w:val="auto"/>
          <w:spacing w:val="-3"/>
        </w:rPr>
        <w:tab/>
        <w:t xml:space="preserve">Ribonucleotide reductase (RNR) inhibitor </w:t>
      </w:r>
    </w:p>
    <w:p w14:paraId="4345F39B" w14:textId="77777777" w:rsidR="001173BC" w:rsidRPr="00447BF2" w:rsidRDefault="001173BC" w:rsidP="001173BC">
      <w:pPr>
        <w:suppressAutoHyphens/>
        <w:jc w:val="both"/>
        <w:rPr>
          <w:color w:val="auto"/>
          <w:spacing w:val="-3"/>
        </w:rPr>
      </w:pPr>
    </w:p>
    <w:p w14:paraId="6D9F658F" w14:textId="77777777" w:rsidR="001173BC" w:rsidRPr="00447BF2" w:rsidRDefault="001173BC" w:rsidP="001173BC">
      <w:pPr>
        <w:suppressAutoHyphens/>
        <w:jc w:val="both"/>
        <w:rPr>
          <w:color w:val="auto"/>
          <w:spacing w:val="-3"/>
        </w:rPr>
      </w:pPr>
      <w:r w:rsidRPr="00447BF2">
        <w:rPr>
          <w:b/>
          <w:color w:val="auto"/>
          <w:spacing w:val="-3"/>
        </w:rPr>
        <w:t>CAS Registry Number:</w:t>
      </w:r>
      <w:r w:rsidRPr="00447BF2">
        <w:rPr>
          <w:b/>
          <w:color w:val="auto"/>
          <w:spacing w:val="-3"/>
        </w:rPr>
        <w:tab/>
      </w:r>
      <w:r w:rsidRPr="00447BF2">
        <w:rPr>
          <w:color w:val="auto"/>
          <w:spacing w:val="-3"/>
        </w:rPr>
        <w:t>143621-35-6</w:t>
      </w:r>
    </w:p>
    <w:p w14:paraId="17082081" w14:textId="77777777" w:rsidR="001173BC" w:rsidRPr="00447BF2" w:rsidRDefault="001173BC" w:rsidP="001173BC">
      <w:pPr>
        <w:suppressAutoHyphens/>
        <w:jc w:val="both"/>
        <w:rPr>
          <w:color w:val="auto"/>
          <w:spacing w:val="-3"/>
        </w:rPr>
      </w:pPr>
    </w:p>
    <w:p w14:paraId="2DD3AA97" w14:textId="77777777" w:rsidR="001173BC" w:rsidRPr="00447BF2" w:rsidRDefault="001173BC" w:rsidP="001173BC">
      <w:pPr>
        <w:suppressAutoHyphens/>
        <w:jc w:val="both"/>
        <w:rPr>
          <w:b/>
          <w:color w:val="auto"/>
          <w:spacing w:val="-3"/>
        </w:rPr>
      </w:pPr>
      <w:r w:rsidRPr="00447BF2">
        <w:rPr>
          <w:b/>
          <w:color w:val="auto"/>
          <w:spacing w:val="-3"/>
        </w:rPr>
        <w:t>Molecular Formula:</w:t>
      </w:r>
      <w:r w:rsidRPr="00447BF2">
        <w:rPr>
          <w:b/>
          <w:color w:val="auto"/>
          <w:spacing w:val="-3"/>
        </w:rPr>
        <w:tab/>
      </w:r>
      <w:r w:rsidRPr="00447BF2">
        <w:rPr>
          <w:b/>
          <w:color w:val="auto"/>
          <w:spacing w:val="-3"/>
        </w:rPr>
        <w:tab/>
      </w:r>
      <w:r w:rsidRPr="00447BF2">
        <w:rPr>
          <w:color w:val="auto"/>
          <w:spacing w:val="-3"/>
        </w:rPr>
        <w:t>C</w:t>
      </w:r>
      <w:r w:rsidRPr="00447BF2">
        <w:rPr>
          <w:color w:val="auto"/>
          <w:spacing w:val="-3"/>
          <w:vertAlign w:val="subscript"/>
        </w:rPr>
        <w:t>7</w:t>
      </w:r>
      <w:r w:rsidRPr="00447BF2">
        <w:rPr>
          <w:color w:val="auto"/>
          <w:spacing w:val="-3"/>
        </w:rPr>
        <w:t>H</w:t>
      </w:r>
      <w:r w:rsidRPr="00447BF2">
        <w:rPr>
          <w:color w:val="auto"/>
          <w:spacing w:val="-3"/>
          <w:vertAlign w:val="subscript"/>
        </w:rPr>
        <w:t>9</w:t>
      </w:r>
      <w:r w:rsidRPr="00447BF2">
        <w:rPr>
          <w:color w:val="auto"/>
          <w:spacing w:val="-3"/>
        </w:rPr>
        <w:t>N</w:t>
      </w:r>
      <w:r w:rsidRPr="00447BF2">
        <w:rPr>
          <w:color w:val="auto"/>
          <w:spacing w:val="-3"/>
          <w:vertAlign w:val="subscript"/>
        </w:rPr>
        <w:t>5</w:t>
      </w:r>
      <w:r w:rsidRPr="00447BF2">
        <w:rPr>
          <w:color w:val="auto"/>
          <w:spacing w:val="-3"/>
        </w:rPr>
        <w:t>S</w:t>
      </w:r>
      <w:r w:rsidRPr="00447BF2">
        <w:rPr>
          <w:b/>
          <w:color w:val="auto"/>
          <w:spacing w:val="-3"/>
        </w:rPr>
        <w:tab/>
      </w:r>
      <w:r w:rsidRPr="00447BF2">
        <w:rPr>
          <w:b/>
          <w:color w:val="auto"/>
          <w:spacing w:val="-3"/>
        </w:rPr>
        <w:tab/>
      </w:r>
      <w:r w:rsidRPr="00447BF2">
        <w:rPr>
          <w:b/>
          <w:color w:val="auto"/>
          <w:spacing w:val="-3"/>
        </w:rPr>
        <w:tab/>
        <w:t>M.W.:</w:t>
      </w:r>
      <w:r w:rsidRPr="00447BF2">
        <w:rPr>
          <w:b/>
          <w:color w:val="auto"/>
          <w:spacing w:val="-3"/>
        </w:rPr>
        <w:tab/>
      </w:r>
      <w:r w:rsidRPr="00447BF2">
        <w:rPr>
          <w:color w:val="auto"/>
          <w:spacing w:val="-3"/>
        </w:rPr>
        <w:t>195</w:t>
      </w:r>
    </w:p>
    <w:p w14:paraId="2C441F66" w14:textId="77777777" w:rsidR="001173BC" w:rsidRPr="00447BF2" w:rsidRDefault="001173BC" w:rsidP="001173BC">
      <w:pPr>
        <w:suppressAutoHyphens/>
        <w:jc w:val="both"/>
        <w:rPr>
          <w:b/>
          <w:color w:val="auto"/>
          <w:spacing w:val="-3"/>
        </w:rPr>
      </w:pPr>
    </w:p>
    <w:p w14:paraId="4C755CE7" w14:textId="77777777" w:rsidR="001173BC" w:rsidRPr="00447BF2" w:rsidRDefault="001173BC" w:rsidP="001173BC">
      <w:pPr>
        <w:suppressAutoHyphens/>
        <w:jc w:val="both"/>
        <w:rPr>
          <w:color w:val="auto"/>
          <w:spacing w:val="-3"/>
        </w:rPr>
      </w:pPr>
      <w:r w:rsidRPr="00447BF2">
        <w:rPr>
          <w:b/>
          <w:color w:val="auto"/>
          <w:spacing w:val="-3"/>
        </w:rPr>
        <w:t>Approximate Solubility:</w:t>
      </w:r>
      <w:r w:rsidRPr="00447BF2">
        <w:rPr>
          <w:b/>
          <w:color w:val="auto"/>
          <w:spacing w:val="-3"/>
        </w:rPr>
        <w:tab/>
      </w:r>
      <w:r w:rsidRPr="00447BF2">
        <w:rPr>
          <w:color w:val="auto"/>
          <w:spacing w:val="-3"/>
        </w:rPr>
        <w:t>Water = 0.1 mg/mL</w:t>
      </w:r>
    </w:p>
    <w:p w14:paraId="4D79E362" w14:textId="77777777" w:rsidR="001173BC" w:rsidRPr="00447BF2" w:rsidRDefault="001173BC" w:rsidP="001173BC">
      <w:pPr>
        <w:suppressAutoHyphens/>
        <w:jc w:val="both"/>
        <w:rPr>
          <w:color w:val="auto"/>
          <w:spacing w:val="-3"/>
        </w:rPr>
      </w:pPr>
      <w:r w:rsidRPr="00447BF2">
        <w:rPr>
          <w:color w:val="auto"/>
          <w:spacing w:val="-3"/>
        </w:rPr>
        <w:tab/>
      </w:r>
      <w:r w:rsidRPr="00447BF2">
        <w:rPr>
          <w:color w:val="auto"/>
          <w:spacing w:val="-3"/>
        </w:rPr>
        <w:tab/>
      </w:r>
      <w:r w:rsidRPr="00447BF2">
        <w:rPr>
          <w:color w:val="auto"/>
          <w:spacing w:val="-3"/>
        </w:rPr>
        <w:tab/>
      </w:r>
      <w:r w:rsidRPr="00447BF2">
        <w:rPr>
          <w:color w:val="auto"/>
          <w:spacing w:val="-3"/>
        </w:rPr>
        <w:tab/>
        <w:t>Ethanol = 1.25 mg/mL</w:t>
      </w:r>
    </w:p>
    <w:p w14:paraId="5814FBCB" w14:textId="77777777" w:rsidR="001173BC" w:rsidRPr="00447BF2" w:rsidRDefault="001173BC" w:rsidP="001173BC">
      <w:pPr>
        <w:suppressAutoHyphens/>
        <w:jc w:val="both"/>
        <w:rPr>
          <w:color w:val="auto"/>
          <w:spacing w:val="-3"/>
        </w:rPr>
      </w:pPr>
      <w:r w:rsidRPr="00447BF2">
        <w:rPr>
          <w:color w:val="auto"/>
          <w:spacing w:val="-3"/>
        </w:rPr>
        <w:tab/>
      </w:r>
      <w:r w:rsidRPr="00447BF2">
        <w:rPr>
          <w:color w:val="auto"/>
          <w:spacing w:val="-3"/>
        </w:rPr>
        <w:tab/>
      </w:r>
      <w:r w:rsidRPr="00447BF2">
        <w:rPr>
          <w:color w:val="auto"/>
          <w:spacing w:val="-3"/>
        </w:rPr>
        <w:tab/>
      </w:r>
      <w:r w:rsidRPr="00447BF2">
        <w:rPr>
          <w:color w:val="auto"/>
          <w:spacing w:val="-3"/>
        </w:rPr>
        <w:tab/>
        <w:t>PEG-300 = 15 mg/mL</w:t>
      </w:r>
    </w:p>
    <w:p w14:paraId="380C88BE" w14:textId="77777777" w:rsidR="001173BC" w:rsidRPr="00447BF2" w:rsidRDefault="001173BC" w:rsidP="001173BC">
      <w:pPr>
        <w:suppressAutoHyphens/>
        <w:jc w:val="both"/>
        <w:rPr>
          <w:color w:val="auto"/>
          <w:spacing w:val="-3"/>
        </w:rPr>
      </w:pPr>
    </w:p>
    <w:p w14:paraId="53E6AD60" w14:textId="77777777" w:rsidR="001173BC" w:rsidRPr="00447BF2" w:rsidRDefault="001173BC" w:rsidP="001173BC">
      <w:pPr>
        <w:autoSpaceDE w:val="0"/>
        <w:autoSpaceDN w:val="0"/>
        <w:adjustRightInd w:val="0"/>
        <w:ind w:left="2160" w:hanging="2160"/>
        <w:jc w:val="both"/>
        <w:rPr>
          <w:color w:val="auto"/>
        </w:rPr>
      </w:pPr>
      <w:r w:rsidRPr="00447BF2">
        <w:rPr>
          <w:b/>
          <w:color w:val="auto"/>
          <w:spacing w:val="-3"/>
        </w:rPr>
        <w:t xml:space="preserve">How Supplied: </w:t>
      </w:r>
      <w:r w:rsidRPr="00447BF2">
        <w:rPr>
          <w:color w:val="auto"/>
        </w:rPr>
        <w:t xml:space="preserve"> </w:t>
      </w:r>
      <w:r w:rsidRPr="00447BF2">
        <w:rPr>
          <w:color w:val="auto"/>
        </w:rPr>
        <w:tab/>
      </w:r>
      <w:r w:rsidRPr="00447BF2">
        <w:rPr>
          <w:color w:val="auto"/>
          <w:spacing w:val="-3"/>
        </w:rPr>
        <w:t>Triapine</w:t>
      </w:r>
      <w:r w:rsidRPr="00447BF2">
        <w:rPr>
          <w:b/>
          <w:color w:val="auto"/>
          <w:spacing w:val="-3"/>
        </w:rPr>
        <w:t xml:space="preserve"> </w:t>
      </w:r>
      <w:r w:rsidRPr="00447BF2">
        <w:rPr>
          <w:color w:val="auto"/>
          <w:spacing w:val="-3"/>
        </w:rPr>
        <w:t>capsules</w:t>
      </w:r>
      <w:r w:rsidRPr="00447BF2">
        <w:rPr>
          <w:b/>
          <w:color w:val="auto"/>
          <w:spacing w:val="-3"/>
        </w:rPr>
        <w:t xml:space="preserve"> </w:t>
      </w:r>
      <w:r w:rsidRPr="00447BF2">
        <w:rPr>
          <w:color w:val="auto"/>
        </w:rPr>
        <w:t xml:space="preserve">are supplied by </w:t>
      </w:r>
      <w:proofErr w:type="spellStart"/>
      <w:r w:rsidRPr="00447BF2">
        <w:rPr>
          <w:rFonts w:eastAsia="Calibri"/>
          <w:color w:val="auto"/>
        </w:rPr>
        <w:t>Nanopharmaceutics</w:t>
      </w:r>
      <w:proofErr w:type="spellEnd"/>
      <w:r w:rsidRPr="00447BF2">
        <w:rPr>
          <w:rFonts w:eastAsia="Calibri"/>
          <w:color w:val="auto"/>
        </w:rPr>
        <w:t>, LLC</w:t>
      </w:r>
      <w:r w:rsidRPr="00447BF2">
        <w:rPr>
          <w:color w:val="auto"/>
        </w:rPr>
        <w:t xml:space="preserve"> and distributed by the CTEP, DCTD, NCI.  Each Triapine capsule contains 50 mg of </w:t>
      </w:r>
      <w:r w:rsidRPr="00447BF2">
        <w:rPr>
          <w:color w:val="auto"/>
        </w:rPr>
        <w:lastRenderedPageBreak/>
        <w:t>Triapine in combination with Starch 1500 and Magnesium Stearate in a size 1, hard gelatin, white, opaque capsule.  Each bottle contains 30 capsules.</w:t>
      </w:r>
    </w:p>
    <w:p w14:paraId="5396193C" w14:textId="77777777" w:rsidR="001173BC" w:rsidRPr="00447BF2" w:rsidRDefault="001173BC" w:rsidP="001173BC">
      <w:pPr>
        <w:suppressAutoHyphens/>
        <w:jc w:val="both"/>
        <w:rPr>
          <w:b/>
          <w:color w:val="auto"/>
          <w:spacing w:val="-3"/>
        </w:rPr>
      </w:pPr>
    </w:p>
    <w:p w14:paraId="4052F913" w14:textId="77777777" w:rsidR="001173BC" w:rsidRPr="00447BF2" w:rsidRDefault="001173BC" w:rsidP="001173BC">
      <w:pPr>
        <w:autoSpaceDE w:val="0"/>
        <w:autoSpaceDN w:val="0"/>
        <w:adjustRightInd w:val="0"/>
        <w:ind w:left="2160" w:hanging="2160"/>
        <w:jc w:val="both"/>
        <w:rPr>
          <w:color w:val="auto"/>
        </w:rPr>
      </w:pPr>
      <w:r w:rsidRPr="00447BF2">
        <w:rPr>
          <w:b/>
          <w:color w:val="auto"/>
          <w:spacing w:val="-3"/>
        </w:rPr>
        <w:t xml:space="preserve">Storage: </w:t>
      </w:r>
      <w:r w:rsidRPr="00447BF2">
        <w:rPr>
          <w:b/>
          <w:color w:val="auto"/>
          <w:spacing w:val="-3"/>
        </w:rPr>
        <w:tab/>
      </w:r>
      <w:r w:rsidRPr="00447BF2">
        <w:rPr>
          <w:color w:val="auto"/>
          <w:spacing w:val="-3"/>
        </w:rPr>
        <w:t>S</w:t>
      </w:r>
      <w:r w:rsidRPr="00447BF2">
        <w:rPr>
          <w:color w:val="auto"/>
        </w:rPr>
        <w:t xml:space="preserve">tore </w:t>
      </w:r>
      <w:r w:rsidRPr="00447BF2">
        <w:rPr>
          <w:color w:val="auto"/>
          <w:spacing w:val="-3"/>
        </w:rPr>
        <w:t>Triapine</w:t>
      </w:r>
      <w:r w:rsidRPr="00447BF2">
        <w:rPr>
          <w:b/>
          <w:color w:val="auto"/>
          <w:spacing w:val="-3"/>
        </w:rPr>
        <w:t xml:space="preserve"> </w:t>
      </w:r>
      <w:r w:rsidRPr="00447BF2">
        <w:rPr>
          <w:color w:val="auto"/>
          <w:spacing w:val="-3"/>
        </w:rPr>
        <w:t>capsules</w:t>
      </w:r>
      <w:r w:rsidRPr="00447BF2">
        <w:rPr>
          <w:b/>
          <w:color w:val="auto"/>
          <w:spacing w:val="-3"/>
        </w:rPr>
        <w:t xml:space="preserve"> </w:t>
      </w:r>
      <w:r w:rsidRPr="00447BF2">
        <w:rPr>
          <w:color w:val="auto"/>
        </w:rPr>
        <w:t>at room temperature 25ºC, excursions permitted to 15ºC to 30ºC.</w:t>
      </w:r>
    </w:p>
    <w:p w14:paraId="4A2A256B" w14:textId="77777777" w:rsidR="001173BC" w:rsidRPr="00447BF2" w:rsidRDefault="001173BC" w:rsidP="001173BC">
      <w:pPr>
        <w:autoSpaceDE w:val="0"/>
        <w:autoSpaceDN w:val="0"/>
        <w:adjustRightInd w:val="0"/>
        <w:jc w:val="both"/>
        <w:rPr>
          <w:color w:val="auto"/>
        </w:rPr>
      </w:pPr>
    </w:p>
    <w:p w14:paraId="4DEA59B4" w14:textId="3F3BA406" w:rsidR="001173BC" w:rsidRPr="00447BF2" w:rsidRDefault="001173BC" w:rsidP="001173BC">
      <w:pPr>
        <w:suppressAutoHyphens/>
        <w:ind w:left="2160"/>
        <w:jc w:val="both"/>
        <w:rPr>
          <w:color w:val="auto"/>
          <w:spacing w:val="-3"/>
        </w:rPr>
      </w:pPr>
      <w:r w:rsidRPr="00447BF2">
        <w:rPr>
          <w:color w:val="auto"/>
          <w:spacing w:val="-3"/>
        </w:rPr>
        <w:t>If a storage temperature excursion is identified, promptly return Triapine</w:t>
      </w:r>
      <w:r w:rsidRPr="00447BF2">
        <w:rPr>
          <w:b/>
          <w:color w:val="auto"/>
          <w:spacing w:val="-3"/>
        </w:rPr>
        <w:t xml:space="preserve"> </w:t>
      </w:r>
      <w:r w:rsidRPr="00447BF2">
        <w:rPr>
          <w:color w:val="auto"/>
          <w:spacing w:val="-3"/>
        </w:rPr>
        <w:t xml:space="preserve">capsules to between 15 and 30°C and quarantine the supplies.  Provide a detailed report of the excursion (including documentation of temperature monitoring and duration of the excursion) to </w:t>
      </w:r>
      <w:hyperlink r:id="rId58" w:history="1">
        <w:r w:rsidRPr="00447BF2">
          <w:rPr>
            <w:rStyle w:val="Hyperlink"/>
            <w:color w:val="auto"/>
            <w:spacing w:val="-3"/>
          </w:rPr>
          <w:t>PMBAfterHours@mail.nih.gov</w:t>
        </w:r>
      </w:hyperlink>
      <w:r w:rsidRPr="00447BF2">
        <w:rPr>
          <w:color w:val="auto"/>
          <w:spacing w:val="-3"/>
        </w:rPr>
        <w:t xml:space="preserve"> for determination of suitability.</w:t>
      </w:r>
    </w:p>
    <w:p w14:paraId="32803472" w14:textId="77777777" w:rsidR="001173BC" w:rsidRPr="00447BF2" w:rsidRDefault="001173BC" w:rsidP="001173BC">
      <w:pPr>
        <w:suppressAutoHyphens/>
        <w:ind w:left="1440" w:hanging="1440"/>
        <w:jc w:val="both"/>
        <w:rPr>
          <w:color w:val="auto"/>
          <w:spacing w:val="-3"/>
        </w:rPr>
      </w:pPr>
    </w:p>
    <w:p w14:paraId="7B68BC06" w14:textId="77777777" w:rsidR="001173BC" w:rsidRPr="00447BF2" w:rsidRDefault="001173BC" w:rsidP="001173BC">
      <w:pPr>
        <w:autoSpaceDE w:val="0"/>
        <w:autoSpaceDN w:val="0"/>
        <w:adjustRightInd w:val="0"/>
        <w:ind w:left="2160" w:hanging="2160"/>
        <w:jc w:val="both"/>
        <w:rPr>
          <w:color w:val="auto"/>
          <w:spacing w:val="-3"/>
        </w:rPr>
      </w:pPr>
      <w:r w:rsidRPr="00447BF2">
        <w:rPr>
          <w:b/>
          <w:color w:val="auto"/>
          <w:spacing w:val="-3"/>
        </w:rPr>
        <w:t>Stability:</w:t>
      </w:r>
      <w:r w:rsidRPr="00447BF2">
        <w:rPr>
          <w:b/>
          <w:color w:val="auto"/>
          <w:spacing w:val="-3"/>
        </w:rPr>
        <w:tab/>
      </w:r>
      <w:r w:rsidRPr="00447BF2">
        <w:rPr>
          <w:color w:val="auto"/>
          <w:spacing w:val="-3"/>
        </w:rPr>
        <w:t>Shelf-life stability studies of Triapine</w:t>
      </w:r>
      <w:r w:rsidRPr="00447BF2">
        <w:rPr>
          <w:b/>
          <w:color w:val="auto"/>
          <w:spacing w:val="-3"/>
        </w:rPr>
        <w:t xml:space="preserve"> </w:t>
      </w:r>
      <w:r w:rsidRPr="00447BF2">
        <w:rPr>
          <w:color w:val="auto"/>
          <w:spacing w:val="-3"/>
        </w:rPr>
        <w:t>capsules</w:t>
      </w:r>
      <w:r w:rsidRPr="00447BF2">
        <w:rPr>
          <w:b/>
          <w:color w:val="auto"/>
          <w:spacing w:val="-3"/>
        </w:rPr>
        <w:t xml:space="preserve"> </w:t>
      </w:r>
      <w:r w:rsidRPr="00447BF2">
        <w:rPr>
          <w:color w:val="auto"/>
          <w:spacing w:val="-3"/>
        </w:rPr>
        <w:t>are on-going.</w:t>
      </w:r>
    </w:p>
    <w:p w14:paraId="7C021E5F" w14:textId="77777777" w:rsidR="001173BC" w:rsidRPr="00447BF2" w:rsidRDefault="001173BC" w:rsidP="001173BC">
      <w:pPr>
        <w:suppressAutoHyphens/>
        <w:jc w:val="both"/>
        <w:rPr>
          <w:b/>
          <w:color w:val="auto"/>
          <w:spacing w:val="-3"/>
        </w:rPr>
      </w:pPr>
    </w:p>
    <w:p w14:paraId="78542DCD" w14:textId="77777777" w:rsidR="001173BC" w:rsidRPr="00447BF2" w:rsidRDefault="001173BC" w:rsidP="001173BC">
      <w:pPr>
        <w:pStyle w:val="Default"/>
        <w:jc w:val="both"/>
        <w:rPr>
          <w:bCs/>
          <w:iCs/>
          <w:color w:val="auto"/>
        </w:rPr>
      </w:pPr>
      <w:r w:rsidRPr="00447BF2">
        <w:rPr>
          <w:b/>
          <w:color w:val="auto"/>
          <w:spacing w:val="-3"/>
        </w:rPr>
        <w:t>Route</w:t>
      </w:r>
      <w:r w:rsidRPr="00447BF2">
        <w:rPr>
          <w:color w:val="auto"/>
          <w:spacing w:val="-3"/>
        </w:rPr>
        <w:t xml:space="preserve"> </w:t>
      </w:r>
      <w:r w:rsidRPr="00447BF2">
        <w:rPr>
          <w:b/>
          <w:color w:val="auto"/>
          <w:spacing w:val="-3"/>
        </w:rPr>
        <w:t>of Administration:</w:t>
      </w:r>
      <w:r w:rsidRPr="00447BF2">
        <w:rPr>
          <w:color w:val="auto"/>
          <w:spacing w:val="-3"/>
        </w:rPr>
        <w:tab/>
        <w:t xml:space="preserve"> Oral administration.  </w:t>
      </w:r>
      <w:r w:rsidRPr="00447BF2">
        <w:rPr>
          <w:color w:val="auto"/>
        </w:rPr>
        <w:t xml:space="preserve">Patients will be asked to fast (except for water) for 2 hours prior to dosing and for 1 hour after ingesting the oral dose.  </w:t>
      </w:r>
      <w:r w:rsidRPr="00447BF2">
        <w:rPr>
          <w:bCs/>
          <w:iCs/>
          <w:color w:val="auto"/>
        </w:rPr>
        <w:t>Capsules should not be opened.</w:t>
      </w:r>
    </w:p>
    <w:p w14:paraId="61DDE048" w14:textId="77777777" w:rsidR="00C479A8" w:rsidRPr="00447BF2" w:rsidRDefault="00C479A8" w:rsidP="00426D13">
      <w:pPr>
        <w:rPr>
          <w:color w:val="auto"/>
          <w:highlight w:val="cyan"/>
        </w:rPr>
      </w:pPr>
    </w:p>
    <w:p w14:paraId="17F22664" w14:textId="77777777" w:rsidR="00C479A8" w:rsidRPr="00447BF2" w:rsidRDefault="00C479A8" w:rsidP="00426D13">
      <w:pPr>
        <w:rPr>
          <w:b/>
          <w:color w:val="auto"/>
        </w:rPr>
      </w:pPr>
      <w:r w:rsidRPr="00447BF2">
        <w:rPr>
          <w:b/>
          <w:color w:val="auto"/>
        </w:rPr>
        <w:t>Availability</w:t>
      </w:r>
    </w:p>
    <w:p w14:paraId="3FB783F3" w14:textId="77777777" w:rsidR="00C479A8" w:rsidRPr="00447BF2" w:rsidRDefault="00C479A8" w:rsidP="00426D13">
      <w:pPr>
        <w:rPr>
          <w:color w:val="auto"/>
        </w:rPr>
      </w:pPr>
    </w:p>
    <w:p w14:paraId="7E4DCEE6" w14:textId="2A3261F4" w:rsidR="00C479A8" w:rsidRPr="00447BF2" w:rsidRDefault="0023510F" w:rsidP="00426D13">
      <w:pPr>
        <w:rPr>
          <w:color w:val="auto"/>
        </w:rPr>
      </w:pPr>
      <w:r w:rsidRPr="00447BF2">
        <w:rPr>
          <w:color w:val="auto"/>
        </w:rPr>
        <w:t>Triapine</w:t>
      </w:r>
      <w:r w:rsidR="00C479A8" w:rsidRPr="00447BF2">
        <w:rPr>
          <w:color w:val="auto"/>
        </w:rPr>
        <w:t xml:space="preserve"> is an investigational agent supplied to investigators by the Division of Cancer Treatment and Diagnosis (DCTD), NCI.</w:t>
      </w:r>
    </w:p>
    <w:p w14:paraId="0907C202" w14:textId="77777777" w:rsidR="00C479A8" w:rsidRPr="00447BF2" w:rsidRDefault="00C479A8" w:rsidP="00426D13">
      <w:pPr>
        <w:rPr>
          <w:color w:val="auto"/>
        </w:rPr>
      </w:pPr>
    </w:p>
    <w:p w14:paraId="09AA8CF0" w14:textId="3746796A" w:rsidR="00C479A8" w:rsidRPr="005252CB" w:rsidRDefault="00F463BF" w:rsidP="00426D13">
      <w:r w:rsidRPr="00447BF2">
        <w:rPr>
          <w:color w:val="auto"/>
        </w:rPr>
        <w:t xml:space="preserve">Triapine </w:t>
      </w:r>
      <w:r w:rsidR="00C479A8" w:rsidRPr="00447BF2">
        <w:rPr>
          <w:color w:val="auto"/>
        </w:rPr>
        <w:t xml:space="preserve">is </w:t>
      </w:r>
      <w:r w:rsidR="00C479A8" w:rsidRPr="005252CB">
        <w:t>provided to the NCI under a Collaborative Agreement between the Pharmaceutical Collaborator and the DCTD, NCI (see Sectio</w:t>
      </w:r>
      <w:r w:rsidR="000B32DE">
        <w:t>n 13</w:t>
      </w:r>
      <w:r w:rsidR="00C479A8" w:rsidRPr="005252CB">
        <w:t>.</w:t>
      </w:r>
      <w:r w:rsidR="008677C4">
        <w:t>5</w:t>
      </w:r>
      <w:r w:rsidR="00C479A8" w:rsidRPr="005252CB">
        <w:t>).</w:t>
      </w:r>
    </w:p>
    <w:p w14:paraId="3EACD30A" w14:textId="77777777" w:rsidR="00C479A8" w:rsidRPr="007300F3" w:rsidRDefault="00C479A8" w:rsidP="00CD3A17">
      <w:pPr>
        <w:suppressAutoHyphens/>
      </w:pPr>
      <w:bookmarkStart w:id="99" w:name="_Hlk502774199"/>
    </w:p>
    <w:p w14:paraId="0728FED4" w14:textId="77777777" w:rsidR="00C479A8" w:rsidRPr="00C312CF" w:rsidRDefault="00C479A8" w:rsidP="00C312CF">
      <w:pPr>
        <w:pStyle w:val="Level3Heading"/>
        <w:rPr>
          <w:u w:val="single"/>
        </w:rPr>
      </w:pPr>
      <w:r w:rsidRPr="00C312CF">
        <w:rPr>
          <w:u w:val="single"/>
        </w:rPr>
        <w:t>Agent Ordering and Agent Accountability</w:t>
      </w:r>
    </w:p>
    <w:p w14:paraId="4AC4B679" w14:textId="77777777" w:rsidR="006C0D77" w:rsidRPr="007300F3" w:rsidRDefault="006C0D77" w:rsidP="009E246E">
      <w:pPr>
        <w:tabs>
          <w:tab w:val="left" w:pos="0"/>
          <w:tab w:val="left" w:pos="360"/>
          <w:tab w:val="left" w:pos="720"/>
          <w:tab w:val="left" w:pos="1086"/>
          <w:tab w:val="left" w:pos="1440"/>
          <w:tab w:val="left" w:pos="1802"/>
          <w:tab w:val="left" w:pos="2160"/>
          <w:tab w:val="left" w:pos="2520"/>
          <w:tab w:val="left" w:pos="2880"/>
        </w:tabs>
        <w:suppressAutoHyphens/>
      </w:pPr>
    </w:p>
    <w:p w14:paraId="77992748" w14:textId="77777777" w:rsidR="006C0D77" w:rsidRDefault="006C0D77" w:rsidP="00C312CF">
      <w:pPr>
        <w:pStyle w:val="Level4Heading"/>
      </w:pPr>
      <w:r w:rsidRPr="00275B8C">
        <w:t xml:space="preserve">NCI-supplied agents may be requested by </w:t>
      </w:r>
      <w:r>
        <w:t>eligible participating</w:t>
      </w:r>
      <w:r w:rsidRPr="00275B8C">
        <w:t xml:space="preserve"> Investigator</w:t>
      </w:r>
      <w:r>
        <w:t>s</w:t>
      </w:r>
      <w:r w:rsidRPr="00275B8C">
        <w:t xml:space="preserve"> (or their authorized designee) at each participating institution.  The CTEP-assigned protocol number must be used for ordering all CTEP-supplied investigational agents.  The </w:t>
      </w:r>
      <w:r>
        <w:t>eligible participating</w:t>
      </w:r>
      <w:r w:rsidRPr="00275B8C">
        <w:t xml:space="preserve"> investigator</w:t>
      </w:r>
      <w:r>
        <w:t>s</w:t>
      </w:r>
      <w:r w:rsidRPr="00275B8C">
        <w:t xml:space="preserve"> at each participating institution must be registered with CTEP, DCTD through an annual submission of FDA Form 1572 (Statement of Investigator), </w:t>
      </w:r>
      <w:r>
        <w:t>NCI Biosketch</w:t>
      </w:r>
      <w:r w:rsidRPr="00275B8C">
        <w:t xml:space="preserve">, </w:t>
      </w:r>
      <w:r>
        <w:t>Agent Shipment</w:t>
      </w:r>
      <w:r w:rsidR="00055B4E">
        <w:t xml:space="preserve"> Form</w:t>
      </w:r>
      <w:r w:rsidRPr="00275B8C">
        <w:t xml:space="preserve">, and Financial Disclosure Form (FDF).  If there are several participating investigators at one institution, CTEP-supplied investigational agents for the study should be ordered under the name of one lead </w:t>
      </w:r>
      <w:r>
        <w:t xml:space="preserve">participating </w:t>
      </w:r>
      <w:r w:rsidRPr="00275B8C">
        <w:t>investigator at that institution.</w:t>
      </w:r>
    </w:p>
    <w:p w14:paraId="4984E181" w14:textId="77777777" w:rsidR="006C0D77" w:rsidRDefault="006C0D77" w:rsidP="000F0665">
      <w:pPr>
        <w:ind w:left="1080"/>
      </w:pPr>
    </w:p>
    <w:p w14:paraId="09CBDE85" w14:textId="645D9794" w:rsidR="006C0D77" w:rsidRPr="003875BE" w:rsidRDefault="00AB7321" w:rsidP="000F0665">
      <w:pPr>
        <w:ind w:left="1080"/>
        <w:rPr>
          <w:i/>
          <w:iCs/>
        </w:rPr>
      </w:pPr>
      <w:r w:rsidRPr="003875BE">
        <w:rPr>
          <w:i/>
          <w:iCs/>
        </w:rPr>
        <w:t>[</w:t>
      </w:r>
      <w:r w:rsidR="00A22C09" w:rsidRPr="003875BE">
        <w:rPr>
          <w:i/>
          <w:iCs/>
        </w:rPr>
        <w:t>The CTEP Pharmaceutical Management Branch (</w:t>
      </w:r>
      <w:r w:rsidR="006C0D77" w:rsidRPr="003875BE">
        <w:rPr>
          <w:i/>
          <w:iCs/>
        </w:rPr>
        <w:t>PMB</w:t>
      </w:r>
      <w:r w:rsidR="00A22C09" w:rsidRPr="003875BE">
        <w:rPr>
          <w:i/>
          <w:iCs/>
        </w:rPr>
        <w:t>)</w:t>
      </w:r>
      <w:r w:rsidR="006C0D77" w:rsidRPr="003875BE">
        <w:rPr>
          <w:i/>
          <w:iCs/>
        </w:rPr>
        <w:t xml:space="preserve"> will provide direction as to when sites can order PMB-supplied agents.</w:t>
      </w:r>
      <w:r w:rsidRPr="003875BE">
        <w:rPr>
          <w:i/>
          <w:iCs/>
        </w:rPr>
        <w:t>]</w:t>
      </w:r>
    </w:p>
    <w:p w14:paraId="6D2440D2" w14:textId="77777777" w:rsidR="006C0D77" w:rsidRPr="007D2844" w:rsidRDefault="006C0D77" w:rsidP="000F0665">
      <w:pPr>
        <w:ind w:left="1080"/>
      </w:pPr>
    </w:p>
    <w:p w14:paraId="22D7B473" w14:textId="55D0B94F" w:rsidR="006C0D77" w:rsidRDefault="006C0D77" w:rsidP="009E246E">
      <w:pPr>
        <w:ind w:left="1080"/>
      </w:pPr>
      <w:r>
        <w:t>S</w:t>
      </w:r>
      <w:r w:rsidRPr="00706377">
        <w:t xml:space="preserve">ubmit agent requests through the PMB </w:t>
      </w:r>
      <w:r w:rsidR="007D01A2">
        <w:t>AURORA</w:t>
      </w:r>
      <w:r w:rsidRPr="00706377">
        <w:t xml:space="preserve"> application.  Access to </w:t>
      </w:r>
      <w:r w:rsidR="007D01A2">
        <w:t>AURORA</w:t>
      </w:r>
      <w:r w:rsidR="007D01A2" w:rsidRPr="00706377">
        <w:t xml:space="preserve"> </w:t>
      </w:r>
      <w:r w:rsidRPr="00706377">
        <w:t>re</w:t>
      </w:r>
      <w:r>
        <w:t xml:space="preserve">quires the </w:t>
      </w:r>
      <w:r w:rsidRPr="00706377">
        <w:t xml:space="preserve">establishment of </w:t>
      </w:r>
      <w:r w:rsidR="007D01A2" w:rsidRPr="00EF46C2">
        <w:t>credentials necessary to access secure NCI Clinical Oncology Research Enterprise (CORE) systems</w:t>
      </w:r>
      <w:r w:rsidR="007D01A2">
        <w:t>,</w:t>
      </w:r>
      <w:r w:rsidRPr="00706377">
        <w:t xml:space="preserve"> maintenance of an “active” account status</w:t>
      </w:r>
      <w:r>
        <w:t>,</w:t>
      </w:r>
      <w:r w:rsidRPr="00706377">
        <w:t xml:space="preserve"> a “current” password</w:t>
      </w:r>
      <w:r>
        <w:t>, and active person registration status</w:t>
      </w:r>
      <w:r w:rsidRPr="00706377">
        <w:t>.  For questions about drug orders, transfers, returns, or accountability, call or email PMB any time</w:t>
      </w:r>
      <w:r w:rsidR="007D01A2">
        <w:t xml:space="preserve"> </w:t>
      </w:r>
      <w:r w:rsidR="007D01A2" w:rsidRPr="00EF46C2">
        <w:t xml:space="preserve">or </w:t>
      </w:r>
      <w:r w:rsidR="007D01A2" w:rsidRPr="00EF46C2">
        <w:lastRenderedPageBreak/>
        <w:t>use the dialog function in AURORA to communicate with PMB staff</w:t>
      </w:r>
      <w:r w:rsidRPr="00706377">
        <w:t xml:space="preserve">. </w:t>
      </w:r>
      <w:r>
        <w:t xml:space="preserve"> </w:t>
      </w:r>
      <w:r w:rsidRPr="00706377">
        <w:t xml:space="preserve">Refer to the PMB’s </w:t>
      </w:r>
      <w:r w:rsidR="00B60158">
        <w:t>website</w:t>
      </w:r>
      <w:r w:rsidRPr="00706377">
        <w:t xml:space="preserve"> for specific policies and guidelines related to agent management.  </w:t>
      </w:r>
    </w:p>
    <w:p w14:paraId="48325281" w14:textId="77777777" w:rsidR="006C0D77" w:rsidRDefault="006C0D77"/>
    <w:p w14:paraId="4D93F794" w14:textId="43620130" w:rsidR="00C479A8" w:rsidRDefault="00C479A8" w:rsidP="00C312CF">
      <w:pPr>
        <w:pStyle w:val="Level4Heading"/>
      </w:pPr>
      <w:r w:rsidRPr="005305EC">
        <w:rPr>
          <w:u w:val="single"/>
        </w:rPr>
        <w:t>Agent Inventory Records</w:t>
      </w:r>
      <w:r w:rsidRPr="00751754">
        <w:t xml:space="preserve"> – The investigator, or a responsible party designated by the investigator, must maintain a </w:t>
      </w:r>
      <w:r w:rsidR="007D01A2">
        <w:t>complete accountability</w:t>
      </w:r>
      <w:r w:rsidRPr="00751754">
        <w:t xml:space="preserve"> of the receipt, dispensing and final disposition of all agents received from the PMB using the appropriate NCI Investigational Agent (Drug) Accountability Record (DARF) available on the CTEP forms page.  Store and maintain separate NCI Investigational Agent Accountability Records for each agent, strength, formulation and ordering investigator on this protocol.</w:t>
      </w:r>
    </w:p>
    <w:p w14:paraId="4C2E8E0E" w14:textId="77777777" w:rsidR="007D01A2" w:rsidRDefault="007D01A2" w:rsidP="007D01A2"/>
    <w:p w14:paraId="06C2EFE9" w14:textId="01ED2715" w:rsidR="007D01A2" w:rsidRPr="007D01A2" w:rsidRDefault="007D01A2" w:rsidP="00E8731D">
      <w:pPr>
        <w:ind w:left="1080"/>
      </w:pPr>
      <w:r w:rsidRPr="00C95F24">
        <w:rPr>
          <w:bCs/>
        </w:rPr>
        <w:t>Product Quality Complaint (PQC):</w:t>
      </w:r>
      <w:r w:rsidRPr="00EF46C2">
        <w:rPr>
          <w:bCs/>
        </w:rPr>
        <w:t xml:space="preserve"> </w:t>
      </w:r>
      <w:r>
        <w:t>A</w:t>
      </w:r>
      <w:r w:rsidRPr="00C95F24">
        <w:t xml:space="preserve"> product quality complaint is </w:t>
      </w:r>
      <w:r w:rsidRPr="009241C6">
        <w:t>defined as any suspicion of a product defect</w:t>
      </w:r>
      <w:r w:rsidRPr="00C95F24">
        <w:t xml:space="preserve"> related to a potential quality issue during manufacturing, packaging, release testing, stability monitoring, dose preparation, storage or distribution of the product, or delivery system.  Not all PQCs involve a </w:t>
      </w:r>
      <w:r>
        <w:t xml:space="preserve">study </w:t>
      </w:r>
      <w:r w:rsidRPr="00C95F24">
        <w:t xml:space="preserve">subject.  Lot </w:t>
      </w:r>
      <w:r>
        <w:t xml:space="preserve">or </w:t>
      </w:r>
      <w:r w:rsidRPr="00C95F24">
        <w:t>batch numbers are of high significance and need to be provided where and when possible.</w:t>
      </w:r>
      <w:r>
        <w:t xml:space="preserve"> PQC must be reported </w:t>
      </w:r>
      <w:r w:rsidRPr="006F357C">
        <w:t xml:space="preserve">to the </w:t>
      </w:r>
      <w:r>
        <w:t xml:space="preserve">PMB as soon as the PQC is identified.  Report PQC to PMB at </w:t>
      </w:r>
      <w:hyperlink r:id="rId59" w:history="1">
        <w:r w:rsidRPr="00E77329">
          <w:rPr>
            <w:rStyle w:val="Hyperlink"/>
          </w:rPr>
          <w:t>PMBAfterHours@mail.nih.gov</w:t>
        </w:r>
      </w:hyperlink>
      <w:r w:rsidRPr="002816F3">
        <w:rPr>
          <w:rStyle w:val="Hyperlink"/>
          <w:color w:val="auto"/>
          <w:u w:val="none"/>
        </w:rPr>
        <w:t xml:space="preserve"> or by using</w:t>
      </w:r>
      <w:r w:rsidRPr="002816F3">
        <w:rPr>
          <w:color w:val="auto"/>
        </w:rPr>
        <w:t xml:space="preserve"> </w:t>
      </w:r>
      <w:r>
        <w:t>the dialog function in AURORA to communicate with PMB staff</w:t>
      </w:r>
      <w:r w:rsidRPr="00706377">
        <w:t>.</w:t>
      </w:r>
    </w:p>
    <w:p w14:paraId="408DC501" w14:textId="77777777" w:rsidR="00C479A8" w:rsidRDefault="00C479A8" w:rsidP="00C479A8">
      <w:pPr>
        <w:ind w:left="1080"/>
      </w:pPr>
    </w:p>
    <w:p w14:paraId="5F1130B6" w14:textId="1FAAFA27" w:rsidR="00482B0A" w:rsidRPr="003875BE" w:rsidRDefault="00482B0A" w:rsidP="00482B0A">
      <w:pPr>
        <w:pStyle w:val="Level3Heading"/>
        <w:rPr>
          <w:u w:val="single"/>
        </w:rPr>
      </w:pPr>
      <w:r w:rsidRPr="003875BE">
        <w:rPr>
          <w:u w:val="single"/>
        </w:rPr>
        <w:t>Material Safety Data Sheets</w:t>
      </w:r>
    </w:p>
    <w:p w14:paraId="7200FF0D" w14:textId="77777777" w:rsidR="00482B0A" w:rsidRPr="00482B0A" w:rsidRDefault="00482B0A" w:rsidP="00482B0A"/>
    <w:p w14:paraId="74DDE2E8" w14:textId="79BCEBDD" w:rsidR="00482B0A" w:rsidRDefault="00482B0A" w:rsidP="00562B10">
      <w:pPr>
        <w:pStyle w:val="ListParagraph"/>
        <w:numPr>
          <w:ilvl w:val="0"/>
          <w:numId w:val="67"/>
        </w:numPr>
      </w:pPr>
      <w:r w:rsidRPr="00EF46C2">
        <w:t xml:space="preserve">The current versions of the material safety data sheets (MSDS or SDS) for PMB-distributed agents will be accessible to site investigators and research staff through the PMB AURORA application. Questions about MSDS access may be directed to the PMB at </w:t>
      </w:r>
      <w:hyperlink r:id="rId60" w:history="1">
        <w:r w:rsidRPr="00EF46C2">
          <w:rPr>
            <w:rStyle w:val="Hyperlink"/>
          </w:rPr>
          <w:t>PMBAfterHours@mail.nih.gov</w:t>
        </w:r>
      </w:hyperlink>
      <w:r w:rsidRPr="00EF46C2">
        <w:t xml:space="preserve"> or by using the dialog function in AURORA to communicate with PMB staff.</w:t>
      </w:r>
    </w:p>
    <w:p w14:paraId="7F6F9D48" w14:textId="77777777" w:rsidR="00482B0A" w:rsidRDefault="00482B0A" w:rsidP="00482B0A"/>
    <w:p w14:paraId="19CB81D8" w14:textId="77777777" w:rsidR="00C479A8" w:rsidRPr="00C312CF" w:rsidRDefault="00C479A8" w:rsidP="00C312CF">
      <w:pPr>
        <w:pStyle w:val="Level3Heading"/>
        <w:rPr>
          <w:u w:val="single"/>
        </w:rPr>
      </w:pPr>
      <w:r w:rsidRPr="00C312CF">
        <w:rPr>
          <w:u w:val="single"/>
        </w:rPr>
        <w:t>Investigator Brochure Availability</w:t>
      </w:r>
    </w:p>
    <w:p w14:paraId="3BD67C53" w14:textId="77777777" w:rsidR="001A1404" w:rsidRDefault="001A1404" w:rsidP="00426D13">
      <w:pPr>
        <w:rPr>
          <w:bCs/>
          <w:iCs/>
        </w:rPr>
      </w:pPr>
    </w:p>
    <w:p w14:paraId="2F410413" w14:textId="0C28221F" w:rsidR="006C0D77" w:rsidRPr="00DA3606" w:rsidRDefault="006C0D77" w:rsidP="00426D13">
      <w:r w:rsidRPr="005F718D">
        <w:rPr>
          <w:bCs/>
          <w:iCs/>
        </w:rPr>
        <w:t xml:space="preserve">The current versions of the IBs for the agents will be accessible to site investigators and research staff </w:t>
      </w:r>
      <w:r w:rsidRPr="005F718D">
        <w:t xml:space="preserve">through the PMB </w:t>
      </w:r>
      <w:r w:rsidR="00482B0A">
        <w:t>AURORA</w:t>
      </w:r>
      <w:r w:rsidR="00482B0A" w:rsidRPr="005F718D">
        <w:t xml:space="preserve"> </w:t>
      </w:r>
      <w:r w:rsidRPr="005F718D">
        <w:t xml:space="preserve">application.  Access to </w:t>
      </w:r>
      <w:r w:rsidR="00482B0A">
        <w:t>AURORA</w:t>
      </w:r>
      <w:r w:rsidR="00482B0A" w:rsidRPr="005F718D">
        <w:t xml:space="preserve"> </w:t>
      </w:r>
      <w:r w:rsidRPr="005F718D">
        <w:t xml:space="preserve">requires the establishment of </w:t>
      </w:r>
      <w:r w:rsidR="00482B0A" w:rsidRPr="00EF46C2">
        <w:t>credentials necessary to access secure NCI Clinical Oncology Research Enterprise (CORE) systems</w:t>
      </w:r>
      <w:r w:rsidR="00482B0A">
        <w:t>,</w:t>
      </w:r>
      <w:r w:rsidRPr="005F718D">
        <w:t xml:space="preserve"> maintenance of an “active” account status</w:t>
      </w:r>
      <w:r>
        <w:t>,</w:t>
      </w:r>
      <w:r w:rsidRPr="005F718D">
        <w:t xml:space="preserve"> a “current” password</w:t>
      </w:r>
      <w:r>
        <w:t xml:space="preserve"> and active person registration status</w:t>
      </w:r>
      <w:r w:rsidRPr="005F718D">
        <w:t>.  Questions about IB access</w:t>
      </w:r>
      <w:r>
        <w:t xml:space="preserve"> may be directed to the PMB IB C</w:t>
      </w:r>
      <w:r w:rsidRPr="005F718D">
        <w:t>oordinator via email.</w:t>
      </w:r>
    </w:p>
    <w:p w14:paraId="6C46271D" w14:textId="77777777" w:rsidR="00C479A8" w:rsidRPr="00336502" w:rsidRDefault="00C479A8" w:rsidP="00C479A8">
      <w:pPr>
        <w:ind w:left="720"/>
      </w:pPr>
    </w:p>
    <w:p w14:paraId="5A57780C" w14:textId="77777777" w:rsidR="00C479A8" w:rsidRPr="00C312CF" w:rsidRDefault="00C479A8" w:rsidP="00C312CF">
      <w:pPr>
        <w:pStyle w:val="Level3Heading"/>
        <w:rPr>
          <w:u w:val="single"/>
        </w:rPr>
      </w:pPr>
      <w:r w:rsidRPr="00C312CF">
        <w:rPr>
          <w:u w:val="single"/>
        </w:rPr>
        <w:t>Useful Links and Contacts</w:t>
      </w:r>
    </w:p>
    <w:p w14:paraId="68A54F94" w14:textId="344AC934" w:rsidR="006C0D77" w:rsidRPr="00E77329" w:rsidRDefault="006C0D77" w:rsidP="00562B10">
      <w:pPr>
        <w:pStyle w:val="ListParagraph"/>
        <w:numPr>
          <w:ilvl w:val="1"/>
          <w:numId w:val="27"/>
        </w:numPr>
        <w:ind w:left="720"/>
      </w:pPr>
      <w:r w:rsidRPr="00E77329">
        <w:t xml:space="preserve">CTEP Forms, Templates, Documents:  </w:t>
      </w:r>
      <w:hyperlink r:id="rId61" w:history="1">
        <w:r w:rsidR="00464DA6" w:rsidRPr="003607C2">
          <w:rPr>
            <w:rStyle w:val="Hyperlink"/>
          </w:rPr>
          <w:t>http://ctep.cancer.gov/forms/</w:t>
        </w:r>
      </w:hyperlink>
    </w:p>
    <w:p w14:paraId="28EADE33" w14:textId="3F5C4E40" w:rsidR="006C0D77" w:rsidRPr="00E77329" w:rsidRDefault="006C0D77" w:rsidP="00562B10">
      <w:pPr>
        <w:pStyle w:val="ListParagraph"/>
        <w:numPr>
          <w:ilvl w:val="1"/>
          <w:numId w:val="27"/>
        </w:numPr>
        <w:ind w:left="720"/>
      </w:pPr>
      <w:r w:rsidRPr="00E77329">
        <w:t xml:space="preserve">NCI CTEP Investigator Registration:  </w:t>
      </w:r>
      <w:hyperlink r:id="rId62" w:history="1">
        <w:r w:rsidR="00464DA6" w:rsidRPr="008246EA">
          <w:rPr>
            <w:rStyle w:val="Hyperlink"/>
            <w:szCs w:val="22"/>
          </w:rPr>
          <w:t>RCRHelpDesk@nih.gov</w:t>
        </w:r>
      </w:hyperlink>
    </w:p>
    <w:p w14:paraId="555B008D" w14:textId="5E6B6AC2" w:rsidR="006C0D77" w:rsidRPr="00E77329" w:rsidRDefault="006C0D77" w:rsidP="00562B10">
      <w:pPr>
        <w:pStyle w:val="ListParagraph"/>
        <w:numPr>
          <w:ilvl w:val="1"/>
          <w:numId w:val="27"/>
        </w:numPr>
        <w:ind w:left="720"/>
      </w:pPr>
      <w:r w:rsidRPr="00E77329">
        <w:t xml:space="preserve">PMB policies and guidelines: </w:t>
      </w:r>
      <w:hyperlink r:id="rId63" w:history="1">
        <w:r w:rsidR="00464DA6" w:rsidRPr="00E77329">
          <w:rPr>
            <w:rStyle w:val="Hyperlink"/>
          </w:rPr>
          <w:t>http://ctep.cancer.gov/branches/pmb/agent_management.htm</w:t>
        </w:r>
      </w:hyperlink>
      <w:r w:rsidRPr="00E77329">
        <w:t xml:space="preserve"> </w:t>
      </w:r>
    </w:p>
    <w:p w14:paraId="1F30F9A4" w14:textId="3A806DBE" w:rsidR="006C0D77" w:rsidRPr="005305EC" w:rsidRDefault="006C0D77" w:rsidP="00562B10">
      <w:pPr>
        <w:pStyle w:val="ListParagraph"/>
        <w:numPr>
          <w:ilvl w:val="1"/>
          <w:numId w:val="27"/>
        </w:numPr>
        <w:ind w:left="720"/>
        <w:rPr>
          <w:snapToGrid/>
          <w:color w:val="auto"/>
          <w:sz w:val="22"/>
          <w:szCs w:val="22"/>
        </w:rPr>
      </w:pPr>
      <w:r w:rsidRPr="00E77329">
        <w:t xml:space="preserve">PMB </w:t>
      </w:r>
      <w:r w:rsidR="00482B0A">
        <w:t>AURORA</w:t>
      </w:r>
      <w:r w:rsidRPr="00E77329">
        <w:t xml:space="preserve"> application:</w:t>
      </w:r>
      <w:r w:rsidR="00482B0A" w:rsidRPr="00482B0A">
        <w:t xml:space="preserve"> </w:t>
      </w:r>
      <w:hyperlink r:id="rId64" w:history="1">
        <w:r w:rsidR="00482B0A" w:rsidRPr="008E79E4">
          <w:rPr>
            <w:rStyle w:val="Hyperlink"/>
          </w:rPr>
          <w:t>https://ctepcore.nci.nih.gov/aurora/login</w:t>
        </w:r>
      </w:hyperlink>
      <w:r w:rsidR="00055B4E">
        <w:t xml:space="preserve"> </w:t>
      </w:r>
      <w:r w:rsidR="00401CC2" w:rsidDel="00401CC2">
        <w:t xml:space="preserve"> </w:t>
      </w:r>
    </w:p>
    <w:p w14:paraId="34E5C8F1" w14:textId="2B63C936" w:rsidR="006C0D77" w:rsidRPr="00E77329" w:rsidRDefault="006C0D77" w:rsidP="00562B10">
      <w:pPr>
        <w:pStyle w:val="ListParagraph"/>
        <w:numPr>
          <w:ilvl w:val="1"/>
          <w:numId w:val="27"/>
        </w:numPr>
        <w:ind w:left="720"/>
      </w:pPr>
      <w:r w:rsidRPr="00E77329">
        <w:t xml:space="preserve">CTEP Identity and Access Management (IAM) account: </w:t>
      </w:r>
      <w:hyperlink r:id="rId65" w:history="1">
        <w:r w:rsidR="00464DA6" w:rsidRPr="00CF436C">
          <w:rPr>
            <w:rStyle w:val="Hyperlink"/>
          </w:rPr>
          <w:t>https://ctepcore.nci.nih.gov/iam/</w:t>
        </w:r>
      </w:hyperlink>
    </w:p>
    <w:p w14:paraId="6E5AA083" w14:textId="4012C5A0" w:rsidR="006C0D77" w:rsidRPr="00A13713" w:rsidRDefault="006C0D77" w:rsidP="00562B10">
      <w:pPr>
        <w:pStyle w:val="ListParagraph"/>
        <w:numPr>
          <w:ilvl w:val="1"/>
          <w:numId w:val="27"/>
        </w:numPr>
        <w:ind w:left="720"/>
      </w:pPr>
      <w:r w:rsidRPr="00E77329">
        <w:t xml:space="preserve">CTEP IAM account </w:t>
      </w:r>
      <w:r w:rsidRPr="007B0872">
        <w:t>help:</w:t>
      </w:r>
      <w:r w:rsidRPr="00E77329">
        <w:t xml:space="preserve">  </w:t>
      </w:r>
      <w:hyperlink r:id="rId66" w:history="1">
        <w:r w:rsidR="00464DA6" w:rsidRPr="004D69B2">
          <w:rPr>
            <w:color w:val="0000FF"/>
            <w:u w:val="single"/>
          </w:rPr>
          <w:t>ctepreghelp@ctep.nci.nih.gov</w:t>
        </w:r>
      </w:hyperlink>
    </w:p>
    <w:p w14:paraId="25CCAF10" w14:textId="14FDDECD" w:rsidR="006C0D77" w:rsidRPr="00E77329" w:rsidRDefault="006C0D77" w:rsidP="00562B10">
      <w:pPr>
        <w:pStyle w:val="ListParagraph"/>
        <w:numPr>
          <w:ilvl w:val="1"/>
          <w:numId w:val="27"/>
        </w:numPr>
        <w:ind w:left="720"/>
      </w:pPr>
      <w:r>
        <w:t xml:space="preserve">IB Coordinator:  </w:t>
      </w:r>
      <w:hyperlink r:id="rId67" w:history="1">
        <w:r w:rsidR="00464DA6" w:rsidRPr="00D7651C">
          <w:rPr>
            <w:rStyle w:val="Hyperlink"/>
          </w:rPr>
          <w:t>IBCoordinator@mail.nih.gov</w:t>
        </w:r>
      </w:hyperlink>
    </w:p>
    <w:p w14:paraId="3864BAD3" w14:textId="771ADD0C" w:rsidR="006C0D77" w:rsidRPr="00E77329" w:rsidRDefault="006C0D77" w:rsidP="00562B10">
      <w:pPr>
        <w:pStyle w:val="ListParagraph"/>
        <w:numPr>
          <w:ilvl w:val="1"/>
          <w:numId w:val="27"/>
        </w:numPr>
        <w:ind w:left="720"/>
      </w:pPr>
      <w:r w:rsidRPr="00E77329">
        <w:lastRenderedPageBreak/>
        <w:t xml:space="preserve">PMB email:  </w:t>
      </w:r>
      <w:hyperlink r:id="rId68" w:history="1">
        <w:r w:rsidRPr="00E77329">
          <w:rPr>
            <w:rStyle w:val="Hyperlink"/>
          </w:rPr>
          <w:t>PMBAfterHours@mail.nih.gov</w:t>
        </w:r>
      </w:hyperlink>
    </w:p>
    <w:p w14:paraId="0B600B78" w14:textId="77777777" w:rsidR="006C0D77" w:rsidRPr="00E77329" w:rsidRDefault="006C0D77" w:rsidP="00562B10">
      <w:pPr>
        <w:pStyle w:val="ListParagraph"/>
        <w:numPr>
          <w:ilvl w:val="1"/>
          <w:numId w:val="27"/>
        </w:numPr>
        <w:ind w:left="720"/>
      </w:pPr>
      <w:r w:rsidRPr="007B0872">
        <w:t>PMB phone and hours of service:</w:t>
      </w:r>
      <w:r w:rsidRPr="00E77329">
        <w:t xml:space="preserve"> (240) 276-6575 Monday through Friday between 8:30 am and 4:30 pm (ET)</w:t>
      </w:r>
    </w:p>
    <w:bookmarkEnd w:id="99"/>
    <w:p w14:paraId="3832B79D" w14:textId="77777777" w:rsidR="0086607B" w:rsidRDefault="0086607B" w:rsidP="009E246E">
      <w:pPr>
        <w:suppressAutoHyphens/>
      </w:pPr>
    </w:p>
    <w:p w14:paraId="005A6BB6" w14:textId="14A0A8A7" w:rsidR="00C479A8" w:rsidRPr="007300F3" w:rsidRDefault="00C479A8" w:rsidP="00C94562">
      <w:pPr>
        <w:pStyle w:val="Heading1"/>
      </w:pPr>
      <w:bookmarkStart w:id="100" w:name="_Toc176419923"/>
      <w:r w:rsidRPr="007300F3">
        <w:t>STATISTICAL CONSIDERATIONS</w:t>
      </w:r>
      <w:bookmarkEnd w:id="100"/>
    </w:p>
    <w:p w14:paraId="27E2CCFB" w14:textId="77777777" w:rsidR="00C479A8" w:rsidRPr="007300F3" w:rsidRDefault="00C479A8" w:rsidP="00C479A8">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pPr>
    </w:p>
    <w:p w14:paraId="42DE84F0" w14:textId="77777777" w:rsidR="00C479A8" w:rsidRPr="007300F3" w:rsidRDefault="00C479A8" w:rsidP="00C94562">
      <w:pPr>
        <w:pStyle w:val="Heading2"/>
      </w:pPr>
      <w:bookmarkStart w:id="101" w:name="_Toc176419924"/>
      <w:r w:rsidRPr="007300F3">
        <w:t>Study Design/Endpoints</w:t>
      </w:r>
      <w:bookmarkEnd w:id="101"/>
    </w:p>
    <w:p w14:paraId="00B650ED" w14:textId="77777777" w:rsidR="00092B8A" w:rsidRDefault="00092B8A" w:rsidP="00C479A8">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
        </w:rPr>
      </w:pPr>
    </w:p>
    <w:p w14:paraId="7E3BEA98" w14:textId="014FA73E" w:rsidR="00092B8A" w:rsidRPr="002224D0" w:rsidRDefault="00FC3701" w:rsidP="00C479A8">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sidRPr="002224D0">
        <w:rPr>
          <w:iCs/>
          <w:color w:val="auto"/>
        </w:rPr>
        <w:t xml:space="preserve">This is </w:t>
      </w:r>
      <w:r w:rsidR="00266FA9" w:rsidRPr="002224D0">
        <w:rPr>
          <w:iCs/>
          <w:color w:val="auto"/>
        </w:rPr>
        <w:t>a phase 1 trial to evaluate the safety and efficacy of adding the RRM2 inhibitor, triapine, to radiation therapy for recurrent GBM.</w:t>
      </w:r>
      <w:r w:rsidR="00864D79" w:rsidRPr="002224D0">
        <w:rPr>
          <w:iCs/>
          <w:color w:val="auto"/>
        </w:rPr>
        <w:t xml:space="preserve">  </w:t>
      </w:r>
      <w:r w:rsidR="00CD66A6" w:rsidRPr="00D00D24">
        <w:rPr>
          <w:iCs/>
          <w:color w:val="auto"/>
        </w:rPr>
        <w:t>We will employ the BF-BOIN</w:t>
      </w:r>
      <w:r w:rsidR="00C653AA">
        <w:rPr>
          <w:iCs/>
          <w:color w:val="auto"/>
        </w:rPr>
        <w:t xml:space="preserve"> </w:t>
      </w:r>
      <w:r w:rsidR="00C653AA" w:rsidRPr="00D00D24">
        <w:rPr>
          <w:iCs/>
          <w:color w:val="auto"/>
        </w:rPr>
        <w:t>design</w:t>
      </w:r>
      <w:r w:rsidR="00C653AA">
        <w:rPr>
          <w:iCs/>
          <w:color w:val="auto"/>
        </w:rPr>
        <w:t xml:space="preserve"> </w:t>
      </w:r>
      <w:r w:rsidR="00CD66A6" w:rsidRPr="00D00D24">
        <w:rPr>
          <w:iCs/>
          <w:color w:val="auto"/>
        </w:rPr>
        <w:t>to guide dose escalation and establish the MTD</w:t>
      </w:r>
      <w:r w:rsidR="003B5C50">
        <w:rPr>
          <w:iCs/>
          <w:color w:val="auto"/>
        </w:rPr>
        <w:t xml:space="preserve"> (</w:t>
      </w:r>
      <w:r w:rsidR="003B5C50" w:rsidRPr="00D00D24">
        <w:rPr>
          <w:iCs/>
          <w:color w:val="auto"/>
        </w:rPr>
        <w:t xml:space="preserve">Zhao </w:t>
      </w:r>
      <w:r w:rsidR="003B5C50" w:rsidRPr="008C23A8">
        <w:rPr>
          <w:i/>
          <w:color w:val="auto"/>
        </w:rPr>
        <w:t>et al.,</w:t>
      </w:r>
      <w:r w:rsidR="003B5C50" w:rsidRPr="00D00D24">
        <w:rPr>
          <w:iCs/>
          <w:color w:val="auto"/>
        </w:rPr>
        <w:t xml:space="preserve"> 202</w:t>
      </w:r>
      <w:r w:rsidR="00EC4031">
        <w:rPr>
          <w:iCs/>
          <w:color w:val="auto"/>
        </w:rPr>
        <w:t>4)</w:t>
      </w:r>
      <w:r w:rsidR="00CD66A6" w:rsidRPr="00D00D24">
        <w:rPr>
          <w:iCs/>
          <w:color w:val="auto"/>
        </w:rPr>
        <w:t xml:space="preserve">. </w:t>
      </w:r>
      <w:r w:rsidR="003B5C50">
        <w:rPr>
          <w:iCs/>
          <w:color w:val="auto"/>
        </w:rPr>
        <w:t xml:space="preserve"> </w:t>
      </w:r>
      <w:r w:rsidR="00CD66A6" w:rsidRPr="00D00D24">
        <w:rPr>
          <w:iCs/>
          <w:color w:val="auto"/>
        </w:rPr>
        <w:t>BF-BOIN enables backfilling patients to dose</w:t>
      </w:r>
      <w:r w:rsidR="00805D87">
        <w:rPr>
          <w:iCs/>
          <w:color w:val="auto"/>
        </w:rPr>
        <w:t xml:space="preserve"> level</w:t>
      </w:r>
      <w:r w:rsidR="00CD66A6" w:rsidRPr="00D00D24">
        <w:rPr>
          <w:iCs/>
          <w:color w:val="auto"/>
        </w:rPr>
        <w:t xml:space="preserve">s that are cleared for safety </w:t>
      </w:r>
      <w:r w:rsidR="00CD66A6">
        <w:rPr>
          <w:iCs/>
          <w:color w:val="auto"/>
        </w:rPr>
        <w:t xml:space="preserve">and have demonstrated activity </w:t>
      </w:r>
      <w:r w:rsidR="00CD66A6" w:rsidRPr="00D00D24">
        <w:rPr>
          <w:iCs/>
          <w:color w:val="auto"/>
        </w:rPr>
        <w:t xml:space="preserve">during the dose escalation, thereby generating additional data on safety, tolerability, and preliminary activity on doses below the MTD. </w:t>
      </w:r>
      <w:r w:rsidR="00805D87">
        <w:rPr>
          <w:iCs/>
          <w:color w:val="auto"/>
        </w:rPr>
        <w:t xml:space="preserve"> </w:t>
      </w:r>
      <w:r w:rsidR="00CD66A6" w:rsidRPr="00D00D24">
        <w:rPr>
          <w:iCs/>
          <w:color w:val="auto"/>
        </w:rPr>
        <w:t xml:space="preserve">This facilitates the identification of the RP2D. </w:t>
      </w:r>
      <w:r w:rsidR="00D25C41">
        <w:rPr>
          <w:iCs/>
          <w:color w:val="auto"/>
        </w:rPr>
        <w:t xml:space="preserve"> </w:t>
      </w:r>
      <w:r w:rsidR="00864D79" w:rsidRPr="002224D0">
        <w:rPr>
          <w:iCs/>
          <w:color w:val="auto"/>
        </w:rPr>
        <w:t>Patients with recurrent GBM will be eligible.  Patients will receive radiation therapy in combination with oral triapine administered once daily within two hours prior to radiation for two weeks according to the dose level schedule (Section 6.1).</w:t>
      </w:r>
    </w:p>
    <w:p w14:paraId="445B4CD9" w14:textId="77777777" w:rsidR="00FC3701" w:rsidRPr="002224D0" w:rsidRDefault="00FC3701" w:rsidP="00C479A8">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p>
    <w:p w14:paraId="5D4A912B" w14:textId="7E83E801" w:rsidR="00A805BD" w:rsidRPr="002224D0" w:rsidRDefault="00A805BD" w:rsidP="00C479A8">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b/>
          <w:bCs/>
          <w:iCs/>
          <w:color w:val="auto"/>
        </w:rPr>
      </w:pPr>
      <w:r w:rsidRPr="002224D0">
        <w:rPr>
          <w:b/>
          <w:bCs/>
          <w:iCs/>
          <w:color w:val="auto"/>
        </w:rPr>
        <w:t xml:space="preserve">Primary </w:t>
      </w:r>
      <w:r w:rsidR="004A0953">
        <w:rPr>
          <w:b/>
          <w:bCs/>
          <w:iCs/>
          <w:color w:val="auto"/>
        </w:rPr>
        <w:t>Objective</w:t>
      </w:r>
      <w:r w:rsidRPr="002224D0">
        <w:rPr>
          <w:b/>
          <w:bCs/>
          <w:iCs/>
          <w:color w:val="auto"/>
        </w:rPr>
        <w:t>:</w:t>
      </w:r>
    </w:p>
    <w:p w14:paraId="4ECB394B" w14:textId="77777777" w:rsidR="00773B6D" w:rsidRPr="002224D0" w:rsidRDefault="00773B6D" w:rsidP="00C479A8">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b/>
          <w:bCs/>
          <w:iCs/>
          <w:color w:val="auto"/>
        </w:rPr>
      </w:pPr>
    </w:p>
    <w:p w14:paraId="26994955" w14:textId="15A0E6D9" w:rsidR="00773B6D" w:rsidRPr="002224D0" w:rsidRDefault="00773B6D" w:rsidP="00562B10">
      <w:pPr>
        <w:pStyle w:val="Level3Heading"/>
        <w:numPr>
          <w:ilvl w:val="0"/>
          <w:numId w:val="82"/>
        </w:numPr>
        <w:rPr>
          <w:color w:val="auto"/>
        </w:rPr>
      </w:pPr>
      <w:r w:rsidRPr="002224D0">
        <w:rPr>
          <w:color w:val="auto"/>
        </w:rPr>
        <w:t>To identify the safety and MTD of oral triapine used in combination with radiation therapy for patients with recurrent GBM.</w:t>
      </w:r>
      <w:r w:rsidR="00E8288A">
        <w:rPr>
          <w:color w:val="auto"/>
        </w:rPr>
        <w:t xml:space="preserve">  T</w:t>
      </w:r>
      <w:r w:rsidR="00E8288A" w:rsidRPr="00455F49">
        <w:rPr>
          <w:color w:val="auto"/>
        </w:rPr>
        <w:t>he incidence of DLTs</w:t>
      </w:r>
      <w:r w:rsidR="00E8288A">
        <w:rPr>
          <w:color w:val="auto"/>
        </w:rPr>
        <w:t xml:space="preserve"> and any </w:t>
      </w:r>
      <w:r w:rsidR="00E8288A" w:rsidRPr="0027067D">
        <w:rPr>
          <w:color w:val="auto"/>
        </w:rPr>
        <w:t>AEs</w:t>
      </w:r>
      <w:r w:rsidR="00E8288A">
        <w:rPr>
          <w:color w:val="auto"/>
        </w:rPr>
        <w:t xml:space="preserve"> will be assessed.</w:t>
      </w:r>
    </w:p>
    <w:p w14:paraId="103B15F6" w14:textId="77777777" w:rsidR="00B75442" w:rsidRPr="002224D0" w:rsidRDefault="00B75442" w:rsidP="00C479A8">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b/>
          <w:bCs/>
          <w:iCs/>
          <w:color w:val="auto"/>
        </w:rPr>
      </w:pPr>
    </w:p>
    <w:p w14:paraId="2E69456A" w14:textId="790356AC" w:rsidR="00010DEE" w:rsidRPr="002224D0" w:rsidRDefault="00B75442" w:rsidP="0026094E">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b/>
          <w:bCs/>
          <w:iCs/>
          <w:color w:val="auto"/>
        </w:rPr>
      </w:pPr>
      <w:r w:rsidRPr="002224D0">
        <w:rPr>
          <w:b/>
          <w:bCs/>
          <w:iCs/>
          <w:color w:val="auto"/>
        </w:rPr>
        <w:t>Primary Hypothesis:</w:t>
      </w:r>
      <w:r w:rsidR="0026094E" w:rsidRPr="002224D0">
        <w:rPr>
          <w:b/>
          <w:bCs/>
          <w:iCs/>
          <w:color w:val="auto"/>
        </w:rPr>
        <w:t xml:space="preserve">  </w:t>
      </w:r>
      <w:r w:rsidR="00EE651A" w:rsidRPr="002224D0">
        <w:rPr>
          <w:iCs/>
          <w:color w:val="auto"/>
        </w:rPr>
        <w:t>We hypothesize that triapine can be safely administered in conjunction with radiation therapy for patients with recurrent GBM.</w:t>
      </w:r>
    </w:p>
    <w:p w14:paraId="510295D0" w14:textId="77777777" w:rsidR="00A805BD" w:rsidRPr="002224D0" w:rsidRDefault="00A805BD" w:rsidP="00C479A8">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b/>
          <w:bCs/>
          <w:iCs/>
          <w:color w:val="auto"/>
        </w:rPr>
      </w:pPr>
    </w:p>
    <w:p w14:paraId="3494A46A" w14:textId="644F222F" w:rsidR="00A805BD" w:rsidRPr="002224D0" w:rsidRDefault="00A805BD" w:rsidP="00C479A8">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b/>
          <w:bCs/>
          <w:iCs/>
          <w:color w:val="auto"/>
        </w:rPr>
      </w:pPr>
      <w:r w:rsidRPr="002224D0">
        <w:rPr>
          <w:b/>
          <w:bCs/>
          <w:iCs/>
          <w:color w:val="auto"/>
        </w:rPr>
        <w:t xml:space="preserve">Secondary </w:t>
      </w:r>
      <w:r w:rsidR="004A0953">
        <w:rPr>
          <w:b/>
          <w:bCs/>
          <w:iCs/>
          <w:color w:val="auto"/>
        </w:rPr>
        <w:t>Objectives</w:t>
      </w:r>
      <w:r w:rsidRPr="002224D0">
        <w:rPr>
          <w:b/>
          <w:bCs/>
          <w:iCs/>
          <w:color w:val="auto"/>
        </w:rPr>
        <w:t>:</w:t>
      </w:r>
    </w:p>
    <w:p w14:paraId="140D13AE" w14:textId="77777777" w:rsidR="008806FC" w:rsidRPr="002224D0" w:rsidRDefault="008806FC" w:rsidP="008806FC">
      <w:pPr>
        <w:rPr>
          <w:color w:val="auto"/>
        </w:rPr>
      </w:pPr>
    </w:p>
    <w:p w14:paraId="29BEA282" w14:textId="05C9754F" w:rsidR="00A6445A" w:rsidRDefault="00143F31" w:rsidP="00675EB3">
      <w:pPr>
        <w:pStyle w:val="Level3Heading"/>
        <w:numPr>
          <w:ilvl w:val="0"/>
          <w:numId w:val="83"/>
        </w:numPr>
        <w:rPr>
          <w:color w:val="auto"/>
        </w:rPr>
      </w:pPr>
      <w:r w:rsidRPr="00D06DE5">
        <w:rPr>
          <w:color w:val="auto"/>
        </w:rPr>
        <w:t xml:space="preserve">To observe and record anti-tumor activity. </w:t>
      </w:r>
      <w:r w:rsidR="00A6445A">
        <w:rPr>
          <w:color w:val="auto"/>
        </w:rPr>
        <w:t xml:space="preserve"> </w:t>
      </w:r>
      <w:r w:rsidRPr="00D06DE5">
        <w:rPr>
          <w:color w:val="auto"/>
        </w:rPr>
        <w:t xml:space="preserve">The objective response status will be measured and recorded. </w:t>
      </w:r>
      <w:r w:rsidR="00A6445A">
        <w:rPr>
          <w:color w:val="auto"/>
        </w:rPr>
        <w:t xml:space="preserve"> </w:t>
      </w:r>
      <w:r w:rsidRPr="00D06DE5">
        <w:rPr>
          <w:color w:val="auto"/>
        </w:rPr>
        <w:t xml:space="preserve">The objective response rate (ORR) is based on Response </w:t>
      </w:r>
      <w:r>
        <w:rPr>
          <w:color w:val="auto"/>
        </w:rPr>
        <w:t>Assessment in Neuro-Oncology Criteria for High- and Low-Grade Gliomas in Adults (RANO 2.0)</w:t>
      </w:r>
      <w:r w:rsidR="00A6445A">
        <w:rPr>
          <w:color w:val="auto"/>
        </w:rPr>
        <w:t>.</w:t>
      </w:r>
    </w:p>
    <w:p w14:paraId="154BBC0B" w14:textId="77777777" w:rsidR="00675EB3" w:rsidRPr="00675EB3" w:rsidRDefault="00675EB3" w:rsidP="00675EB3"/>
    <w:p w14:paraId="54B8B9E6" w14:textId="0F12A0B8" w:rsidR="008806FC" w:rsidRPr="002224D0" w:rsidRDefault="008806FC" w:rsidP="00562B10">
      <w:pPr>
        <w:pStyle w:val="Level3Heading"/>
        <w:numPr>
          <w:ilvl w:val="0"/>
          <w:numId w:val="83"/>
        </w:numPr>
        <w:rPr>
          <w:color w:val="auto"/>
        </w:rPr>
      </w:pPr>
      <w:r w:rsidRPr="002224D0">
        <w:rPr>
          <w:color w:val="auto"/>
        </w:rPr>
        <w:t>To determine the pharmacokinetics of oral triapine in plasma and the CNS.</w:t>
      </w:r>
    </w:p>
    <w:p w14:paraId="4DC09587" w14:textId="77777777" w:rsidR="008806FC" w:rsidRPr="002224D0" w:rsidRDefault="008806FC" w:rsidP="008806FC">
      <w:pPr>
        <w:rPr>
          <w:color w:val="auto"/>
        </w:rPr>
      </w:pPr>
    </w:p>
    <w:p w14:paraId="7035483D" w14:textId="77777777" w:rsidR="008806FC" w:rsidRPr="002224D0" w:rsidRDefault="008806FC" w:rsidP="00562B10">
      <w:pPr>
        <w:pStyle w:val="Level3Heading"/>
        <w:numPr>
          <w:ilvl w:val="0"/>
          <w:numId w:val="83"/>
        </w:numPr>
        <w:rPr>
          <w:color w:val="auto"/>
        </w:rPr>
      </w:pPr>
      <w:r w:rsidRPr="002224D0">
        <w:rPr>
          <w:color w:val="auto"/>
        </w:rPr>
        <w:t>To evaluate the efficacy of triapine when administered in combination with radiation therapy by assessing:</w:t>
      </w:r>
    </w:p>
    <w:p w14:paraId="47213117" w14:textId="77777777" w:rsidR="008806FC" w:rsidRPr="002224D0" w:rsidRDefault="008806FC" w:rsidP="008806FC">
      <w:pPr>
        <w:pStyle w:val="ListParagraph"/>
        <w:rPr>
          <w:color w:val="auto"/>
        </w:rPr>
      </w:pPr>
    </w:p>
    <w:p w14:paraId="5F650C9B" w14:textId="6C36C2EB" w:rsidR="008806FC" w:rsidRPr="002224D0" w:rsidRDefault="008806FC" w:rsidP="00562B10">
      <w:pPr>
        <w:pStyle w:val="Level4Heading"/>
        <w:numPr>
          <w:ilvl w:val="0"/>
          <w:numId w:val="79"/>
        </w:numPr>
        <w:rPr>
          <w:color w:val="auto"/>
        </w:rPr>
      </w:pPr>
      <w:r w:rsidRPr="002224D0">
        <w:rPr>
          <w:color w:val="auto"/>
        </w:rPr>
        <w:t>PFS</w:t>
      </w:r>
    </w:p>
    <w:p w14:paraId="2443FD89" w14:textId="1A864012" w:rsidR="004D2879" w:rsidRPr="002224D0" w:rsidRDefault="004E6BB6" w:rsidP="00BF1E6A">
      <w:pPr>
        <w:pStyle w:val="ListParagraph"/>
        <w:numPr>
          <w:ilvl w:val="1"/>
          <w:numId w:val="93"/>
        </w:numPr>
        <w:tabs>
          <w:tab w:val="left" w:pos="2880"/>
        </w:tabs>
        <w:autoSpaceDE w:val="0"/>
        <w:autoSpaceDN w:val="0"/>
        <w:spacing w:before="16"/>
        <w:contextualSpacing w:val="0"/>
        <w:rPr>
          <w:color w:val="auto"/>
        </w:rPr>
      </w:pPr>
      <w:r w:rsidRPr="002224D0">
        <w:rPr>
          <w:color w:val="auto"/>
        </w:rPr>
        <w:t>Measured by time to disease progression or death from any cause.</w:t>
      </w:r>
    </w:p>
    <w:p w14:paraId="42A17A90" w14:textId="45E6A7B3" w:rsidR="008806FC" w:rsidRPr="002224D0" w:rsidRDefault="008806FC" w:rsidP="00562B10">
      <w:pPr>
        <w:pStyle w:val="Level4Heading"/>
        <w:numPr>
          <w:ilvl w:val="0"/>
          <w:numId w:val="79"/>
        </w:numPr>
        <w:rPr>
          <w:color w:val="auto"/>
        </w:rPr>
      </w:pPr>
      <w:r w:rsidRPr="002224D0">
        <w:rPr>
          <w:color w:val="auto"/>
        </w:rPr>
        <w:t>OS</w:t>
      </w:r>
    </w:p>
    <w:p w14:paraId="6AB14665" w14:textId="3663B9F4" w:rsidR="0024045A" w:rsidRPr="002224D0" w:rsidRDefault="00FE33A1" w:rsidP="00BF1E6A">
      <w:pPr>
        <w:pStyle w:val="ListParagraph"/>
        <w:numPr>
          <w:ilvl w:val="1"/>
          <w:numId w:val="93"/>
        </w:numPr>
        <w:tabs>
          <w:tab w:val="left" w:pos="2880"/>
        </w:tabs>
        <w:autoSpaceDE w:val="0"/>
        <w:autoSpaceDN w:val="0"/>
        <w:spacing w:before="16"/>
        <w:contextualSpacing w:val="0"/>
        <w:rPr>
          <w:color w:val="auto"/>
        </w:rPr>
      </w:pPr>
      <w:r w:rsidRPr="002224D0">
        <w:rPr>
          <w:color w:val="auto"/>
        </w:rPr>
        <w:t>Measured by time to death from any cause.</w:t>
      </w:r>
    </w:p>
    <w:p w14:paraId="47E7C180" w14:textId="77777777" w:rsidR="008806FC" w:rsidRPr="002224D0" w:rsidRDefault="008806FC" w:rsidP="00562B10">
      <w:pPr>
        <w:pStyle w:val="Level4Heading"/>
        <w:numPr>
          <w:ilvl w:val="0"/>
          <w:numId w:val="79"/>
        </w:numPr>
        <w:rPr>
          <w:color w:val="auto"/>
        </w:rPr>
      </w:pPr>
      <w:r w:rsidRPr="002224D0">
        <w:rPr>
          <w:color w:val="auto"/>
        </w:rPr>
        <w:t>The proportion of patients requiring bevacizumab for symptom control</w:t>
      </w:r>
    </w:p>
    <w:p w14:paraId="2B4FFAE3" w14:textId="77777777" w:rsidR="00BF027A" w:rsidRPr="002224D0" w:rsidRDefault="00BF027A" w:rsidP="00BF1E6A">
      <w:pPr>
        <w:pStyle w:val="ListParagraph"/>
        <w:numPr>
          <w:ilvl w:val="1"/>
          <w:numId w:val="79"/>
        </w:numPr>
        <w:rPr>
          <w:color w:val="auto"/>
        </w:rPr>
      </w:pPr>
      <w:r w:rsidRPr="002224D0">
        <w:rPr>
          <w:color w:val="auto"/>
        </w:rPr>
        <w:t>Measured by the number of patients who initiated bevacizumab during study period.</w:t>
      </w:r>
    </w:p>
    <w:p w14:paraId="20F72784" w14:textId="77777777" w:rsidR="008806FC" w:rsidRPr="002224D0" w:rsidRDefault="008806FC" w:rsidP="00562B10">
      <w:pPr>
        <w:pStyle w:val="Level4Heading"/>
        <w:numPr>
          <w:ilvl w:val="0"/>
          <w:numId w:val="79"/>
        </w:numPr>
        <w:rPr>
          <w:color w:val="auto"/>
        </w:rPr>
      </w:pPr>
      <w:r w:rsidRPr="002224D0">
        <w:rPr>
          <w:color w:val="auto"/>
        </w:rPr>
        <w:lastRenderedPageBreak/>
        <w:t>The correlation of genetic mutations in select genes (</w:t>
      </w:r>
      <w:r w:rsidRPr="002224D0">
        <w:rPr>
          <w:i/>
          <w:iCs/>
          <w:color w:val="auto"/>
        </w:rPr>
        <w:t>e.g., p53</w:t>
      </w:r>
      <w:r w:rsidRPr="002224D0">
        <w:rPr>
          <w:color w:val="auto"/>
        </w:rPr>
        <w:t xml:space="preserve">, </w:t>
      </w:r>
      <w:r w:rsidRPr="002224D0">
        <w:rPr>
          <w:i/>
          <w:iCs/>
          <w:color w:val="auto"/>
        </w:rPr>
        <w:t>p16</w:t>
      </w:r>
      <w:r w:rsidRPr="002224D0">
        <w:rPr>
          <w:color w:val="auto"/>
        </w:rPr>
        <w:t xml:space="preserve">, </w:t>
      </w:r>
      <w:r w:rsidRPr="002224D0">
        <w:rPr>
          <w:i/>
          <w:iCs/>
          <w:color w:val="auto"/>
        </w:rPr>
        <w:t>KRAS</w:t>
      </w:r>
      <w:r w:rsidRPr="002224D0">
        <w:rPr>
          <w:color w:val="auto"/>
        </w:rPr>
        <w:t xml:space="preserve">, and </w:t>
      </w:r>
      <w:r w:rsidRPr="002224D0">
        <w:rPr>
          <w:i/>
          <w:iCs/>
          <w:color w:val="auto"/>
        </w:rPr>
        <w:t>Pi3k/mTOR/AKT</w:t>
      </w:r>
      <w:r w:rsidRPr="002224D0">
        <w:rPr>
          <w:color w:val="auto"/>
        </w:rPr>
        <w:t>) with tumor response and clinical outcomes</w:t>
      </w:r>
    </w:p>
    <w:p w14:paraId="6A03B61A" w14:textId="60AA0C4B" w:rsidR="00AF5A76" w:rsidRPr="00BF1E6A" w:rsidRDefault="00AF5A76" w:rsidP="00BF1E6A">
      <w:pPr>
        <w:pStyle w:val="ListParagraph"/>
        <w:numPr>
          <w:ilvl w:val="1"/>
          <w:numId w:val="79"/>
        </w:numPr>
      </w:pPr>
      <w:r w:rsidRPr="00BF1E6A">
        <w:t>Genetic mutations detected on whole exome sequencing from tumor tissue</w:t>
      </w:r>
    </w:p>
    <w:p w14:paraId="5C786BC4" w14:textId="77777777" w:rsidR="008806FC" w:rsidRDefault="008806FC" w:rsidP="00C479A8">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b/>
          <w:bCs/>
          <w:iCs/>
        </w:rPr>
      </w:pPr>
    </w:p>
    <w:p w14:paraId="5C0369BD" w14:textId="54F16F82" w:rsidR="00B75442" w:rsidRPr="002224D0" w:rsidRDefault="00B75442" w:rsidP="00C479A8">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color w:val="auto"/>
        </w:rPr>
      </w:pPr>
      <w:r w:rsidRPr="002224D0">
        <w:rPr>
          <w:b/>
          <w:bCs/>
          <w:iCs/>
          <w:color w:val="auto"/>
        </w:rPr>
        <w:t>Secondary Hypothes</w:t>
      </w:r>
      <w:r w:rsidR="0095700C" w:rsidRPr="002224D0">
        <w:rPr>
          <w:b/>
          <w:bCs/>
          <w:iCs/>
          <w:color w:val="auto"/>
        </w:rPr>
        <w:t>e</w:t>
      </w:r>
      <w:r w:rsidRPr="002224D0">
        <w:rPr>
          <w:b/>
          <w:bCs/>
          <w:iCs/>
          <w:color w:val="auto"/>
        </w:rPr>
        <w:t>s:</w:t>
      </w:r>
      <w:r w:rsidR="00DC1D97" w:rsidRPr="002224D0">
        <w:rPr>
          <w:b/>
          <w:bCs/>
          <w:iCs/>
          <w:color w:val="auto"/>
        </w:rPr>
        <w:t xml:space="preserve">  </w:t>
      </w:r>
      <w:r w:rsidR="00DC1D97" w:rsidRPr="002224D0">
        <w:rPr>
          <w:iCs/>
          <w:color w:val="auto"/>
        </w:rPr>
        <w:t xml:space="preserve">We hypothesize that the </w:t>
      </w:r>
      <w:r w:rsidR="00DC1D97" w:rsidRPr="002224D0">
        <w:rPr>
          <w:color w:val="auto"/>
        </w:rPr>
        <w:t>pharmacokinetics of oral triapine in GBM patients is comparable to historical controls, and triapine crosses the human blood-brain barrier.  We also hypothesize that the addition of triapine will prolong median PFS and median OS relative to historical controls without increasing the proportion of patients requiring bevacizumab for symptom control.  We hypothesize that there is a correlation with genetic mutations in select genes (</w:t>
      </w:r>
      <w:r w:rsidR="00DC1D97" w:rsidRPr="002224D0">
        <w:rPr>
          <w:i/>
          <w:iCs/>
          <w:color w:val="auto"/>
        </w:rPr>
        <w:t>e.g., p53, p16, KRAS,</w:t>
      </w:r>
      <w:r w:rsidR="00DC1D97" w:rsidRPr="002224D0">
        <w:rPr>
          <w:color w:val="auto"/>
        </w:rPr>
        <w:t xml:space="preserve"> and </w:t>
      </w:r>
      <w:r w:rsidR="00DC1D97" w:rsidRPr="002224D0">
        <w:rPr>
          <w:i/>
          <w:iCs/>
          <w:color w:val="auto"/>
        </w:rPr>
        <w:t>Pi3k/mTOR/AKT</w:t>
      </w:r>
      <w:r w:rsidR="00DC1D97" w:rsidRPr="002224D0">
        <w:rPr>
          <w:color w:val="auto"/>
        </w:rPr>
        <w:t>) with tumor response and clinical outcomes.</w:t>
      </w:r>
    </w:p>
    <w:p w14:paraId="1C644D12" w14:textId="77777777" w:rsidR="00091042" w:rsidRPr="002224D0" w:rsidRDefault="00091042" w:rsidP="00C479A8">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color w:val="auto"/>
        </w:rPr>
      </w:pPr>
    </w:p>
    <w:p w14:paraId="05B8D33B" w14:textId="3334F8AB" w:rsidR="00091042" w:rsidRPr="002224D0" w:rsidRDefault="00091042" w:rsidP="00091042">
      <w:pPr>
        <w:pStyle w:val="Level3Heading"/>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color w:val="auto"/>
        </w:rPr>
      </w:pPr>
      <w:r w:rsidRPr="002224D0">
        <w:rPr>
          <w:color w:val="auto"/>
        </w:rPr>
        <w:t>Study Design</w:t>
      </w:r>
    </w:p>
    <w:p w14:paraId="4F315920" w14:textId="77777777" w:rsidR="00091042" w:rsidRPr="002224D0" w:rsidRDefault="00091042" w:rsidP="00C479A8">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p>
    <w:p w14:paraId="5CBC1E63" w14:textId="77777777" w:rsidR="005F61B4" w:rsidRDefault="005F61B4" w:rsidP="005F61B4">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sidRPr="00705318">
        <w:rPr>
          <w:iCs/>
          <w:color w:val="auto"/>
        </w:rPr>
        <w:t>The BF-BOIN consists of two interrelated components: dose escalation and backfill</w:t>
      </w:r>
      <w:r>
        <w:rPr>
          <w:iCs/>
          <w:color w:val="auto"/>
        </w:rPr>
        <w:t xml:space="preserve">. </w:t>
      </w:r>
    </w:p>
    <w:p w14:paraId="37E6A251" w14:textId="77777777" w:rsidR="005F61B4" w:rsidRDefault="005F61B4" w:rsidP="005F61B4">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p>
    <w:p w14:paraId="25EDDBEA" w14:textId="77777777" w:rsidR="005F61B4" w:rsidRPr="00A25922" w:rsidRDefault="005F61B4" w:rsidP="005F61B4">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b/>
          <w:bCs/>
          <w:iCs/>
          <w:color w:val="auto"/>
        </w:rPr>
      </w:pPr>
      <w:r w:rsidRPr="00A25922">
        <w:rPr>
          <w:b/>
          <w:bCs/>
          <w:iCs/>
          <w:color w:val="auto"/>
        </w:rPr>
        <w:t xml:space="preserve">Dose </w:t>
      </w:r>
      <w:r w:rsidRPr="004237EE">
        <w:rPr>
          <w:b/>
          <w:bCs/>
          <w:iCs/>
          <w:color w:val="auto"/>
        </w:rPr>
        <w:t>escalation</w:t>
      </w:r>
    </w:p>
    <w:p w14:paraId="311A555C" w14:textId="77777777" w:rsidR="005F61B4" w:rsidRDefault="005F61B4" w:rsidP="005F61B4">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p>
    <w:p w14:paraId="287A3B40" w14:textId="51DF16F4" w:rsidR="009E5141" w:rsidRPr="002224D0" w:rsidRDefault="005F61B4" w:rsidP="000B21DD">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sidRPr="00233C93">
        <w:rPr>
          <w:iCs/>
          <w:color w:val="auto"/>
        </w:rPr>
        <w:t xml:space="preserve">The maximum sample size of the dose escalation is 30. </w:t>
      </w:r>
      <w:r w:rsidR="00293EB1">
        <w:rPr>
          <w:iCs/>
          <w:color w:val="auto"/>
        </w:rPr>
        <w:t xml:space="preserve"> </w:t>
      </w:r>
      <w:r w:rsidRPr="00233C93">
        <w:rPr>
          <w:iCs/>
          <w:color w:val="auto"/>
        </w:rPr>
        <w:t xml:space="preserve">Patients are </w:t>
      </w:r>
      <w:r>
        <w:rPr>
          <w:iCs/>
          <w:color w:val="auto"/>
        </w:rPr>
        <w:t xml:space="preserve">enrolled and </w:t>
      </w:r>
      <w:r w:rsidRPr="00233C93">
        <w:rPr>
          <w:iCs/>
          <w:color w:val="auto"/>
        </w:rPr>
        <w:t>treated in cohort</w:t>
      </w:r>
      <w:r>
        <w:rPr>
          <w:iCs/>
          <w:color w:val="auto"/>
        </w:rPr>
        <w:t>s</w:t>
      </w:r>
      <w:r w:rsidRPr="00233C93">
        <w:rPr>
          <w:iCs/>
          <w:color w:val="auto"/>
        </w:rPr>
        <w:t xml:space="preserve"> of </w:t>
      </w:r>
      <w:r>
        <w:rPr>
          <w:iCs/>
          <w:color w:val="auto"/>
        </w:rPr>
        <w:t>three</w:t>
      </w:r>
      <w:r w:rsidRPr="00233C93">
        <w:rPr>
          <w:iCs/>
          <w:color w:val="auto"/>
        </w:rPr>
        <w:t xml:space="preserve"> </w:t>
      </w:r>
      <w:r>
        <w:rPr>
          <w:iCs/>
          <w:color w:val="auto"/>
        </w:rPr>
        <w:t xml:space="preserve">patients </w:t>
      </w:r>
      <w:r w:rsidRPr="00897EF0">
        <w:rPr>
          <w:iCs/>
          <w:color w:val="auto"/>
        </w:rPr>
        <w:t>at a time, starting at dose level 1.</w:t>
      </w:r>
      <w:r>
        <w:rPr>
          <w:iCs/>
          <w:color w:val="auto"/>
        </w:rPr>
        <w:t xml:space="preserve"> </w:t>
      </w:r>
      <w:r w:rsidR="00293EB1">
        <w:rPr>
          <w:iCs/>
          <w:color w:val="auto"/>
        </w:rPr>
        <w:t xml:space="preserve"> </w:t>
      </w:r>
      <w:r w:rsidRPr="00233C93">
        <w:rPr>
          <w:iCs/>
          <w:color w:val="auto"/>
        </w:rPr>
        <w:t xml:space="preserve">The target toxicity rate for the MTD is </w:t>
      </w:r>
      <w:r w:rsidRPr="00A25922">
        <w:rPr>
          <w:i/>
          <w:color w:val="auto"/>
        </w:rPr>
        <w:t>ϕ</w:t>
      </w:r>
      <w:r w:rsidRPr="00233C93">
        <w:rPr>
          <w:iCs/>
          <w:color w:val="auto"/>
        </w:rPr>
        <w:t xml:space="preserve">= 0.25. </w:t>
      </w:r>
      <w:r w:rsidR="00293EB1">
        <w:rPr>
          <w:iCs/>
          <w:color w:val="auto"/>
        </w:rPr>
        <w:t xml:space="preserve"> </w:t>
      </w:r>
      <w:r w:rsidRPr="00233C93">
        <w:rPr>
          <w:iCs/>
          <w:color w:val="auto"/>
        </w:rPr>
        <w:t>DLTs are defined in Section 6.2, and only those DLTs that occur within 28 days after treatment initiation will be used to guide dose escalation.</w:t>
      </w:r>
      <w:r>
        <w:rPr>
          <w:iCs/>
          <w:color w:val="auto"/>
        </w:rPr>
        <w:t xml:space="preserve"> </w:t>
      </w:r>
      <w:r w:rsidR="00293EB1">
        <w:rPr>
          <w:iCs/>
          <w:color w:val="auto"/>
        </w:rPr>
        <w:t xml:space="preserve"> </w:t>
      </w:r>
      <w:r w:rsidRPr="00A93349">
        <w:rPr>
          <w:iCs/>
          <w:color w:val="auto"/>
        </w:rPr>
        <w:t xml:space="preserve">BF-BOIN employs the BOIN rule (Yuan </w:t>
      </w:r>
      <w:r w:rsidRPr="00675EB3">
        <w:rPr>
          <w:i/>
          <w:color w:val="auto"/>
        </w:rPr>
        <w:t>et al.,</w:t>
      </w:r>
      <w:r w:rsidRPr="00A93349">
        <w:rPr>
          <w:iCs/>
          <w:color w:val="auto"/>
        </w:rPr>
        <w:t xml:space="preserve"> 201</w:t>
      </w:r>
      <w:r w:rsidR="004C26AE">
        <w:rPr>
          <w:iCs/>
          <w:color w:val="auto"/>
        </w:rPr>
        <w:t>6</w:t>
      </w:r>
      <w:r w:rsidRPr="00A93349">
        <w:rPr>
          <w:iCs/>
          <w:color w:val="auto"/>
        </w:rPr>
        <w:t>) to guide dose escalation and de-escalation, with additional rules to address potential conflicts between dose escalation data and backfill data</w:t>
      </w:r>
      <w:r>
        <w:rPr>
          <w:iCs/>
          <w:color w:val="auto"/>
        </w:rPr>
        <w:t xml:space="preserve"> </w:t>
      </w:r>
      <w:r w:rsidRPr="00651302">
        <w:rPr>
          <w:iCs/>
          <w:color w:val="auto"/>
        </w:rPr>
        <w:t>(</w:t>
      </w:r>
      <w:r w:rsidRPr="00675EB3">
        <w:rPr>
          <w:i/>
          <w:color w:val="auto"/>
        </w:rPr>
        <w:t>e.g.,</w:t>
      </w:r>
      <w:r w:rsidRPr="00651302">
        <w:rPr>
          <w:iCs/>
          <w:color w:val="auto"/>
        </w:rPr>
        <w:t xml:space="preserve"> backfill data later suggest that a dose previously cleared for safety by dose escalation is toxic) as described later.</w:t>
      </w:r>
    </w:p>
    <w:p w14:paraId="4C7FD4D7" w14:textId="3CE34946" w:rsidR="009E5141" w:rsidRPr="002224D0" w:rsidRDefault="00584A9D" w:rsidP="000B21DD">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eastAsia="Arial Unicode MS"/>
          <w:color w:val="auto"/>
        </w:rPr>
      </w:pPr>
      <w:r>
        <w:rPr>
          <w:iCs/>
          <w:color w:val="auto"/>
        </w:rPr>
        <w:fldChar w:fldCharType="begin"/>
      </w:r>
      <w:r>
        <w:rPr>
          <w:iCs/>
          <w:color w:val="auto"/>
        </w:rPr>
        <w:instrText xml:space="preserve"> REF _Ref171587385 \h </w:instrText>
      </w:r>
      <w:r>
        <w:rPr>
          <w:iCs/>
          <w:color w:val="auto"/>
        </w:rPr>
      </w:r>
      <w:r>
        <w:rPr>
          <w:iCs/>
          <w:color w:val="auto"/>
        </w:rPr>
        <w:fldChar w:fldCharType="separate"/>
      </w:r>
      <w:r w:rsidR="009C0D42" w:rsidRPr="00584A9D">
        <w:rPr>
          <w:b/>
          <w:bCs/>
          <w:color w:val="auto"/>
        </w:rPr>
        <w:t xml:space="preserve">Figure </w:t>
      </w:r>
      <w:r w:rsidR="009C0D42">
        <w:rPr>
          <w:b/>
          <w:bCs/>
          <w:noProof/>
          <w:color w:val="auto"/>
        </w:rPr>
        <w:t>5</w:t>
      </w:r>
      <w:r>
        <w:rPr>
          <w:iCs/>
          <w:color w:val="auto"/>
        </w:rPr>
        <w:fldChar w:fldCharType="end"/>
      </w:r>
      <w:r w:rsidR="00F21A38" w:rsidRPr="002224D0">
        <w:rPr>
          <w:iCs/>
          <w:color w:val="auto"/>
        </w:rPr>
        <w:t xml:space="preserve"> shows the rule to guide dose escalation and de-escalation in the </w:t>
      </w:r>
      <w:r w:rsidR="00DF49B2">
        <w:rPr>
          <w:iCs/>
          <w:color w:val="auto"/>
        </w:rPr>
        <w:t>BF-</w:t>
      </w:r>
      <w:r w:rsidR="00F21A38" w:rsidRPr="002224D0">
        <w:rPr>
          <w:iCs/>
          <w:color w:val="auto"/>
        </w:rPr>
        <w:t xml:space="preserve">BOIN design.  The rule is optimized to minimize the probability of incorrect dose assignment.  </w:t>
      </w:r>
      <w:r w:rsidR="005F44A1" w:rsidRPr="002224D0">
        <w:rPr>
          <w:rFonts w:eastAsia="Arial Unicode MS"/>
          <w:color w:val="auto"/>
        </w:rPr>
        <w:t xml:space="preserve">For the purpose of overdose control, doses </w:t>
      </w:r>
      <m:oMath>
        <m:r>
          <w:rPr>
            <w:rFonts w:ascii="Cambria Math" w:eastAsia="Arial Unicode MS" w:hAnsi="Cambria Math"/>
            <w:color w:val="auto"/>
          </w:rPr>
          <m:t>j</m:t>
        </m:r>
      </m:oMath>
      <w:r w:rsidR="005F44A1" w:rsidRPr="002224D0">
        <w:rPr>
          <w:rFonts w:eastAsia="Arial Unicode MS"/>
          <w:color w:val="auto"/>
        </w:rPr>
        <w:t xml:space="preserve"> and higher levels will be eliminated from further examination if Pr</w:t>
      </w:r>
      <m:oMath>
        <m:r>
          <m:rPr>
            <m:sty m:val="p"/>
          </m:rPr>
          <w:rPr>
            <w:rFonts w:ascii="Cambria Math" w:eastAsia="Arial Unicode MS" w:hAnsi="Cambria Math"/>
            <w:color w:val="auto"/>
          </w:rPr>
          <m:t>(</m:t>
        </m:r>
        <m:sSub>
          <m:sSubPr>
            <m:ctrlPr>
              <w:rPr>
                <w:rFonts w:ascii="Cambria Math" w:eastAsia="Arial Unicode MS" w:hAnsi="Cambria Math"/>
                <w:color w:val="auto"/>
              </w:rPr>
            </m:ctrlPr>
          </m:sSubPr>
          <m:e>
            <m:r>
              <w:rPr>
                <w:rFonts w:ascii="Cambria Math" w:eastAsia="Arial Unicode MS" w:hAnsi="Cambria Math"/>
                <w:color w:val="auto"/>
              </w:rPr>
              <m:t>p</m:t>
            </m:r>
          </m:e>
          <m:sub>
            <m:r>
              <w:rPr>
                <w:rFonts w:ascii="Cambria Math" w:eastAsia="Arial Unicode MS" w:hAnsi="Cambria Math"/>
                <w:color w:val="auto"/>
              </w:rPr>
              <m:t>j</m:t>
            </m:r>
          </m:sub>
        </m:sSub>
        <m:r>
          <m:rPr>
            <m:sty m:val="p"/>
          </m:rPr>
          <w:rPr>
            <w:rFonts w:ascii="Cambria Math" w:eastAsia="Arial Unicode MS" w:hAnsi="Cambria Math"/>
            <w:color w:val="auto"/>
          </w:rPr>
          <m:t>&gt;</m:t>
        </m:r>
      </m:oMath>
      <w:r w:rsidR="005F44A1" w:rsidRPr="002224D0">
        <w:rPr>
          <w:rFonts w:eastAsia="Arial Unicode MS"/>
          <w:color w:val="auto"/>
        </w:rPr>
        <w:t xml:space="preserve"> 0.25 | data) </w:t>
      </w:r>
      <m:oMath>
        <m:r>
          <m:rPr>
            <m:sty m:val="p"/>
          </m:rPr>
          <w:rPr>
            <w:rFonts w:ascii="Cambria Math" w:eastAsia="Arial Unicode MS" w:hAnsi="Cambria Math"/>
            <w:color w:val="auto"/>
          </w:rPr>
          <m:t>&gt;</m:t>
        </m:r>
      </m:oMath>
      <w:r w:rsidR="005F44A1" w:rsidRPr="002224D0">
        <w:rPr>
          <w:rFonts w:eastAsia="Arial Unicode MS"/>
          <w:color w:val="auto"/>
        </w:rPr>
        <w:t xml:space="preserve"> 0.95 and at least three evaluable patients have been treated at dose level </w:t>
      </w:r>
      <m:oMath>
        <m:r>
          <w:rPr>
            <w:rFonts w:ascii="Cambria Math" w:eastAsia="Arial Unicode MS" w:hAnsi="Cambria Math"/>
            <w:color w:val="auto"/>
          </w:rPr>
          <m:t>j</m:t>
        </m:r>
      </m:oMath>
      <w:r w:rsidR="005F44A1" w:rsidRPr="002224D0">
        <w:rPr>
          <w:rFonts w:eastAsia="Arial Unicode MS"/>
          <w:color w:val="auto"/>
        </w:rPr>
        <w:t xml:space="preserve">, where </w:t>
      </w:r>
      <m:oMath>
        <m:sSub>
          <m:sSubPr>
            <m:ctrlPr>
              <w:rPr>
                <w:rFonts w:ascii="Cambria Math" w:eastAsia="Arial Unicode MS" w:hAnsi="Cambria Math"/>
                <w:color w:val="auto"/>
              </w:rPr>
            </m:ctrlPr>
          </m:sSubPr>
          <m:e>
            <m:r>
              <w:rPr>
                <w:rFonts w:ascii="Cambria Math" w:eastAsia="Arial Unicode MS" w:hAnsi="Cambria Math"/>
                <w:color w:val="auto"/>
              </w:rPr>
              <m:t>p</m:t>
            </m:r>
          </m:e>
          <m:sub>
            <m:r>
              <w:rPr>
                <w:rFonts w:ascii="Cambria Math" w:eastAsia="Arial Unicode MS" w:hAnsi="Cambria Math"/>
                <w:color w:val="auto"/>
              </w:rPr>
              <m:t>j</m:t>
            </m:r>
          </m:sub>
        </m:sSub>
      </m:oMath>
      <w:r w:rsidR="005F44A1" w:rsidRPr="002224D0">
        <w:rPr>
          <w:rFonts w:eastAsia="Arial Unicode MS"/>
          <w:color w:val="auto"/>
        </w:rPr>
        <w:t xml:space="preserve"> is the true DLT rate of dose level </w:t>
      </w:r>
      <m:oMath>
        <m:r>
          <w:rPr>
            <w:rFonts w:ascii="Cambria Math" w:eastAsia="Arial Unicode MS" w:hAnsi="Cambria Math"/>
            <w:color w:val="auto"/>
          </w:rPr>
          <m:t>j</m:t>
        </m:r>
        <m:r>
          <m:rPr>
            <m:sty m:val="p"/>
          </m:rPr>
          <w:rPr>
            <w:rFonts w:ascii="Cambria Math" w:eastAsia="Arial Unicode MS" w:hAnsi="Cambria Math"/>
            <w:color w:val="auto"/>
          </w:rPr>
          <m:t>,</m:t>
        </m:r>
        <m:r>
          <w:rPr>
            <w:rFonts w:ascii="Cambria Math" w:eastAsia="Arial Unicode MS" w:hAnsi="Cambria Math"/>
            <w:color w:val="auto"/>
          </w:rPr>
          <m:t>j</m:t>
        </m:r>
        <m:r>
          <m:rPr>
            <m:sty m:val="p"/>
          </m:rPr>
          <w:rPr>
            <w:rFonts w:ascii="Cambria Math" w:eastAsia="Arial Unicode MS" w:hAnsi="Cambria Math"/>
            <w:color w:val="auto"/>
          </w:rPr>
          <m:t>=</m:t>
        </m:r>
      </m:oMath>
      <w:r w:rsidR="005F44A1" w:rsidRPr="002224D0">
        <w:rPr>
          <w:rFonts w:eastAsia="Arial Unicode MS"/>
          <w:color w:val="auto"/>
        </w:rPr>
        <w:t xml:space="preserve"> 1,</w:t>
      </w:r>
      <m:oMath>
        <m:r>
          <m:rPr>
            <m:sty m:val="p"/>
          </m:rPr>
          <w:rPr>
            <w:rFonts w:ascii="Cambria Math" w:eastAsia="Arial Unicode MS" w:hAnsi="Cambria Math"/>
            <w:color w:val="auto"/>
          </w:rPr>
          <m:t>⋯</m:t>
        </m:r>
      </m:oMath>
      <w:r w:rsidR="005F44A1" w:rsidRPr="002224D0">
        <w:rPr>
          <w:rFonts w:eastAsia="Arial Unicode MS"/>
          <w:color w:val="auto"/>
        </w:rPr>
        <w:t xml:space="preserve">, 4.  This posterior probability is evaluated based on the beta-binomial model </w:t>
      </w:r>
      <m:oMath>
        <m:sSub>
          <m:sSubPr>
            <m:ctrlPr>
              <w:rPr>
                <w:rFonts w:ascii="Cambria Math" w:eastAsia="Arial Unicode MS" w:hAnsi="Cambria Math"/>
                <w:color w:val="auto"/>
              </w:rPr>
            </m:ctrlPr>
          </m:sSubPr>
          <m:e>
            <m:r>
              <w:rPr>
                <w:rFonts w:ascii="Cambria Math" w:eastAsia="Arial Unicode MS" w:hAnsi="Cambria Math"/>
                <w:color w:val="auto"/>
              </w:rPr>
              <m:t>y</m:t>
            </m:r>
          </m:e>
          <m:sub>
            <m:r>
              <w:rPr>
                <w:rFonts w:ascii="Cambria Math" w:eastAsia="Arial Unicode MS" w:hAnsi="Cambria Math"/>
                <w:color w:val="auto"/>
              </w:rPr>
              <m:t>j</m:t>
            </m:r>
          </m:sub>
        </m:sSub>
        <m:r>
          <m:rPr>
            <m:sty m:val="p"/>
          </m:rPr>
          <w:rPr>
            <w:rFonts w:ascii="Cambria Math" w:eastAsia="Arial Unicode MS" w:hAnsi="Cambria Math"/>
            <w:color w:val="auto"/>
          </w:rPr>
          <m:t>∣</m:t>
        </m:r>
        <m:sSub>
          <m:sSubPr>
            <m:ctrlPr>
              <w:rPr>
                <w:rFonts w:ascii="Cambria Math" w:eastAsia="Arial Unicode MS" w:hAnsi="Cambria Math"/>
                <w:color w:val="auto"/>
              </w:rPr>
            </m:ctrlPr>
          </m:sSubPr>
          <m:e>
            <m:r>
              <w:rPr>
                <w:rFonts w:ascii="Cambria Math" w:eastAsia="Arial Unicode MS" w:hAnsi="Cambria Math"/>
                <w:color w:val="auto"/>
              </w:rPr>
              <m:t>p</m:t>
            </m:r>
          </m:e>
          <m:sub>
            <m:r>
              <w:rPr>
                <w:rFonts w:ascii="Cambria Math" w:eastAsia="Arial Unicode MS" w:hAnsi="Cambria Math"/>
                <w:color w:val="auto"/>
              </w:rPr>
              <m:t>j</m:t>
            </m:r>
          </m:sub>
        </m:sSub>
        <m:r>
          <m:rPr>
            <m:sty m:val="p"/>
          </m:rPr>
          <w:rPr>
            <w:rFonts w:ascii="Cambria Math" w:eastAsia="Arial Unicode MS" w:hAnsi="Cambria Math"/>
            <w:color w:val="auto"/>
          </w:rPr>
          <m:t>∼</m:t>
        </m:r>
        <m:r>
          <m:rPr>
            <m:nor/>
          </m:rPr>
          <w:rPr>
            <w:rFonts w:eastAsia="Arial Unicode MS"/>
            <w:color w:val="auto"/>
          </w:rPr>
          <m:t>binomial</m:t>
        </m:r>
        <m:d>
          <m:dPr>
            <m:ctrlPr>
              <w:rPr>
                <w:rFonts w:ascii="Cambria Math" w:eastAsia="Arial Unicode MS" w:hAnsi="Cambria Math"/>
                <w:color w:val="auto"/>
              </w:rPr>
            </m:ctrlPr>
          </m:dPr>
          <m:e>
            <m:sSub>
              <m:sSubPr>
                <m:ctrlPr>
                  <w:rPr>
                    <w:rFonts w:ascii="Cambria Math" w:eastAsia="Arial Unicode MS" w:hAnsi="Cambria Math"/>
                    <w:color w:val="auto"/>
                  </w:rPr>
                </m:ctrlPr>
              </m:sSubPr>
              <m:e>
                <m:r>
                  <w:rPr>
                    <w:rFonts w:ascii="Cambria Math" w:eastAsia="Arial Unicode MS" w:hAnsi="Cambria Math"/>
                    <w:color w:val="auto"/>
                  </w:rPr>
                  <m:t>p</m:t>
                </m:r>
              </m:e>
              <m:sub>
                <m:r>
                  <w:rPr>
                    <w:rFonts w:ascii="Cambria Math" w:eastAsia="Arial Unicode MS" w:hAnsi="Cambria Math"/>
                    <w:color w:val="auto"/>
                  </w:rPr>
                  <m:t>j</m:t>
                </m:r>
              </m:sub>
            </m:sSub>
          </m:e>
        </m:d>
      </m:oMath>
      <w:r w:rsidR="005F44A1" w:rsidRPr="002224D0">
        <w:rPr>
          <w:rFonts w:eastAsia="Arial Unicode MS"/>
          <w:color w:val="auto"/>
        </w:rPr>
        <w:t xml:space="preserve"> with </w:t>
      </w:r>
      <m:oMath>
        <m:sSub>
          <m:sSubPr>
            <m:ctrlPr>
              <w:rPr>
                <w:rFonts w:ascii="Cambria Math" w:eastAsia="Arial Unicode MS" w:hAnsi="Cambria Math"/>
                <w:color w:val="auto"/>
              </w:rPr>
            </m:ctrlPr>
          </m:sSubPr>
          <m:e>
            <m:r>
              <w:rPr>
                <w:rFonts w:ascii="Cambria Math" w:eastAsia="Arial Unicode MS" w:hAnsi="Cambria Math"/>
                <w:color w:val="auto"/>
              </w:rPr>
              <m:t>p</m:t>
            </m:r>
          </m:e>
          <m:sub>
            <m:r>
              <w:rPr>
                <w:rFonts w:ascii="Cambria Math" w:eastAsia="Arial Unicode MS" w:hAnsi="Cambria Math"/>
                <w:color w:val="auto"/>
              </w:rPr>
              <m:t>j</m:t>
            </m:r>
          </m:sub>
        </m:sSub>
        <m:r>
          <m:rPr>
            <m:sty m:val="p"/>
          </m:rPr>
          <w:rPr>
            <w:rFonts w:ascii="Cambria Math" w:eastAsia="Arial Unicode MS" w:hAnsi="Cambria Math"/>
            <w:color w:val="auto"/>
          </w:rPr>
          <m:t>∼</m:t>
        </m:r>
        <m:r>
          <m:rPr>
            <m:nor/>
          </m:rPr>
          <w:rPr>
            <w:rFonts w:eastAsia="Arial Unicode MS"/>
            <w:color w:val="auto"/>
          </w:rPr>
          <m:t>uniform</m:t>
        </m:r>
        <m:d>
          <m:dPr>
            <m:ctrlPr>
              <w:rPr>
                <w:rFonts w:ascii="Cambria Math" w:eastAsia="Arial Unicode MS" w:hAnsi="Cambria Math"/>
                <w:color w:val="auto"/>
              </w:rPr>
            </m:ctrlPr>
          </m:dPr>
          <m:e>
            <m:r>
              <m:rPr>
                <m:sty m:val="p"/>
              </m:rPr>
              <w:rPr>
                <w:rFonts w:ascii="Cambria Math" w:eastAsia="Arial Unicode MS" w:hAnsi="Cambria Math"/>
                <w:color w:val="auto"/>
              </w:rPr>
              <m:t>0,1</m:t>
            </m:r>
          </m:e>
        </m:d>
      </m:oMath>
      <w:r w:rsidR="005F44A1" w:rsidRPr="002224D0">
        <w:rPr>
          <w:rFonts w:eastAsia="Arial Unicode MS"/>
          <w:color w:val="auto"/>
        </w:rPr>
        <w:t xml:space="preserve">, where </w:t>
      </w:r>
      <m:oMath>
        <m:sSub>
          <m:sSubPr>
            <m:ctrlPr>
              <w:rPr>
                <w:rFonts w:ascii="Cambria Math" w:eastAsia="Arial Unicode MS" w:hAnsi="Cambria Math"/>
                <w:color w:val="auto"/>
              </w:rPr>
            </m:ctrlPr>
          </m:sSubPr>
          <m:e>
            <m:r>
              <w:rPr>
                <w:rFonts w:ascii="Cambria Math" w:eastAsia="Arial Unicode MS" w:hAnsi="Cambria Math"/>
                <w:color w:val="auto"/>
              </w:rPr>
              <m:t>y</m:t>
            </m:r>
          </m:e>
          <m:sub>
            <m:r>
              <w:rPr>
                <w:rFonts w:ascii="Cambria Math" w:eastAsia="Arial Unicode MS" w:hAnsi="Cambria Math"/>
                <w:color w:val="auto"/>
              </w:rPr>
              <m:t>j</m:t>
            </m:r>
          </m:sub>
        </m:sSub>
      </m:oMath>
      <w:r w:rsidR="005F44A1" w:rsidRPr="002224D0">
        <w:rPr>
          <w:rFonts w:eastAsia="Arial Unicode MS"/>
          <w:color w:val="auto"/>
        </w:rPr>
        <w:t xml:space="preserve"> is the number of patients experienced DLT at dose level </w:t>
      </w:r>
      <m:oMath>
        <m:r>
          <w:rPr>
            <w:rFonts w:ascii="Cambria Math" w:eastAsia="Arial Unicode MS" w:hAnsi="Cambria Math"/>
            <w:color w:val="auto"/>
          </w:rPr>
          <m:t>j</m:t>
        </m:r>
      </m:oMath>
      <w:r w:rsidR="005F44A1" w:rsidRPr="002224D0">
        <w:rPr>
          <w:rFonts w:eastAsia="Arial Unicode MS"/>
          <w:color w:val="auto"/>
        </w:rPr>
        <w:t>.  When the lowest dose is eliminated, stop the trial for safety.  The probability cutoff 0.95 is chosen to be consistent with the common practice that when the target DLT rate &lt;=1/6, a dose with 2/3 patients experienced DLT is eliminated.</w:t>
      </w:r>
    </w:p>
    <w:p w14:paraId="0CD4AC10" w14:textId="77777777" w:rsidR="00DE21F6" w:rsidRPr="002224D0" w:rsidRDefault="00DE21F6" w:rsidP="000B21DD">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eastAsia="Arial Unicode MS"/>
          <w:color w:val="auto"/>
        </w:rPr>
      </w:pPr>
    </w:p>
    <w:p w14:paraId="5F426FAA" w14:textId="77777777" w:rsidR="00532739" w:rsidRDefault="0071266C" w:rsidP="00532739">
      <w:pPr>
        <w:keepNext/>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pPr>
      <w:r>
        <w:rPr>
          <w:noProof/>
        </w:rPr>
        <w:lastRenderedPageBreak/>
        <w:drawing>
          <wp:inline distT="0" distB="0" distL="0" distR="0" wp14:anchorId="260C0500" wp14:editId="631B29EB">
            <wp:extent cx="5321935" cy="4770782"/>
            <wp:effectExtent l="0" t="0" r="0" b="0"/>
            <wp:docPr id="2009873843" name="Picture 1" descr="Figure 6. Flowchart for conducting the trial using the BOIN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873843" name="Picture 1" descr="Figure 6. Flowchart for conducting the trial using the BOIN design."/>
                    <pic:cNvPicPr/>
                  </pic:nvPicPr>
                  <pic:blipFill rotWithShape="1">
                    <a:blip r:embed="rId69"/>
                    <a:srcRect b="9486"/>
                    <a:stretch/>
                  </pic:blipFill>
                  <pic:spPr bwMode="auto">
                    <a:xfrm>
                      <a:off x="0" y="0"/>
                      <a:ext cx="5322498" cy="4771287"/>
                    </a:xfrm>
                    <a:prstGeom prst="rect">
                      <a:avLst/>
                    </a:prstGeom>
                    <a:ln>
                      <a:noFill/>
                    </a:ln>
                    <a:extLst>
                      <a:ext uri="{53640926-AAD7-44D8-BBD7-CCE9431645EC}">
                        <a14:shadowObscured xmlns:a14="http://schemas.microsoft.com/office/drawing/2010/main"/>
                      </a:ext>
                    </a:extLst>
                  </pic:spPr>
                </pic:pic>
              </a:graphicData>
            </a:graphic>
          </wp:inline>
        </w:drawing>
      </w:r>
    </w:p>
    <w:p w14:paraId="19F8AA43" w14:textId="0E7C02E0" w:rsidR="00DE21F6" w:rsidRPr="002224D0" w:rsidRDefault="00532739" w:rsidP="00532739">
      <w:pPr>
        <w:pStyle w:val="Caption"/>
        <w:rPr>
          <w:rFonts w:eastAsia="Arial Unicode MS"/>
          <w:color w:val="auto"/>
        </w:rPr>
      </w:pPr>
      <w:bookmarkStart w:id="102" w:name="_Ref171587385"/>
      <w:bookmarkStart w:id="103" w:name="_Ref170913822"/>
      <w:r w:rsidRPr="00584A9D">
        <w:rPr>
          <w:b/>
          <w:bCs/>
          <w:color w:val="auto"/>
        </w:rPr>
        <w:t xml:space="preserve">Figure </w:t>
      </w:r>
      <w:r w:rsidRPr="00584A9D">
        <w:rPr>
          <w:b/>
          <w:bCs/>
          <w:color w:val="auto"/>
        </w:rPr>
        <w:fldChar w:fldCharType="begin"/>
      </w:r>
      <w:r w:rsidRPr="00584A9D">
        <w:rPr>
          <w:b/>
          <w:bCs/>
          <w:color w:val="auto"/>
        </w:rPr>
        <w:instrText xml:space="preserve"> SEQ Figure \* ARABIC </w:instrText>
      </w:r>
      <w:r w:rsidRPr="00584A9D">
        <w:rPr>
          <w:b/>
          <w:bCs/>
          <w:color w:val="auto"/>
        </w:rPr>
        <w:fldChar w:fldCharType="separate"/>
      </w:r>
      <w:r w:rsidR="009C0D42">
        <w:rPr>
          <w:b/>
          <w:bCs/>
          <w:noProof/>
          <w:color w:val="auto"/>
        </w:rPr>
        <w:t>5</w:t>
      </w:r>
      <w:r w:rsidRPr="00584A9D">
        <w:rPr>
          <w:b/>
          <w:bCs/>
          <w:color w:val="auto"/>
        </w:rPr>
        <w:fldChar w:fldCharType="end"/>
      </w:r>
      <w:bookmarkEnd w:id="102"/>
      <w:r w:rsidR="000A20B2" w:rsidRPr="00584A9D">
        <w:rPr>
          <w:b/>
          <w:bCs/>
          <w:color w:val="auto"/>
        </w:rPr>
        <w:t>.</w:t>
      </w:r>
      <w:bookmarkEnd w:id="103"/>
      <w:r w:rsidR="009F3ADD" w:rsidRPr="002224D0">
        <w:rPr>
          <w:color w:val="auto"/>
        </w:rPr>
        <w:t xml:space="preserve"> Flowchart for trial conduct using the BOIN design.</w:t>
      </w:r>
    </w:p>
    <w:p w14:paraId="68AE91C3" w14:textId="77777777" w:rsidR="001D0D61" w:rsidRPr="002224D0" w:rsidRDefault="001D0D61" w:rsidP="000B21DD">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eastAsia="Arial Unicode MS"/>
          <w:color w:val="auto"/>
        </w:rPr>
      </w:pPr>
    </w:p>
    <w:p w14:paraId="1869D350" w14:textId="1E5E9BE0" w:rsidR="000D44A7" w:rsidRDefault="00EB47D8" w:rsidP="000B21DD">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eastAsia="Arial Unicode MS"/>
          <w:color w:val="auto"/>
        </w:rPr>
      </w:pPr>
      <w:r w:rsidRPr="002224D0">
        <w:rPr>
          <w:rFonts w:eastAsia="Arial Unicode MS"/>
          <w:color w:val="auto"/>
        </w:rPr>
        <w:t xml:space="preserve">The above dose escalation/de-escalation and elimination rule can be equivalently presented in </w:t>
      </w:r>
      <w:r w:rsidR="004431DE" w:rsidRPr="004431DE">
        <w:rPr>
          <w:rFonts w:eastAsia="Arial Unicode MS"/>
          <w:b/>
          <w:bCs/>
          <w:color w:val="auto"/>
          <w:highlight w:val="yellow"/>
        </w:rPr>
        <w:fldChar w:fldCharType="begin"/>
      </w:r>
      <w:r w:rsidR="004431DE" w:rsidRPr="004431DE">
        <w:rPr>
          <w:rFonts w:eastAsia="Arial Unicode MS"/>
          <w:b/>
          <w:bCs/>
          <w:color w:val="auto"/>
        </w:rPr>
        <w:instrText xml:space="preserve"> REF _Ref170913911 \h </w:instrText>
      </w:r>
      <w:r w:rsidR="004431DE">
        <w:rPr>
          <w:rFonts w:eastAsia="Arial Unicode MS"/>
          <w:b/>
          <w:bCs/>
          <w:color w:val="auto"/>
          <w:highlight w:val="yellow"/>
        </w:rPr>
        <w:instrText xml:space="preserve"> \* MERGEFORMAT </w:instrText>
      </w:r>
      <w:r w:rsidR="004431DE" w:rsidRPr="004431DE">
        <w:rPr>
          <w:rFonts w:eastAsia="Arial Unicode MS"/>
          <w:b/>
          <w:bCs/>
          <w:color w:val="auto"/>
          <w:highlight w:val="yellow"/>
        </w:rPr>
      </w:r>
      <w:r w:rsidR="004431DE" w:rsidRPr="004431DE">
        <w:rPr>
          <w:rFonts w:eastAsia="Arial Unicode MS"/>
          <w:b/>
          <w:bCs/>
          <w:color w:val="auto"/>
          <w:highlight w:val="yellow"/>
        </w:rPr>
        <w:fldChar w:fldCharType="separate"/>
      </w:r>
      <w:r w:rsidR="009C0D42" w:rsidRPr="004431DE">
        <w:rPr>
          <w:b/>
          <w:bCs/>
        </w:rPr>
        <w:t xml:space="preserve">Table </w:t>
      </w:r>
      <w:r w:rsidR="009C0D42">
        <w:rPr>
          <w:b/>
          <w:bCs/>
          <w:noProof/>
        </w:rPr>
        <w:t>1</w:t>
      </w:r>
      <w:r w:rsidR="004431DE" w:rsidRPr="004431DE">
        <w:rPr>
          <w:rFonts w:eastAsia="Arial Unicode MS"/>
          <w:b/>
          <w:bCs/>
          <w:color w:val="auto"/>
          <w:highlight w:val="yellow"/>
        </w:rPr>
        <w:fldChar w:fldCharType="end"/>
      </w:r>
      <w:r w:rsidRPr="002224D0">
        <w:rPr>
          <w:rFonts w:eastAsia="Arial Unicode MS"/>
          <w:color w:val="auto"/>
        </w:rPr>
        <w:t xml:space="preserve"> as follows, which will be used to conduct the trial:</w:t>
      </w:r>
    </w:p>
    <w:p w14:paraId="31A9C0E5" w14:textId="77777777" w:rsidR="00DC7A63" w:rsidRPr="002224D0" w:rsidRDefault="00DC7A63" w:rsidP="000B21DD">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eastAsia="Arial Unicode MS"/>
          <w:color w:val="auto"/>
        </w:rPr>
      </w:pPr>
    </w:p>
    <w:p w14:paraId="2B9341DF" w14:textId="46CBF472" w:rsidR="00943A2A" w:rsidRDefault="00943A2A" w:rsidP="00943A2A">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eastAsia="Arial Unicode MS"/>
          <w:color w:val="auto"/>
        </w:rPr>
      </w:pPr>
      <w:r w:rsidRPr="00A25922">
        <w:rPr>
          <w:rFonts w:eastAsia="Arial Unicode MS"/>
          <w:color w:val="auto"/>
        </w:rPr>
        <w:t xml:space="preserve">Specifically, let </w:t>
      </w:r>
      <w:r w:rsidRPr="00A25922">
        <w:rPr>
          <w:rFonts w:eastAsia="Arial Unicode MS"/>
          <w:i/>
          <w:iCs/>
          <w:color w:val="auto"/>
        </w:rPr>
        <w:t>c</w:t>
      </w:r>
      <w:r w:rsidRPr="00A25922">
        <w:rPr>
          <w:rFonts w:eastAsia="Arial Unicode MS"/>
          <w:color w:val="auto"/>
        </w:rPr>
        <w:t xml:space="preserve"> denote the dose level used for treating the current dose-escalation cohort. </w:t>
      </w:r>
      <w:r w:rsidR="00DC7A63">
        <w:rPr>
          <w:rFonts w:eastAsia="Arial Unicode MS"/>
          <w:color w:val="auto"/>
        </w:rPr>
        <w:t xml:space="preserve"> </w:t>
      </w:r>
      <w:r w:rsidRPr="00A25922">
        <w:rPr>
          <w:rFonts w:eastAsia="Arial Unicode MS"/>
          <w:color w:val="auto"/>
        </w:rPr>
        <w:t>The steps to conduct the dose escalation in BF-BOIN are described as follows:</w:t>
      </w:r>
    </w:p>
    <w:p w14:paraId="7E7CA5C2" w14:textId="77777777" w:rsidR="00DC7A63" w:rsidRPr="00A25922" w:rsidRDefault="00DC7A63" w:rsidP="00943A2A">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eastAsia="Arial Unicode MS"/>
          <w:color w:val="auto"/>
        </w:rPr>
      </w:pPr>
    </w:p>
    <w:p w14:paraId="4B52E3B9" w14:textId="77777777" w:rsidR="00943A2A" w:rsidRPr="002A326A" w:rsidRDefault="00943A2A" w:rsidP="00943A2A">
      <w:pPr>
        <w:pStyle w:val="ListParagraph"/>
        <w:numPr>
          <w:ilvl w:val="0"/>
          <w:numId w:val="86"/>
        </w:num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eastAsia="Arial Unicode MS"/>
          <w:color w:val="auto"/>
        </w:rPr>
      </w:pPr>
      <w:r w:rsidRPr="002A326A">
        <w:rPr>
          <w:rFonts w:eastAsia="Arial Unicode MS"/>
          <w:color w:val="auto"/>
        </w:rPr>
        <w:t>Patients in the first cohort are treated at dose level 1.</w:t>
      </w:r>
      <w:r>
        <w:rPr>
          <w:rFonts w:eastAsia="Arial Unicode MS"/>
          <w:color w:val="auto"/>
        </w:rPr>
        <w:t xml:space="preserve"> </w:t>
      </w:r>
      <w:r>
        <w:rPr>
          <w:rFonts w:eastAsia="Arial Unicode MS"/>
          <w:color w:val="auto"/>
        </w:rPr>
        <w:br/>
      </w:r>
    </w:p>
    <w:p w14:paraId="45F716A2" w14:textId="754C540D" w:rsidR="00943A2A" w:rsidRPr="002A326A" w:rsidRDefault="00943A2A" w:rsidP="00943A2A">
      <w:pPr>
        <w:pStyle w:val="ListParagraph"/>
        <w:numPr>
          <w:ilvl w:val="0"/>
          <w:numId w:val="86"/>
        </w:num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eastAsia="Arial Unicode MS"/>
          <w:color w:val="auto"/>
        </w:rPr>
      </w:pPr>
      <w:r w:rsidRPr="002A326A">
        <w:rPr>
          <w:rFonts w:eastAsia="Arial Unicode MS"/>
          <w:color w:val="auto"/>
        </w:rPr>
        <w:t xml:space="preserve">Use the BOIN rule displayed in Table </w:t>
      </w:r>
      <w:r w:rsidR="00FF52EA">
        <w:rPr>
          <w:rFonts w:eastAsia="Arial Unicode MS"/>
          <w:color w:val="auto"/>
        </w:rPr>
        <w:t>1</w:t>
      </w:r>
      <w:r w:rsidRPr="002A326A">
        <w:rPr>
          <w:rFonts w:eastAsia="Arial Unicode MS"/>
          <w:color w:val="auto"/>
        </w:rPr>
        <w:t xml:space="preserve"> to assess whether the decision based on the data observed at the current dose </w:t>
      </w:r>
      <w:r w:rsidRPr="00A25922">
        <w:rPr>
          <w:rFonts w:eastAsia="Arial Unicode MS"/>
          <w:i/>
          <w:iCs/>
          <w:color w:val="auto"/>
        </w:rPr>
        <w:t>c</w:t>
      </w:r>
      <w:r w:rsidRPr="002A326A">
        <w:rPr>
          <w:rFonts w:eastAsia="Arial Unicode MS"/>
          <w:color w:val="auto"/>
        </w:rPr>
        <w:t xml:space="preserve"> conflicts with that based on the data observed at the backfill dose (or any backfill doses if more than one dose is backfilled). </w:t>
      </w:r>
      <w:r w:rsidR="001E036F">
        <w:rPr>
          <w:rFonts w:eastAsia="Arial Unicode MS"/>
          <w:color w:val="auto"/>
        </w:rPr>
        <w:t xml:space="preserve"> </w:t>
      </w:r>
      <w:r w:rsidRPr="002A326A">
        <w:rPr>
          <w:rFonts w:eastAsia="Arial Unicode MS"/>
          <w:color w:val="auto"/>
        </w:rPr>
        <w:t xml:space="preserve">The conflict is </w:t>
      </w:r>
      <w:r>
        <w:rPr>
          <w:rFonts w:eastAsia="Arial Unicode MS"/>
          <w:color w:val="auto"/>
        </w:rPr>
        <w:t>defined</w:t>
      </w:r>
      <w:r w:rsidRPr="002A326A">
        <w:rPr>
          <w:rFonts w:eastAsia="Arial Unicode MS"/>
          <w:color w:val="auto"/>
        </w:rPr>
        <w:t xml:space="preserve"> in </w:t>
      </w:r>
      <w:r w:rsidR="00430260">
        <w:rPr>
          <w:rFonts w:eastAsia="Arial Unicode MS"/>
          <w:color w:val="auto"/>
        </w:rPr>
        <w:fldChar w:fldCharType="begin"/>
      </w:r>
      <w:r w:rsidR="00430260">
        <w:rPr>
          <w:rFonts w:eastAsia="Arial Unicode MS"/>
          <w:color w:val="auto"/>
        </w:rPr>
        <w:instrText xml:space="preserve"> REF _Ref175904298 \h </w:instrText>
      </w:r>
      <w:r w:rsidR="00430260">
        <w:rPr>
          <w:rFonts w:eastAsia="Arial Unicode MS"/>
          <w:color w:val="auto"/>
        </w:rPr>
      </w:r>
      <w:r w:rsidR="00430260">
        <w:rPr>
          <w:rFonts w:eastAsia="Arial Unicode MS"/>
          <w:color w:val="auto"/>
        </w:rPr>
        <w:fldChar w:fldCharType="separate"/>
      </w:r>
      <w:r w:rsidR="009C0D42" w:rsidRPr="00D010F4">
        <w:rPr>
          <w:b/>
          <w:bCs/>
        </w:rPr>
        <w:t xml:space="preserve">Table </w:t>
      </w:r>
      <w:r w:rsidR="009C0D42">
        <w:rPr>
          <w:b/>
          <w:bCs/>
          <w:noProof/>
        </w:rPr>
        <w:t>2</w:t>
      </w:r>
      <w:r w:rsidR="00430260">
        <w:rPr>
          <w:rFonts w:eastAsia="Arial Unicode MS"/>
          <w:color w:val="auto"/>
        </w:rPr>
        <w:fldChar w:fldCharType="end"/>
      </w:r>
      <w:r w:rsidRPr="002A326A">
        <w:rPr>
          <w:rFonts w:eastAsia="Arial Unicode MS"/>
          <w:color w:val="auto"/>
        </w:rPr>
        <w:t>.</w:t>
      </w:r>
      <w:r>
        <w:rPr>
          <w:rFonts w:eastAsia="Arial Unicode MS"/>
          <w:color w:val="auto"/>
        </w:rPr>
        <w:t xml:space="preserve"> </w:t>
      </w:r>
      <w:r>
        <w:rPr>
          <w:rFonts w:eastAsia="Arial Unicode MS"/>
          <w:color w:val="auto"/>
        </w:rPr>
        <w:br/>
      </w:r>
    </w:p>
    <w:p w14:paraId="332C2A4E" w14:textId="60F4E8F6" w:rsidR="00943A2A" w:rsidRDefault="00943A2A" w:rsidP="00943A2A">
      <w:pPr>
        <w:pStyle w:val="ListParagraph"/>
        <w:numPr>
          <w:ilvl w:val="0"/>
          <w:numId w:val="86"/>
        </w:num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eastAsia="Arial Unicode MS"/>
          <w:color w:val="auto"/>
        </w:rPr>
      </w:pPr>
      <w:r w:rsidRPr="002A326A">
        <w:rPr>
          <w:rFonts w:eastAsia="Arial Unicode MS"/>
          <w:color w:val="auto"/>
        </w:rPr>
        <w:t>(i)</w:t>
      </w:r>
      <w:r>
        <w:rPr>
          <w:rFonts w:eastAsia="Arial Unicode MS"/>
          <w:color w:val="auto"/>
        </w:rPr>
        <w:t xml:space="preserve"> </w:t>
      </w:r>
      <w:r w:rsidRPr="002A326A">
        <w:rPr>
          <w:rFonts w:eastAsia="Arial Unicode MS"/>
          <w:color w:val="auto"/>
        </w:rPr>
        <w:t xml:space="preserve">If no conflict is identified, perform dose escalation/de-escalation according to Table </w:t>
      </w:r>
      <w:r w:rsidR="00FF52EA">
        <w:rPr>
          <w:rFonts w:eastAsia="Arial Unicode MS"/>
          <w:color w:val="auto"/>
        </w:rPr>
        <w:t>1</w:t>
      </w:r>
      <w:r w:rsidRPr="002A326A">
        <w:rPr>
          <w:rFonts w:eastAsia="Arial Unicode MS"/>
          <w:color w:val="auto"/>
        </w:rPr>
        <w:t xml:space="preserve">. </w:t>
      </w:r>
      <w:r w:rsidR="001E036F">
        <w:rPr>
          <w:rFonts w:eastAsia="Arial Unicode MS"/>
          <w:color w:val="auto"/>
        </w:rPr>
        <w:t xml:space="preserve"> </w:t>
      </w:r>
      <w:r w:rsidRPr="002A326A">
        <w:rPr>
          <w:rFonts w:eastAsia="Arial Unicode MS"/>
          <w:color w:val="auto"/>
        </w:rPr>
        <w:t xml:space="preserve">When using Table </w:t>
      </w:r>
      <w:r w:rsidR="00FF52EA">
        <w:rPr>
          <w:rFonts w:eastAsia="Arial Unicode MS"/>
          <w:color w:val="auto"/>
        </w:rPr>
        <w:t>1</w:t>
      </w:r>
      <w:r w:rsidRPr="002A326A">
        <w:rPr>
          <w:rFonts w:eastAsia="Arial Unicode MS"/>
          <w:color w:val="auto"/>
        </w:rPr>
        <w:t>, please note the following:</w:t>
      </w:r>
    </w:p>
    <w:p w14:paraId="68E2D2CC" w14:textId="77777777" w:rsidR="00B25F0A" w:rsidRPr="002A326A" w:rsidRDefault="00B25F0A" w:rsidP="00D010F4">
      <w:pPr>
        <w:pStyle w:val="ListParagraph"/>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080"/>
        <w:rPr>
          <w:rFonts w:eastAsia="Arial Unicode MS"/>
          <w:color w:val="auto"/>
        </w:rPr>
      </w:pPr>
    </w:p>
    <w:p w14:paraId="405FC9ED" w14:textId="77777777" w:rsidR="00943A2A" w:rsidRPr="002A326A" w:rsidRDefault="00943A2A" w:rsidP="00943A2A">
      <w:pPr>
        <w:pStyle w:val="ListParagraph"/>
        <w:numPr>
          <w:ilvl w:val="0"/>
          <w:numId w:val="313"/>
        </w:num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eastAsia="Arial Unicode MS"/>
          <w:color w:val="auto"/>
        </w:rPr>
      </w:pPr>
      <w:r w:rsidRPr="002A326A">
        <w:rPr>
          <w:rFonts w:eastAsia="Arial Unicode MS"/>
          <w:color w:val="auto"/>
        </w:rPr>
        <w:t xml:space="preserve">“Eliminate” means eliminating the current dose and higher doses from the trial to </w:t>
      </w:r>
      <w:r w:rsidRPr="002A326A">
        <w:rPr>
          <w:rFonts w:eastAsia="Arial Unicode MS"/>
          <w:color w:val="auto"/>
        </w:rPr>
        <w:lastRenderedPageBreak/>
        <w:t>prevent treating any future patients at these doses because they are overly toxic.</w:t>
      </w:r>
    </w:p>
    <w:p w14:paraId="35D26FE6" w14:textId="60649AF9" w:rsidR="00943A2A" w:rsidRPr="002A326A" w:rsidRDefault="00943A2A" w:rsidP="00943A2A">
      <w:pPr>
        <w:pStyle w:val="ListParagraph"/>
        <w:numPr>
          <w:ilvl w:val="0"/>
          <w:numId w:val="313"/>
        </w:num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eastAsia="Arial Unicode MS"/>
          <w:color w:val="auto"/>
        </w:rPr>
      </w:pPr>
      <w:r w:rsidRPr="002A326A">
        <w:rPr>
          <w:rFonts w:eastAsia="Arial Unicode MS"/>
          <w:color w:val="auto"/>
        </w:rPr>
        <w:t>When the lowest dose is eliminated, stop the trial for safety.</w:t>
      </w:r>
      <w:r w:rsidR="001E036F">
        <w:rPr>
          <w:rFonts w:eastAsia="Arial Unicode MS"/>
          <w:color w:val="auto"/>
        </w:rPr>
        <w:t xml:space="preserve"> </w:t>
      </w:r>
      <w:r w:rsidRPr="002A326A">
        <w:rPr>
          <w:rFonts w:eastAsia="Arial Unicode MS"/>
          <w:color w:val="auto"/>
        </w:rPr>
        <w:t xml:space="preserve"> In this case, no dose should be selected as the MTD.</w:t>
      </w:r>
    </w:p>
    <w:p w14:paraId="651BAC7C" w14:textId="77777777" w:rsidR="00943A2A" w:rsidRPr="002A326A" w:rsidRDefault="00943A2A" w:rsidP="00943A2A">
      <w:pPr>
        <w:pStyle w:val="ListParagraph"/>
        <w:numPr>
          <w:ilvl w:val="0"/>
          <w:numId w:val="313"/>
        </w:num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eastAsia="Arial Unicode MS"/>
          <w:color w:val="auto"/>
        </w:rPr>
      </w:pPr>
      <w:r w:rsidRPr="002A326A">
        <w:rPr>
          <w:rFonts w:eastAsia="Arial Unicode MS"/>
          <w:color w:val="auto"/>
        </w:rPr>
        <w:t xml:space="preserve">If the current dose </w:t>
      </w:r>
      <w:r w:rsidRPr="00A25922">
        <w:rPr>
          <w:rFonts w:eastAsia="Arial Unicode MS"/>
          <w:i/>
          <w:iCs/>
          <w:color w:val="auto"/>
        </w:rPr>
        <w:t>c</w:t>
      </w:r>
      <w:r w:rsidRPr="002A326A">
        <w:rPr>
          <w:rFonts w:eastAsia="Arial Unicode MS"/>
          <w:color w:val="auto"/>
        </w:rPr>
        <w:t xml:space="preserve"> is the lowest dose and the rule indicates dose de-escalation, treat the new patients at the lowest dose unless the number of DLTs reaches the elimination boundary, at which point </w:t>
      </w:r>
      <w:proofErr w:type="gramStart"/>
      <w:r w:rsidRPr="002A326A">
        <w:rPr>
          <w:rFonts w:eastAsia="Arial Unicode MS"/>
          <w:color w:val="auto"/>
        </w:rPr>
        <w:t>terminate</w:t>
      </w:r>
      <w:proofErr w:type="gramEnd"/>
      <w:r w:rsidRPr="002A326A">
        <w:rPr>
          <w:rFonts w:eastAsia="Arial Unicode MS"/>
          <w:color w:val="auto"/>
        </w:rPr>
        <w:t xml:space="preserve"> the trial for safety.</w:t>
      </w:r>
    </w:p>
    <w:p w14:paraId="71B4FA65" w14:textId="77777777" w:rsidR="00943A2A" w:rsidRPr="002A326A" w:rsidRDefault="00943A2A" w:rsidP="00943A2A">
      <w:pPr>
        <w:pStyle w:val="ListParagraph"/>
        <w:numPr>
          <w:ilvl w:val="0"/>
          <w:numId w:val="313"/>
        </w:num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eastAsia="Arial Unicode MS"/>
          <w:color w:val="auto"/>
        </w:rPr>
      </w:pPr>
      <w:r w:rsidRPr="002A326A">
        <w:rPr>
          <w:rFonts w:eastAsia="Arial Unicode MS"/>
          <w:color w:val="auto"/>
        </w:rPr>
        <w:t xml:space="preserve">If the current dose is the highest dose and the rule indicates dose escalation, treat the new patients at </w:t>
      </w:r>
      <w:r w:rsidRPr="00A25922">
        <w:rPr>
          <w:rFonts w:eastAsia="Arial Unicode MS"/>
          <w:i/>
          <w:iCs/>
          <w:color w:val="auto"/>
        </w:rPr>
        <w:t>c</w:t>
      </w:r>
      <w:r w:rsidRPr="002A326A">
        <w:rPr>
          <w:rFonts w:eastAsia="Arial Unicode MS"/>
          <w:color w:val="auto"/>
        </w:rPr>
        <w:t>.</w:t>
      </w:r>
      <w:r>
        <w:rPr>
          <w:rFonts w:eastAsia="Arial Unicode MS"/>
          <w:color w:val="auto"/>
        </w:rPr>
        <w:t xml:space="preserve"> </w:t>
      </w:r>
      <w:r>
        <w:rPr>
          <w:rFonts w:eastAsia="Arial Unicode MS"/>
          <w:color w:val="auto"/>
        </w:rPr>
        <w:br/>
      </w:r>
    </w:p>
    <w:p w14:paraId="46F6DD5E" w14:textId="1C7D7C4E" w:rsidR="00943A2A" w:rsidRPr="002A326A" w:rsidRDefault="00943A2A" w:rsidP="00943A2A">
      <w:pPr>
        <w:pStyle w:val="ListParagraph"/>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080"/>
        <w:rPr>
          <w:rFonts w:eastAsia="Arial Unicode MS"/>
          <w:color w:val="auto"/>
        </w:rPr>
      </w:pPr>
      <w:r w:rsidRPr="002A326A">
        <w:rPr>
          <w:rFonts w:eastAsia="Arial Unicode MS"/>
          <w:color w:val="auto"/>
        </w:rPr>
        <w:t>(ii)</w:t>
      </w:r>
      <w:r>
        <w:rPr>
          <w:rFonts w:eastAsia="Arial Unicode MS"/>
          <w:color w:val="auto"/>
        </w:rPr>
        <w:t xml:space="preserve"> </w:t>
      </w:r>
      <w:r w:rsidRPr="002A326A">
        <w:rPr>
          <w:rFonts w:eastAsia="Arial Unicode MS"/>
          <w:color w:val="auto"/>
        </w:rPr>
        <w:t xml:space="preserve">If conflict is observed, let </w:t>
      </w:r>
      <w:r w:rsidRPr="00A25922">
        <w:rPr>
          <w:rFonts w:eastAsia="Arial Unicode MS"/>
          <w:i/>
          <w:iCs/>
          <w:color w:val="auto"/>
        </w:rPr>
        <w:t>b</w:t>
      </w:r>
      <w:r w:rsidRPr="002A326A">
        <w:rPr>
          <w:rFonts w:eastAsia="Arial Unicode MS"/>
          <w:color w:val="auto"/>
        </w:rPr>
        <w:t>* (</w:t>
      </w:r>
      <w:r w:rsidRPr="00A25922">
        <w:rPr>
          <w:rFonts w:eastAsia="Arial Unicode MS"/>
          <w:i/>
          <w:iCs/>
          <w:color w:val="auto"/>
        </w:rPr>
        <w:t>b</w:t>
      </w:r>
      <w:r w:rsidRPr="002A326A">
        <w:rPr>
          <w:rFonts w:eastAsia="Arial Unicode MS"/>
          <w:color w:val="auto"/>
        </w:rPr>
        <w:t>*&lt;</w:t>
      </w:r>
      <w:r>
        <w:rPr>
          <w:rFonts w:eastAsia="Arial Unicode MS"/>
          <w:color w:val="auto"/>
        </w:rPr>
        <w:t xml:space="preserve"> </w:t>
      </w:r>
      <w:r w:rsidRPr="00A25922">
        <w:rPr>
          <w:rFonts w:eastAsia="Arial Unicode MS"/>
          <w:i/>
          <w:iCs/>
          <w:color w:val="auto"/>
        </w:rPr>
        <w:t>c</w:t>
      </w:r>
      <w:r w:rsidRPr="002A326A">
        <w:rPr>
          <w:rFonts w:eastAsia="Arial Unicode MS"/>
          <w:color w:val="auto"/>
        </w:rPr>
        <w:t xml:space="preserve">) denote the backfill dose where the conflict occurs, and let </w:t>
      </w:r>
      <w:r w:rsidRPr="00A25922">
        <w:rPr>
          <w:rFonts w:eastAsia="Arial Unicode MS"/>
          <w:i/>
          <w:iCs/>
          <w:color w:val="auto"/>
        </w:rPr>
        <w:t>m</w:t>
      </w:r>
      <w:r w:rsidRPr="002A326A">
        <w:rPr>
          <w:rFonts w:eastAsia="Arial Unicode MS"/>
          <w:color w:val="auto"/>
        </w:rPr>
        <w:t xml:space="preserve"> and </w:t>
      </w:r>
      <w:r w:rsidRPr="00A25922">
        <w:rPr>
          <w:rFonts w:eastAsia="Arial Unicode MS"/>
          <w:i/>
          <w:iCs/>
          <w:color w:val="auto"/>
        </w:rPr>
        <w:t>t</w:t>
      </w:r>
      <w:r w:rsidRPr="002A326A">
        <w:rPr>
          <w:rFonts w:eastAsia="Arial Unicode MS"/>
          <w:color w:val="auto"/>
        </w:rPr>
        <w:t xml:space="preserve"> respectively denote the total number of patients who completed DLT assessment and the total number of patients who experienced DLT, pooled from </w:t>
      </w:r>
      <w:r w:rsidRPr="00A25922">
        <w:rPr>
          <w:rFonts w:eastAsia="Arial Unicode MS"/>
          <w:i/>
          <w:iCs/>
          <w:color w:val="auto"/>
        </w:rPr>
        <w:t>b</w:t>
      </w:r>
      <w:r w:rsidRPr="002A326A">
        <w:rPr>
          <w:rFonts w:eastAsia="Arial Unicode MS"/>
          <w:color w:val="auto"/>
        </w:rPr>
        <w:t xml:space="preserve">* to the current dose </w:t>
      </w:r>
      <w:r w:rsidRPr="00A25922">
        <w:rPr>
          <w:rFonts w:eastAsia="Arial Unicode MS"/>
          <w:i/>
          <w:iCs/>
          <w:color w:val="auto"/>
        </w:rPr>
        <w:t>c</w:t>
      </w:r>
      <w:r w:rsidRPr="002A326A">
        <w:rPr>
          <w:rFonts w:eastAsia="Arial Unicode MS"/>
          <w:color w:val="auto"/>
        </w:rPr>
        <w:t xml:space="preserve">. </w:t>
      </w:r>
      <w:r w:rsidR="001E036F">
        <w:rPr>
          <w:rFonts w:eastAsia="Arial Unicode MS"/>
          <w:color w:val="auto"/>
        </w:rPr>
        <w:t xml:space="preserve"> </w:t>
      </w:r>
      <w:r w:rsidRPr="002A326A">
        <w:rPr>
          <w:rFonts w:eastAsia="Arial Unicode MS"/>
          <w:color w:val="auto"/>
        </w:rPr>
        <w:t>Based on the pooled data m and</w:t>
      </w:r>
      <w:r w:rsidRPr="00A25922">
        <w:rPr>
          <w:rFonts w:eastAsia="Arial Unicode MS"/>
          <w:i/>
          <w:iCs/>
          <w:color w:val="auto"/>
        </w:rPr>
        <w:t xml:space="preserve"> t</w:t>
      </w:r>
      <w:r w:rsidRPr="002A326A">
        <w:rPr>
          <w:rFonts w:eastAsia="Arial Unicode MS"/>
          <w:color w:val="auto"/>
        </w:rPr>
        <w:t>, perform dose escalation/de-escalation according to Table 1, using the same rules described in Step 3(i) with the following modification:</w:t>
      </w:r>
      <w:r>
        <w:rPr>
          <w:rFonts w:eastAsia="Arial Unicode MS"/>
          <w:color w:val="auto"/>
        </w:rPr>
        <w:t xml:space="preserve"> </w:t>
      </w:r>
      <w:r>
        <w:rPr>
          <w:rFonts w:eastAsia="Arial Unicode MS"/>
          <w:color w:val="auto"/>
        </w:rPr>
        <w:br/>
      </w:r>
    </w:p>
    <w:p w14:paraId="07972F8D" w14:textId="34B7C29E" w:rsidR="00943A2A" w:rsidRPr="00D57975" w:rsidRDefault="00943A2A" w:rsidP="00943A2A">
      <w:pPr>
        <w:pStyle w:val="ListParagraph"/>
        <w:numPr>
          <w:ilvl w:val="0"/>
          <w:numId w:val="313"/>
        </w:num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eastAsia="Arial Unicode MS"/>
          <w:sz w:val="20"/>
          <w:szCs w:val="20"/>
        </w:rPr>
      </w:pPr>
      <w:r w:rsidRPr="002A326A">
        <w:rPr>
          <w:rFonts w:eastAsia="Arial Unicode MS"/>
          <w:color w:val="auto"/>
        </w:rPr>
        <w:t xml:space="preserve">If the decision according to Table 1 is to de-escalate the dose, rather than simply de-escalating to </w:t>
      </w:r>
      <w:r w:rsidRPr="00A25922">
        <w:rPr>
          <w:rFonts w:eastAsia="Arial Unicode MS"/>
          <w:i/>
          <w:iCs/>
          <w:color w:val="auto"/>
        </w:rPr>
        <w:t>c</w:t>
      </w:r>
      <w:r w:rsidRPr="002A326A">
        <w:rPr>
          <w:rFonts w:eastAsia="Arial Unicode MS"/>
          <w:color w:val="auto"/>
        </w:rPr>
        <w:t xml:space="preserve">-1, de-escalate to the highest dose level </w:t>
      </w:r>
      <w:r w:rsidRPr="00A25922">
        <w:rPr>
          <w:rFonts w:eastAsia="Arial Unicode MS"/>
          <w:i/>
          <w:iCs/>
          <w:color w:val="auto"/>
        </w:rPr>
        <w:t>k</w:t>
      </w:r>
      <w:r w:rsidRPr="002A326A">
        <w:rPr>
          <w:rFonts w:eastAsia="Arial Unicode MS"/>
          <w:color w:val="auto"/>
        </w:rPr>
        <w:t xml:space="preserve"> that is deemed safe with</w:t>
      </w:r>
      <w:r>
        <w:rPr>
          <w:rFonts w:eastAsia="Arial Unicode MS"/>
          <w:color w:val="auto"/>
        </w:rPr>
        <w:t xml:space="preserve"> </w:t>
      </w:r>
      <m:oMath>
        <m:sSub>
          <m:sSubPr>
            <m:ctrlPr>
              <w:rPr>
                <w:rFonts w:ascii="Cambria Math" w:hAnsi="Cambria Math"/>
              </w:rPr>
            </m:ctrlPr>
          </m:sSubPr>
          <m:e>
            <m:acc>
              <m:accPr>
                <m:ctrlPr>
                  <w:rPr>
                    <w:rFonts w:ascii="Cambria Math" w:hAnsi="Cambria Math"/>
                  </w:rPr>
                </m:ctrlPr>
              </m:accPr>
              <m:e>
                <m:r>
                  <w:rPr>
                    <w:rFonts w:ascii="Cambria Math" w:hAnsi="Cambria Math"/>
                  </w:rPr>
                  <m:t>q</m:t>
                </m:r>
              </m:e>
            </m:acc>
          </m:e>
          <m:sub>
            <m:r>
              <w:rPr>
                <w:rFonts w:ascii="Cambria Math" w:hAnsi="Cambria Math"/>
              </w:rPr>
              <m:t>k</m:t>
            </m:r>
          </m:sub>
        </m:sSub>
        <m:r>
          <m:rPr>
            <m:sty m:val="p"/>
          </m:rPr>
          <w:rPr>
            <w:rFonts w:ascii="Cambria Math" w:hAnsi="Cambria Math"/>
          </w:rPr>
          <m:t>≤</m:t>
        </m:r>
      </m:oMath>
      <w:r>
        <w:t xml:space="preserve"> 0.298, where </w:t>
      </w:r>
      <m:oMath>
        <m:sSup>
          <m:sSupPr>
            <m:ctrlPr>
              <w:rPr>
                <w:rFonts w:ascii="Cambria Math" w:hAnsi="Cambria Math"/>
              </w:rPr>
            </m:ctrlPr>
          </m:sSupPr>
          <m:e>
            <m:r>
              <w:rPr>
                <w:rFonts w:ascii="Cambria Math" w:hAnsi="Cambria Math"/>
              </w:rPr>
              <m:t>b</m:t>
            </m:r>
          </m:e>
          <m:sup>
            <m:r>
              <m:rPr>
                <m:sty m:val="p"/>
              </m:rPr>
              <w:rPr>
                <w:rFonts w:ascii="Cambria Math" w:hAnsi="Cambria Math"/>
              </w:rPr>
              <m:t>*</m:t>
            </m:r>
          </m:sup>
        </m:sSup>
        <m:r>
          <m:rPr>
            <m:sty m:val="p"/>
          </m:rPr>
          <w:rPr>
            <w:rFonts w:ascii="Cambria Math" w:hAnsi="Cambria Math"/>
          </w:rPr>
          <m:t>≤</m:t>
        </m:r>
        <m:r>
          <w:rPr>
            <w:rFonts w:ascii="Cambria Math" w:hAnsi="Cambria Math"/>
          </w:rPr>
          <m:t>k</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1</m:t>
        </m:r>
      </m:oMath>
      <w:r>
        <w:t xml:space="preserve">. </w:t>
      </w:r>
      <w:r w:rsidR="001E036F">
        <w:t xml:space="preserve"> </w:t>
      </w:r>
      <w:r w:rsidRPr="002A326A">
        <w:rPr>
          <w:rFonts w:eastAsia="Arial Unicode MS"/>
          <w:color w:val="auto"/>
        </w:rPr>
        <w:t>If such a dose does not exist, de-escalate to</w:t>
      </w:r>
      <w:r>
        <w:rPr>
          <w:rFonts w:eastAsia="Arial Unicode MS"/>
          <w:color w:val="auto"/>
        </w:rPr>
        <w:t xml:space="preserve"> </w:t>
      </w:r>
      <m:oMath>
        <m:sSup>
          <m:sSupPr>
            <m:ctrlPr>
              <w:rPr>
                <w:rFonts w:ascii="Cambria Math" w:hAnsi="Cambria Math"/>
              </w:rPr>
            </m:ctrlPr>
          </m:sSupPr>
          <m:e>
            <m:r>
              <w:rPr>
                <w:rFonts w:ascii="Cambria Math" w:hAnsi="Cambria Math"/>
              </w:rPr>
              <m:t>b</m:t>
            </m:r>
          </m:e>
          <m:sup>
            <m:r>
              <m:rPr>
                <m:sty m:val="p"/>
              </m:rPr>
              <w:rPr>
                <w:rFonts w:ascii="Cambria Math" w:hAnsi="Cambria Math"/>
              </w:rPr>
              <m:t>*</m:t>
            </m:r>
          </m:sup>
        </m:sSup>
        <m:r>
          <m:rPr>
            <m:sty m:val="p"/>
          </m:rPr>
          <w:rPr>
            <w:rFonts w:ascii="Cambria Math" w:hAnsi="Cambria Math"/>
          </w:rPr>
          <m:t>-</m:t>
        </m:r>
        <m:r>
          <w:rPr>
            <w:rFonts w:ascii="Cambria Math" w:hAnsi="Cambria Math"/>
          </w:rPr>
          <m:t>1</m:t>
        </m:r>
      </m:oMath>
      <w:r w:rsidRPr="002A326A">
        <w:rPr>
          <w:rFonts w:eastAsia="Arial Unicode MS"/>
          <w:color w:val="auto"/>
        </w:rPr>
        <w:t xml:space="preserve">. </w:t>
      </w:r>
      <w:r w:rsidR="001E036F">
        <w:rPr>
          <w:rFonts w:eastAsia="Arial Unicode MS"/>
          <w:color w:val="auto"/>
        </w:rPr>
        <w:t xml:space="preserve"> </w:t>
      </w:r>
      <w:r w:rsidRPr="002A326A">
        <w:rPr>
          <w:rFonts w:eastAsia="Arial Unicode MS"/>
          <w:color w:val="auto"/>
        </w:rPr>
        <w:t xml:space="preserve">Here, </w:t>
      </w:r>
      <m:oMath>
        <m:sSub>
          <m:sSubPr>
            <m:ctrlPr>
              <w:rPr>
                <w:rFonts w:ascii="Cambria Math" w:hAnsi="Cambria Math"/>
              </w:rPr>
            </m:ctrlPr>
          </m:sSubPr>
          <m:e>
            <m:acc>
              <m:accPr>
                <m:ctrlPr>
                  <w:rPr>
                    <w:rFonts w:ascii="Cambria Math" w:hAnsi="Cambria Math"/>
                  </w:rPr>
                </m:ctrlPr>
              </m:accPr>
              <m:e>
                <m:r>
                  <w:rPr>
                    <w:rFonts w:ascii="Cambria Math" w:hAnsi="Cambria Math"/>
                  </w:rPr>
                  <m:t>q</m:t>
                </m:r>
              </m:e>
            </m:acc>
          </m:e>
          <m:sub>
            <m:r>
              <w:rPr>
                <w:rFonts w:ascii="Cambria Math" w:hAnsi="Cambria Math"/>
              </w:rPr>
              <m:t>k</m:t>
            </m:r>
          </m:sub>
        </m:sSub>
      </m:oMath>
      <w:r>
        <w:rPr>
          <w:rFonts w:eastAsia="Arial Unicode MS"/>
        </w:rPr>
        <w:t xml:space="preserve"> </w:t>
      </w:r>
      <w:r w:rsidRPr="002A326A">
        <w:rPr>
          <w:rFonts w:eastAsia="Arial Unicode MS"/>
          <w:color w:val="auto"/>
        </w:rPr>
        <w:t xml:space="preserve">is the pooled DLT rate from </w:t>
      </w:r>
      <w:r w:rsidRPr="00837609">
        <w:rPr>
          <w:rFonts w:eastAsia="Arial Unicode MS"/>
          <w:i/>
          <w:iCs/>
          <w:color w:val="auto"/>
        </w:rPr>
        <w:t>b</w:t>
      </w:r>
      <w:r w:rsidRPr="002A326A">
        <w:rPr>
          <w:rFonts w:eastAsia="Arial Unicode MS"/>
          <w:color w:val="auto"/>
        </w:rPr>
        <w:t xml:space="preserve">* to a higher dose </w:t>
      </w:r>
      <w:r w:rsidRPr="00A25922">
        <w:rPr>
          <w:rFonts w:eastAsia="Arial Unicode MS"/>
          <w:i/>
          <w:iCs/>
          <w:color w:val="auto"/>
        </w:rPr>
        <w:t>k</w:t>
      </w:r>
      <w:r w:rsidRPr="002A326A">
        <w:rPr>
          <w:rFonts w:eastAsia="Arial Unicode MS"/>
          <w:color w:val="auto"/>
        </w:rPr>
        <w:t xml:space="preserve"> (</w:t>
      </w:r>
      <w:r w:rsidRPr="00A25922">
        <w:rPr>
          <w:rFonts w:eastAsia="Arial Unicode MS"/>
          <w:i/>
          <w:iCs/>
          <w:color w:val="auto"/>
        </w:rPr>
        <w:t>k</w:t>
      </w:r>
      <w:r>
        <w:rPr>
          <w:rFonts w:eastAsia="Arial Unicode MS"/>
          <w:color w:val="auto"/>
        </w:rPr>
        <w:t xml:space="preserve"> </w:t>
      </w:r>
      <w:r w:rsidRPr="002A326A">
        <w:rPr>
          <w:rFonts w:eastAsia="Arial Unicode MS" w:hint="eastAsia"/>
          <w:color w:val="auto"/>
        </w:rPr>
        <w:t>≥</w:t>
      </w:r>
      <w:r>
        <w:rPr>
          <w:rFonts w:eastAsia="Arial Unicode MS"/>
          <w:color w:val="auto"/>
        </w:rPr>
        <w:t xml:space="preserve"> </w:t>
      </w:r>
      <w:r w:rsidRPr="00837609">
        <w:rPr>
          <w:rFonts w:eastAsia="Arial Unicode MS"/>
          <w:i/>
          <w:iCs/>
          <w:color w:val="auto"/>
        </w:rPr>
        <w:t>b</w:t>
      </w:r>
      <w:r w:rsidRPr="002A326A">
        <w:rPr>
          <w:rFonts w:eastAsia="Arial Unicode MS"/>
          <w:color w:val="auto"/>
        </w:rPr>
        <w:t>*), defined as:</w:t>
      </w:r>
      <w:r>
        <w:rPr>
          <w:rFonts w:eastAsia="Arial Unicode MS"/>
          <w:color w:val="auto"/>
        </w:rPr>
        <w:t xml:space="preserve"> </w:t>
      </w:r>
      <w:r>
        <w:rPr>
          <w:rFonts w:eastAsia="Arial Unicode MS"/>
          <w:color w:val="auto"/>
        </w:rPr>
        <w:br/>
      </w:r>
      <m:oMath>
        <m:r>
          <w:rPr>
            <w:rFonts w:ascii="Cambria Math" w:hAnsi="Cambria Math"/>
          </w:rPr>
          <m:t> </m:t>
        </m:r>
        <m:sSub>
          <m:sSubPr>
            <m:ctrlPr>
              <w:rPr>
                <w:rFonts w:ascii="Cambria Math" w:hAnsi="Cambria Math"/>
              </w:rPr>
            </m:ctrlPr>
          </m:sSubPr>
          <m:e>
            <m:acc>
              <m:accPr>
                <m:ctrlPr>
                  <w:rPr>
                    <w:rFonts w:ascii="Cambria Math" w:hAnsi="Cambria Math"/>
                  </w:rPr>
                </m:ctrlPr>
              </m:accPr>
              <m:e>
                <m:r>
                  <w:rPr>
                    <w:rFonts w:ascii="Cambria Math" w:hAnsi="Cambria Math"/>
                  </w:rPr>
                  <m:t>q</m:t>
                </m:r>
              </m:e>
            </m:acc>
          </m:e>
          <m:sub>
            <m:r>
              <w:rPr>
                <w:rFonts w:ascii="Cambria Math" w:hAnsi="Cambria Math"/>
              </w:rPr>
              <m:t>k</m:t>
            </m:r>
          </m:sub>
        </m:sSub>
        <m:r>
          <m:rPr>
            <m:sty m:val="p"/>
          </m:rPr>
          <w:rPr>
            <w:rFonts w:ascii="Cambria Math" w:hAnsi="Cambria Math"/>
          </w:rPr>
          <m:t>=</m:t>
        </m:r>
        <m:f>
          <m:fPr>
            <m:ctrlPr>
              <w:rPr>
                <w:rFonts w:ascii="Cambria Math" w:hAnsi="Cambria Math"/>
              </w:rPr>
            </m:ctrlPr>
          </m:fPr>
          <m:num>
            <m:r>
              <w:rPr>
                <w:rFonts w:ascii="Cambria Math" w:hAnsi="Cambria Math"/>
              </w:rPr>
              <m:t>the total number of patients experienced DLT from dose </m:t>
            </m:r>
            <m:sSup>
              <m:sSupPr>
                <m:ctrlPr>
                  <w:rPr>
                    <w:rFonts w:ascii="Cambria Math" w:hAnsi="Cambria Math"/>
                  </w:rPr>
                </m:ctrlPr>
              </m:sSupPr>
              <m:e>
                <m:r>
                  <w:rPr>
                    <w:rFonts w:ascii="Cambria Math" w:hAnsi="Cambria Math"/>
                  </w:rPr>
                  <m:t>b</m:t>
                </m:r>
              </m:e>
              <m:sup>
                <m:r>
                  <m:rPr>
                    <m:sty m:val="p"/>
                  </m:rPr>
                  <w:rPr>
                    <w:rFonts w:ascii="Cambria Math" w:hAnsi="Cambria Math"/>
                  </w:rPr>
                  <m:t>*</m:t>
                </m:r>
              </m:sup>
            </m:sSup>
            <m:r>
              <w:rPr>
                <w:rFonts w:ascii="Cambria Math" w:hAnsi="Cambria Math"/>
              </w:rPr>
              <m:t> to k</m:t>
            </m:r>
          </m:num>
          <m:den>
            <m:r>
              <w:rPr>
                <w:rFonts w:ascii="Cambria Math" w:hAnsi="Cambria Math"/>
              </w:rPr>
              <m:t>the total number of patients completed DLT assessment from dose </m:t>
            </m:r>
            <m:sSup>
              <m:sSupPr>
                <m:ctrlPr>
                  <w:rPr>
                    <w:rFonts w:ascii="Cambria Math" w:hAnsi="Cambria Math"/>
                  </w:rPr>
                </m:ctrlPr>
              </m:sSupPr>
              <m:e>
                <m:r>
                  <w:rPr>
                    <w:rFonts w:ascii="Cambria Math" w:hAnsi="Cambria Math"/>
                  </w:rPr>
                  <m:t>b</m:t>
                </m:r>
              </m:e>
              <m:sup>
                <m:r>
                  <m:rPr>
                    <m:sty m:val="p"/>
                  </m:rPr>
                  <w:rPr>
                    <w:rFonts w:ascii="Cambria Math" w:hAnsi="Cambria Math"/>
                  </w:rPr>
                  <m:t>*</m:t>
                </m:r>
              </m:sup>
            </m:sSup>
            <m:r>
              <w:rPr>
                <w:rFonts w:ascii="Cambria Math" w:hAnsi="Cambria Math"/>
              </w:rPr>
              <m:t> to k</m:t>
            </m:r>
          </m:den>
        </m:f>
        <m:r>
          <m:rPr>
            <m:sty m:val="p"/>
          </m:rPr>
          <w:rPr>
            <w:rFonts w:ascii="Cambria Math" w:hAnsi="Cambria Math"/>
          </w:rPr>
          <m:t>.</m:t>
        </m:r>
      </m:oMath>
      <w:r>
        <w:rPr>
          <w:rFonts w:eastAsia="Arial Unicode MS"/>
          <w:sz w:val="20"/>
          <w:szCs w:val="20"/>
        </w:rPr>
        <w:t xml:space="preserve"> </w:t>
      </w:r>
      <w:r>
        <w:rPr>
          <w:rFonts w:eastAsia="Arial Unicode MS"/>
          <w:sz w:val="20"/>
          <w:szCs w:val="20"/>
        </w:rPr>
        <w:br/>
      </w:r>
      <w:r>
        <w:rPr>
          <w:rFonts w:eastAsia="Arial Unicode MS"/>
          <w:sz w:val="20"/>
          <w:szCs w:val="20"/>
        </w:rPr>
        <w:br/>
      </w:r>
      <w:r w:rsidRPr="00A25922">
        <w:rPr>
          <w:rFonts w:eastAsia="Arial Unicode MS"/>
        </w:rPr>
        <w:t>In the case that the elimination boundary is crossed, de-escalate to</w:t>
      </w:r>
      <w:r>
        <w:rPr>
          <w:rFonts w:eastAsia="Arial Unicode MS"/>
        </w:rPr>
        <w:t xml:space="preserve"> </w:t>
      </w:r>
      <w:r w:rsidRPr="00837609">
        <w:rPr>
          <w:rFonts w:eastAsia="Arial Unicode MS"/>
          <w:i/>
          <w:iCs/>
          <w:color w:val="auto"/>
        </w:rPr>
        <w:t>b</w:t>
      </w:r>
      <w:r w:rsidRPr="002A326A">
        <w:rPr>
          <w:rFonts w:eastAsia="Arial Unicode MS"/>
          <w:color w:val="auto"/>
        </w:rPr>
        <w:t>*</w:t>
      </w:r>
      <w:r>
        <w:rPr>
          <w:rFonts w:eastAsia="Arial Unicode MS"/>
          <w:color w:val="auto"/>
        </w:rPr>
        <w:t xml:space="preserve">-1. </w:t>
      </w:r>
    </w:p>
    <w:p w14:paraId="4E07E3E0" w14:textId="77777777" w:rsidR="00943A2A" w:rsidRDefault="00943A2A" w:rsidP="00943A2A">
      <w:pPr>
        <w:pStyle w:val="ListParagraph"/>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080"/>
        <w:rPr>
          <w:rFonts w:eastAsia="Arial Unicode MS"/>
          <w:color w:val="auto"/>
        </w:rPr>
      </w:pPr>
    </w:p>
    <w:p w14:paraId="1FBDF64C" w14:textId="77777777" w:rsidR="00943A2A" w:rsidRDefault="00943A2A" w:rsidP="00943A2A">
      <w:pPr>
        <w:pStyle w:val="ListParagraph"/>
        <w:numPr>
          <w:ilvl w:val="0"/>
          <w:numId w:val="86"/>
        </w:num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eastAsia="Arial Unicode MS"/>
          <w:color w:val="auto"/>
        </w:rPr>
      </w:pPr>
      <w:r w:rsidRPr="002A326A">
        <w:rPr>
          <w:rFonts w:eastAsia="Arial Unicode MS"/>
          <w:color w:val="auto"/>
        </w:rPr>
        <w:t>Repeat step 2 and 3 until the maximum dose escalation sample size of 30 is reached, or stop the trial early when one of the following two conditions is satisfied:</w:t>
      </w:r>
    </w:p>
    <w:p w14:paraId="334C7254" w14:textId="77777777" w:rsidR="005416D7" w:rsidRPr="002A326A" w:rsidRDefault="005416D7" w:rsidP="00D010F4">
      <w:pPr>
        <w:pStyle w:val="ListParagraph"/>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080"/>
        <w:rPr>
          <w:rFonts w:eastAsia="Arial Unicode MS"/>
          <w:color w:val="auto"/>
        </w:rPr>
      </w:pPr>
    </w:p>
    <w:p w14:paraId="559E86FE" w14:textId="1B1AD6F0" w:rsidR="00943A2A" w:rsidRPr="002A326A" w:rsidRDefault="00943A2A" w:rsidP="00943A2A">
      <w:pPr>
        <w:pStyle w:val="ListParagraph"/>
        <w:numPr>
          <w:ilvl w:val="0"/>
          <w:numId w:val="314"/>
        </w:num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eastAsia="Arial Unicode MS"/>
          <w:color w:val="auto"/>
        </w:rPr>
      </w:pPr>
      <w:r w:rsidRPr="002A326A">
        <w:rPr>
          <w:rFonts w:eastAsia="Arial Unicode MS"/>
          <w:color w:val="auto"/>
        </w:rPr>
        <w:t xml:space="preserve">The lowest dose reaches the elimination boundary, and if there is a conflict, the decision based on the pooled data using rule 3e is to de-escalate below the lowest dose. </w:t>
      </w:r>
      <w:r w:rsidR="001E036F">
        <w:rPr>
          <w:rFonts w:eastAsia="Arial Unicode MS"/>
          <w:color w:val="auto"/>
        </w:rPr>
        <w:t xml:space="preserve"> </w:t>
      </w:r>
      <w:r w:rsidRPr="002A326A">
        <w:rPr>
          <w:rFonts w:eastAsia="Arial Unicode MS"/>
          <w:color w:val="auto"/>
        </w:rPr>
        <w:t>In this scenario, no dose should be selected as the MTD.</w:t>
      </w:r>
    </w:p>
    <w:p w14:paraId="3DAD9FC1" w14:textId="77777777" w:rsidR="00943A2A" w:rsidRPr="002A326A" w:rsidRDefault="00943A2A" w:rsidP="00943A2A">
      <w:pPr>
        <w:pStyle w:val="ListParagraph"/>
        <w:numPr>
          <w:ilvl w:val="0"/>
          <w:numId w:val="314"/>
        </w:num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eastAsia="Arial Unicode MS"/>
          <w:color w:val="auto"/>
        </w:rPr>
      </w:pPr>
      <w:r w:rsidRPr="002A326A">
        <w:rPr>
          <w:rFonts w:eastAsia="Arial Unicode MS"/>
          <w:color w:val="auto"/>
        </w:rPr>
        <w:t>The number of patients treated at the current dose &gt;=12 and the decision according to step 3 is to stay at the current dose.</w:t>
      </w:r>
    </w:p>
    <w:p w14:paraId="1AB85101" w14:textId="77777777" w:rsidR="00036A7D" w:rsidRPr="002224D0" w:rsidRDefault="00036A7D" w:rsidP="00036A7D">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eastAsia="Arial Unicode MS"/>
          <w:color w:val="auto"/>
        </w:rPr>
      </w:pPr>
    </w:p>
    <w:p w14:paraId="5423815B" w14:textId="2DD5D094" w:rsidR="00491659" w:rsidRDefault="00491659" w:rsidP="00491659">
      <w:pPr>
        <w:pStyle w:val="Caption"/>
        <w:keepNext/>
      </w:pPr>
      <w:bookmarkStart w:id="104" w:name="_Ref170913911"/>
      <w:r w:rsidRPr="004431DE">
        <w:rPr>
          <w:b/>
          <w:bCs/>
        </w:rPr>
        <w:t xml:space="preserve">Table </w:t>
      </w:r>
      <w:r w:rsidRPr="004431DE">
        <w:rPr>
          <w:b/>
          <w:bCs/>
        </w:rPr>
        <w:fldChar w:fldCharType="begin"/>
      </w:r>
      <w:r w:rsidRPr="004431DE">
        <w:rPr>
          <w:b/>
          <w:bCs/>
        </w:rPr>
        <w:instrText xml:space="preserve"> SEQ Table \* ARABIC </w:instrText>
      </w:r>
      <w:r w:rsidRPr="004431DE">
        <w:rPr>
          <w:b/>
          <w:bCs/>
        </w:rPr>
        <w:fldChar w:fldCharType="separate"/>
      </w:r>
      <w:r w:rsidR="009C0D42">
        <w:rPr>
          <w:b/>
          <w:bCs/>
          <w:noProof/>
        </w:rPr>
        <w:t>1</w:t>
      </w:r>
      <w:r w:rsidRPr="004431DE">
        <w:rPr>
          <w:b/>
          <w:bCs/>
        </w:rPr>
        <w:fldChar w:fldCharType="end"/>
      </w:r>
      <w:bookmarkEnd w:id="104"/>
      <w:r w:rsidRPr="004431DE">
        <w:rPr>
          <w:b/>
          <w:bCs/>
        </w:rPr>
        <w:t>.</w:t>
      </w:r>
      <w:r>
        <w:t xml:space="preserve"> </w:t>
      </w:r>
      <w:r w:rsidR="002A2354">
        <w:t xml:space="preserve">Dose Escalation/De-Escalation Rule for the </w:t>
      </w:r>
      <w:r w:rsidR="00DF5EDB">
        <w:t>BF-</w:t>
      </w:r>
      <w:r w:rsidR="002A2354">
        <w:t>BOIN Design.</w:t>
      </w:r>
    </w:p>
    <w:tbl>
      <w:tblPr>
        <w:tblStyle w:val="TableGrid"/>
        <w:tblW w:w="0" w:type="auto"/>
        <w:tblLook w:val="04A0" w:firstRow="1" w:lastRow="0" w:firstColumn="1" w:lastColumn="0" w:noHBand="0" w:noVBand="1"/>
      </w:tblPr>
      <w:tblGrid>
        <w:gridCol w:w="1150"/>
        <w:gridCol w:w="816"/>
        <w:gridCol w:w="817"/>
        <w:gridCol w:w="817"/>
        <w:gridCol w:w="817"/>
        <w:gridCol w:w="817"/>
        <w:gridCol w:w="817"/>
        <w:gridCol w:w="817"/>
        <w:gridCol w:w="840"/>
        <w:gridCol w:w="840"/>
        <w:gridCol w:w="802"/>
      </w:tblGrid>
      <w:tr w:rsidR="00DF3667" w14:paraId="35C8A147" w14:textId="79C2EF16" w:rsidTr="00EE41C5">
        <w:trPr>
          <w:cantSplit/>
          <w:tblHeader/>
        </w:trPr>
        <w:tc>
          <w:tcPr>
            <w:tcW w:w="1150" w:type="dxa"/>
            <w:vMerge w:val="restart"/>
            <w:vAlign w:val="center"/>
          </w:tcPr>
          <w:p w14:paraId="5864BBE4" w14:textId="5EC827FF" w:rsidR="00DF3667" w:rsidRPr="00687A0F" w:rsidRDefault="00DF3667"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687A0F">
              <w:rPr>
                <w:rFonts w:eastAsia="Arial Unicode MS"/>
                <w:color w:val="auto"/>
              </w:rPr>
              <w:t>Decision</w:t>
            </w:r>
          </w:p>
        </w:tc>
        <w:tc>
          <w:tcPr>
            <w:tcW w:w="8200" w:type="dxa"/>
            <w:gridSpan w:val="10"/>
            <w:vAlign w:val="center"/>
          </w:tcPr>
          <w:p w14:paraId="465B18FA" w14:textId="6AAE876D" w:rsidR="00DF3667" w:rsidRPr="00687A0F" w:rsidRDefault="00DF3667"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687A0F">
              <w:rPr>
                <w:rFonts w:eastAsia="Arial Unicode MS"/>
                <w:color w:val="auto"/>
              </w:rPr>
              <w:t>The number of evaluable patients treated at a current dose</w:t>
            </w:r>
          </w:p>
        </w:tc>
      </w:tr>
      <w:tr w:rsidR="00DF3667" w14:paraId="4E4CCE7E" w14:textId="62CBE6BF" w:rsidTr="00EE41C5">
        <w:trPr>
          <w:cantSplit/>
          <w:tblHeader/>
        </w:trPr>
        <w:tc>
          <w:tcPr>
            <w:tcW w:w="1150" w:type="dxa"/>
            <w:vMerge/>
            <w:vAlign w:val="center"/>
          </w:tcPr>
          <w:p w14:paraId="6CDFF7A2" w14:textId="17C11E23" w:rsidR="00DF3667" w:rsidRPr="00687A0F" w:rsidRDefault="00DF3667"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p>
        </w:tc>
        <w:tc>
          <w:tcPr>
            <w:tcW w:w="816" w:type="dxa"/>
            <w:shd w:val="clear" w:color="auto" w:fill="F2F2F2" w:themeFill="background1" w:themeFillShade="F2"/>
            <w:vAlign w:val="center"/>
          </w:tcPr>
          <w:p w14:paraId="672BEFB2" w14:textId="5942F784" w:rsidR="00DF3667" w:rsidRPr="00687A0F" w:rsidRDefault="00DF3667"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b/>
                <w:bCs/>
                <w:color w:val="auto"/>
              </w:rPr>
            </w:pPr>
            <w:r w:rsidRPr="00687A0F">
              <w:rPr>
                <w:rFonts w:eastAsia="Arial Unicode MS"/>
                <w:b/>
                <w:bCs/>
                <w:color w:val="auto"/>
              </w:rPr>
              <w:t>3</w:t>
            </w:r>
          </w:p>
        </w:tc>
        <w:tc>
          <w:tcPr>
            <w:tcW w:w="817" w:type="dxa"/>
            <w:vAlign w:val="center"/>
          </w:tcPr>
          <w:p w14:paraId="1B976498" w14:textId="791E633C" w:rsidR="00DF3667" w:rsidRPr="00687A0F" w:rsidRDefault="00DF3667"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687A0F">
              <w:rPr>
                <w:rFonts w:eastAsia="Arial Unicode MS"/>
                <w:color w:val="auto"/>
              </w:rPr>
              <w:t>4</w:t>
            </w:r>
          </w:p>
        </w:tc>
        <w:tc>
          <w:tcPr>
            <w:tcW w:w="817" w:type="dxa"/>
            <w:vAlign w:val="center"/>
          </w:tcPr>
          <w:p w14:paraId="19FAE866" w14:textId="1DD1DE4C" w:rsidR="00DF3667" w:rsidRPr="00687A0F" w:rsidRDefault="00DF3667"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687A0F">
              <w:rPr>
                <w:rFonts w:eastAsia="Arial Unicode MS"/>
                <w:color w:val="auto"/>
              </w:rPr>
              <w:t>5</w:t>
            </w:r>
          </w:p>
        </w:tc>
        <w:tc>
          <w:tcPr>
            <w:tcW w:w="817" w:type="dxa"/>
            <w:shd w:val="clear" w:color="auto" w:fill="F2F2F2" w:themeFill="background1" w:themeFillShade="F2"/>
            <w:vAlign w:val="center"/>
          </w:tcPr>
          <w:p w14:paraId="49B247FA" w14:textId="1749D9DC" w:rsidR="00DF3667" w:rsidRPr="00687A0F" w:rsidRDefault="00DF3667"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b/>
                <w:bCs/>
                <w:color w:val="auto"/>
              </w:rPr>
            </w:pPr>
            <w:r w:rsidRPr="00687A0F">
              <w:rPr>
                <w:rFonts w:eastAsia="Arial Unicode MS"/>
                <w:b/>
                <w:bCs/>
                <w:color w:val="auto"/>
              </w:rPr>
              <w:t>6</w:t>
            </w:r>
          </w:p>
        </w:tc>
        <w:tc>
          <w:tcPr>
            <w:tcW w:w="817" w:type="dxa"/>
            <w:vAlign w:val="center"/>
          </w:tcPr>
          <w:p w14:paraId="57802121" w14:textId="07379502" w:rsidR="00DF3667" w:rsidRPr="00687A0F" w:rsidRDefault="00DF3667"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687A0F">
              <w:rPr>
                <w:rFonts w:eastAsia="Arial Unicode MS"/>
                <w:color w:val="auto"/>
              </w:rPr>
              <w:t>7</w:t>
            </w:r>
          </w:p>
        </w:tc>
        <w:tc>
          <w:tcPr>
            <w:tcW w:w="817" w:type="dxa"/>
            <w:vAlign w:val="center"/>
          </w:tcPr>
          <w:p w14:paraId="6983CAA0" w14:textId="7A5C1729" w:rsidR="00DF3667" w:rsidRPr="00687A0F" w:rsidRDefault="00DF3667"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687A0F">
              <w:rPr>
                <w:rFonts w:eastAsia="Arial Unicode MS"/>
                <w:color w:val="auto"/>
              </w:rPr>
              <w:t>8</w:t>
            </w:r>
          </w:p>
        </w:tc>
        <w:tc>
          <w:tcPr>
            <w:tcW w:w="817" w:type="dxa"/>
            <w:shd w:val="clear" w:color="auto" w:fill="F2F2F2" w:themeFill="background1" w:themeFillShade="F2"/>
            <w:vAlign w:val="center"/>
          </w:tcPr>
          <w:p w14:paraId="00013B96" w14:textId="39F16AE5" w:rsidR="00DF3667" w:rsidRPr="00687A0F" w:rsidRDefault="00DF3667"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b/>
                <w:bCs/>
                <w:color w:val="auto"/>
              </w:rPr>
            </w:pPr>
            <w:r w:rsidRPr="00687A0F">
              <w:rPr>
                <w:rFonts w:eastAsia="Arial Unicode MS"/>
                <w:b/>
                <w:bCs/>
                <w:color w:val="auto"/>
              </w:rPr>
              <w:t>9</w:t>
            </w:r>
          </w:p>
        </w:tc>
        <w:tc>
          <w:tcPr>
            <w:tcW w:w="840" w:type="dxa"/>
            <w:vAlign w:val="center"/>
          </w:tcPr>
          <w:p w14:paraId="4A57ACB4" w14:textId="47D48672" w:rsidR="00DF3667" w:rsidRPr="00687A0F" w:rsidRDefault="00DF3667"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687A0F">
              <w:rPr>
                <w:rFonts w:eastAsia="Arial Unicode MS"/>
                <w:color w:val="auto"/>
              </w:rPr>
              <w:t>10</w:t>
            </w:r>
          </w:p>
        </w:tc>
        <w:tc>
          <w:tcPr>
            <w:tcW w:w="840" w:type="dxa"/>
            <w:vAlign w:val="center"/>
          </w:tcPr>
          <w:p w14:paraId="20894C9C" w14:textId="2CDF9C6D" w:rsidR="00DF3667" w:rsidRPr="00687A0F" w:rsidRDefault="00DF3667"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687A0F">
              <w:rPr>
                <w:rFonts w:eastAsia="Arial Unicode MS"/>
                <w:color w:val="auto"/>
              </w:rPr>
              <w:t>11</w:t>
            </w:r>
          </w:p>
        </w:tc>
        <w:tc>
          <w:tcPr>
            <w:tcW w:w="802" w:type="dxa"/>
            <w:shd w:val="clear" w:color="auto" w:fill="F2F2F2" w:themeFill="background1" w:themeFillShade="F2"/>
            <w:vAlign w:val="center"/>
          </w:tcPr>
          <w:p w14:paraId="436010E4" w14:textId="3F20B370" w:rsidR="00DF3667" w:rsidRPr="00687A0F" w:rsidRDefault="00DF3667"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b/>
                <w:bCs/>
                <w:color w:val="auto"/>
              </w:rPr>
            </w:pPr>
            <w:r w:rsidRPr="00687A0F">
              <w:rPr>
                <w:rFonts w:eastAsia="Arial Unicode MS"/>
                <w:b/>
                <w:bCs/>
                <w:color w:val="auto"/>
              </w:rPr>
              <w:t>12</w:t>
            </w:r>
          </w:p>
        </w:tc>
      </w:tr>
      <w:tr w:rsidR="00DF3667" w14:paraId="73B89AFA" w14:textId="02F519E5" w:rsidTr="00EE41C5">
        <w:trPr>
          <w:cantSplit/>
        </w:trPr>
        <w:tc>
          <w:tcPr>
            <w:tcW w:w="1150" w:type="dxa"/>
            <w:vAlign w:val="center"/>
          </w:tcPr>
          <w:p w14:paraId="739A9F19" w14:textId="27832B89" w:rsidR="00DF3667" w:rsidRPr="00687A0F" w:rsidRDefault="00DF3667"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687A0F">
              <w:rPr>
                <w:rFonts w:eastAsia="Arial Unicode MS"/>
                <w:color w:val="auto"/>
              </w:rPr>
              <w:t>Escalate if # of DLT &lt;=</w:t>
            </w:r>
          </w:p>
        </w:tc>
        <w:tc>
          <w:tcPr>
            <w:tcW w:w="816" w:type="dxa"/>
            <w:shd w:val="clear" w:color="auto" w:fill="F2F2F2" w:themeFill="background1" w:themeFillShade="F2"/>
            <w:vAlign w:val="center"/>
          </w:tcPr>
          <w:p w14:paraId="0DD66E6F" w14:textId="75FEF12F" w:rsidR="00DF3667" w:rsidRPr="00687A0F" w:rsidRDefault="001374B8"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b/>
                <w:bCs/>
                <w:color w:val="auto"/>
              </w:rPr>
            </w:pPr>
            <w:r w:rsidRPr="00687A0F">
              <w:rPr>
                <w:rFonts w:eastAsia="Arial Unicode MS"/>
                <w:b/>
                <w:bCs/>
                <w:color w:val="auto"/>
              </w:rPr>
              <w:t>0</w:t>
            </w:r>
          </w:p>
        </w:tc>
        <w:tc>
          <w:tcPr>
            <w:tcW w:w="817" w:type="dxa"/>
            <w:vAlign w:val="center"/>
          </w:tcPr>
          <w:p w14:paraId="76573E9C" w14:textId="1691037F" w:rsidR="00DF3667" w:rsidRPr="00687A0F" w:rsidRDefault="001374B8"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687A0F">
              <w:rPr>
                <w:rFonts w:eastAsia="Arial Unicode MS"/>
                <w:color w:val="auto"/>
              </w:rPr>
              <w:t>0</w:t>
            </w:r>
          </w:p>
        </w:tc>
        <w:tc>
          <w:tcPr>
            <w:tcW w:w="817" w:type="dxa"/>
            <w:vAlign w:val="center"/>
          </w:tcPr>
          <w:p w14:paraId="0C09DFE9" w14:textId="543FD2D6" w:rsidR="00DF3667" w:rsidRPr="00687A0F" w:rsidRDefault="001374B8"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687A0F">
              <w:rPr>
                <w:rFonts w:eastAsia="Arial Unicode MS"/>
                <w:color w:val="auto"/>
              </w:rPr>
              <w:t>0</w:t>
            </w:r>
          </w:p>
        </w:tc>
        <w:tc>
          <w:tcPr>
            <w:tcW w:w="817" w:type="dxa"/>
            <w:shd w:val="clear" w:color="auto" w:fill="F2F2F2" w:themeFill="background1" w:themeFillShade="F2"/>
            <w:vAlign w:val="center"/>
          </w:tcPr>
          <w:p w14:paraId="71DF9D39" w14:textId="2F884252" w:rsidR="00DF3667" w:rsidRPr="00687A0F" w:rsidRDefault="001374B8"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b/>
                <w:bCs/>
                <w:color w:val="auto"/>
              </w:rPr>
            </w:pPr>
            <w:r w:rsidRPr="00687A0F">
              <w:rPr>
                <w:rFonts w:eastAsia="Arial Unicode MS"/>
                <w:b/>
                <w:bCs/>
                <w:color w:val="auto"/>
              </w:rPr>
              <w:t>1</w:t>
            </w:r>
          </w:p>
        </w:tc>
        <w:tc>
          <w:tcPr>
            <w:tcW w:w="817" w:type="dxa"/>
            <w:vAlign w:val="center"/>
          </w:tcPr>
          <w:p w14:paraId="2A9F7AA9" w14:textId="196510D1" w:rsidR="00DF3667" w:rsidRPr="00687A0F" w:rsidRDefault="001374B8"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687A0F">
              <w:rPr>
                <w:rFonts w:eastAsia="Arial Unicode MS"/>
                <w:color w:val="auto"/>
              </w:rPr>
              <w:t>1</w:t>
            </w:r>
          </w:p>
        </w:tc>
        <w:tc>
          <w:tcPr>
            <w:tcW w:w="817" w:type="dxa"/>
            <w:vAlign w:val="center"/>
          </w:tcPr>
          <w:p w14:paraId="43316F0D" w14:textId="5542F146" w:rsidR="00DF3667" w:rsidRPr="00687A0F" w:rsidRDefault="001374B8"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687A0F">
              <w:rPr>
                <w:rFonts w:eastAsia="Arial Unicode MS"/>
                <w:color w:val="auto"/>
              </w:rPr>
              <w:t>1</w:t>
            </w:r>
          </w:p>
        </w:tc>
        <w:tc>
          <w:tcPr>
            <w:tcW w:w="817" w:type="dxa"/>
            <w:shd w:val="clear" w:color="auto" w:fill="F2F2F2" w:themeFill="background1" w:themeFillShade="F2"/>
            <w:vAlign w:val="center"/>
          </w:tcPr>
          <w:p w14:paraId="5A7E0E67" w14:textId="042EF1FC" w:rsidR="00DF3667" w:rsidRPr="00687A0F" w:rsidRDefault="001374B8"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b/>
                <w:bCs/>
                <w:color w:val="auto"/>
              </w:rPr>
            </w:pPr>
            <w:r w:rsidRPr="00687A0F">
              <w:rPr>
                <w:rFonts w:eastAsia="Arial Unicode MS"/>
                <w:b/>
                <w:bCs/>
                <w:color w:val="auto"/>
              </w:rPr>
              <w:t>1</w:t>
            </w:r>
          </w:p>
        </w:tc>
        <w:tc>
          <w:tcPr>
            <w:tcW w:w="840" w:type="dxa"/>
            <w:vAlign w:val="center"/>
          </w:tcPr>
          <w:p w14:paraId="30FB669A" w14:textId="18060513" w:rsidR="00DF3667" w:rsidRPr="00687A0F" w:rsidRDefault="001374B8"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687A0F">
              <w:rPr>
                <w:rFonts w:eastAsia="Arial Unicode MS"/>
                <w:color w:val="auto"/>
              </w:rPr>
              <w:t>1</w:t>
            </w:r>
          </w:p>
        </w:tc>
        <w:tc>
          <w:tcPr>
            <w:tcW w:w="840" w:type="dxa"/>
            <w:vAlign w:val="center"/>
          </w:tcPr>
          <w:p w14:paraId="379BEBFA" w14:textId="488E628E" w:rsidR="00DF3667" w:rsidRPr="00687A0F" w:rsidRDefault="001374B8"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687A0F">
              <w:rPr>
                <w:rFonts w:eastAsia="Arial Unicode MS"/>
                <w:color w:val="auto"/>
              </w:rPr>
              <w:t>2</w:t>
            </w:r>
          </w:p>
        </w:tc>
        <w:tc>
          <w:tcPr>
            <w:tcW w:w="802" w:type="dxa"/>
            <w:shd w:val="clear" w:color="auto" w:fill="F2F2F2" w:themeFill="background1" w:themeFillShade="F2"/>
            <w:vAlign w:val="center"/>
          </w:tcPr>
          <w:p w14:paraId="0FEF11A7" w14:textId="1967C8C4" w:rsidR="00DF3667" w:rsidRPr="00687A0F" w:rsidRDefault="001374B8"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b/>
                <w:bCs/>
                <w:color w:val="auto"/>
              </w:rPr>
            </w:pPr>
            <w:r w:rsidRPr="00687A0F">
              <w:rPr>
                <w:rFonts w:eastAsia="Arial Unicode MS"/>
                <w:b/>
                <w:bCs/>
                <w:color w:val="auto"/>
              </w:rPr>
              <w:t>2</w:t>
            </w:r>
          </w:p>
        </w:tc>
      </w:tr>
      <w:tr w:rsidR="00DF3667" w14:paraId="05941F2A" w14:textId="4064468B" w:rsidTr="00EE41C5">
        <w:trPr>
          <w:cantSplit/>
        </w:trPr>
        <w:tc>
          <w:tcPr>
            <w:tcW w:w="1150" w:type="dxa"/>
            <w:vAlign w:val="center"/>
          </w:tcPr>
          <w:p w14:paraId="0C1E5BC4" w14:textId="06A5EDBF" w:rsidR="00DF3667" w:rsidRPr="00687A0F" w:rsidRDefault="00DF3667"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687A0F">
              <w:rPr>
                <w:rFonts w:eastAsia="Arial Unicode MS"/>
                <w:color w:val="auto"/>
              </w:rPr>
              <w:t>Stay if # of DLT =</w:t>
            </w:r>
          </w:p>
        </w:tc>
        <w:tc>
          <w:tcPr>
            <w:tcW w:w="816" w:type="dxa"/>
            <w:shd w:val="clear" w:color="auto" w:fill="F2F2F2" w:themeFill="background1" w:themeFillShade="F2"/>
            <w:vAlign w:val="center"/>
          </w:tcPr>
          <w:p w14:paraId="03B313E5" w14:textId="5077907C" w:rsidR="00DF3667" w:rsidRPr="00687A0F" w:rsidRDefault="001374B8"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b/>
                <w:bCs/>
                <w:color w:val="auto"/>
              </w:rPr>
            </w:pPr>
            <w:r w:rsidRPr="00687A0F">
              <w:rPr>
                <w:rFonts w:eastAsia="Arial Unicode MS"/>
                <w:b/>
                <w:bCs/>
                <w:color w:val="auto"/>
              </w:rPr>
              <w:t>1</w:t>
            </w:r>
          </w:p>
        </w:tc>
        <w:tc>
          <w:tcPr>
            <w:tcW w:w="817" w:type="dxa"/>
            <w:vAlign w:val="center"/>
          </w:tcPr>
          <w:p w14:paraId="080EF9AF" w14:textId="2F63F208" w:rsidR="00DF3667" w:rsidRPr="00687A0F" w:rsidRDefault="00B3180F"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687A0F">
              <w:rPr>
                <w:rFonts w:eastAsia="Arial Unicode MS"/>
                <w:color w:val="auto"/>
              </w:rPr>
              <w:t>1</w:t>
            </w:r>
          </w:p>
        </w:tc>
        <w:tc>
          <w:tcPr>
            <w:tcW w:w="817" w:type="dxa"/>
            <w:vAlign w:val="center"/>
          </w:tcPr>
          <w:p w14:paraId="418D589C" w14:textId="2848DEEB" w:rsidR="00DF3667" w:rsidRPr="00687A0F" w:rsidRDefault="00B3180F"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687A0F">
              <w:rPr>
                <w:rFonts w:eastAsia="Arial Unicode MS"/>
                <w:color w:val="auto"/>
              </w:rPr>
              <w:t>1</w:t>
            </w:r>
          </w:p>
        </w:tc>
        <w:tc>
          <w:tcPr>
            <w:tcW w:w="817" w:type="dxa"/>
            <w:shd w:val="clear" w:color="auto" w:fill="F2F2F2" w:themeFill="background1" w:themeFillShade="F2"/>
            <w:vAlign w:val="center"/>
          </w:tcPr>
          <w:p w14:paraId="668D2EB0" w14:textId="2D52C29C" w:rsidR="00DF3667" w:rsidRPr="00687A0F" w:rsidRDefault="00B3180F"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b/>
                <w:bCs/>
                <w:color w:val="auto"/>
              </w:rPr>
            </w:pPr>
            <w:r w:rsidRPr="00687A0F">
              <w:rPr>
                <w:rFonts w:eastAsia="Arial Unicode MS"/>
                <w:b/>
                <w:bCs/>
                <w:color w:val="auto"/>
              </w:rPr>
              <w:t>NA</w:t>
            </w:r>
          </w:p>
        </w:tc>
        <w:tc>
          <w:tcPr>
            <w:tcW w:w="817" w:type="dxa"/>
            <w:vAlign w:val="center"/>
          </w:tcPr>
          <w:p w14:paraId="514503DB" w14:textId="5B00A4D9" w:rsidR="00DF3667" w:rsidRPr="00687A0F" w:rsidRDefault="00B3180F"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687A0F">
              <w:rPr>
                <w:rFonts w:eastAsia="Arial Unicode MS"/>
                <w:color w:val="auto"/>
              </w:rPr>
              <w:t>2</w:t>
            </w:r>
          </w:p>
        </w:tc>
        <w:tc>
          <w:tcPr>
            <w:tcW w:w="817" w:type="dxa"/>
            <w:vAlign w:val="center"/>
          </w:tcPr>
          <w:p w14:paraId="5FB1D44E" w14:textId="42C1124A" w:rsidR="00DF3667" w:rsidRPr="00687A0F" w:rsidRDefault="00B3180F"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687A0F">
              <w:rPr>
                <w:rFonts w:eastAsia="Arial Unicode MS"/>
                <w:color w:val="auto"/>
              </w:rPr>
              <w:t>2</w:t>
            </w:r>
          </w:p>
        </w:tc>
        <w:tc>
          <w:tcPr>
            <w:tcW w:w="817" w:type="dxa"/>
            <w:shd w:val="clear" w:color="auto" w:fill="F2F2F2" w:themeFill="background1" w:themeFillShade="F2"/>
            <w:vAlign w:val="center"/>
          </w:tcPr>
          <w:p w14:paraId="442A95D1" w14:textId="03E78B96" w:rsidR="00DF3667" w:rsidRPr="00687A0F" w:rsidRDefault="00B3180F"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b/>
                <w:bCs/>
                <w:color w:val="auto"/>
              </w:rPr>
            </w:pPr>
            <w:r w:rsidRPr="00687A0F">
              <w:rPr>
                <w:rFonts w:eastAsia="Arial Unicode MS"/>
                <w:b/>
                <w:bCs/>
                <w:color w:val="auto"/>
              </w:rPr>
              <w:t>2</w:t>
            </w:r>
          </w:p>
        </w:tc>
        <w:tc>
          <w:tcPr>
            <w:tcW w:w="840" w:type="dxa"/>
            <w:vAlign w:val="center"/>
          </w:tcPr>
          <w:p w14:paraId="30C258D4" w14:textId="64E29FC7" w:rsidR="00DF3667" w:rsidRPr="00687A0F" w:rsidRDefault="00B3180F"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687A0F">
              <w:rPr>
                <w:rFonts w:eastAsia="Arial Unicode MS"/>
                <w:color w:val="auto"/>
              </w:rPr>
              <w:t>2</w:t>
            </w:r>
          </w:p>
        </w:tc>
        <w:tc>
          <w:tcPr>
            <w:tcW w:w="840" w:type="dxa"/>
            <w:vAlign w:val="center"/>
          </w:tcPr>
          <w:p w14:paraId="2AD6980E" w14:textId="65188E86" w:rsidR="00DF3667" w:rsidRPr="00687A0F" w:rsidRDefault="00B3180F"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687A0F">
              <w:rPr>
                <w:rFonts w:eastAsia="Arial Unicode MS"/>
                <w:color w:val="auto"/>
              </w:rPr>
              <w:t>3</w:t>
            </w:r>
          </w:p>
        </w:tc>
        <w:tc>
          <w:tcPr>
            <w:tcW w:w="802" w:type="dxa"/>
            <w:shd w:val="clear" w:color="auto" w:fill="F2F2F2" w:themeFill="background1" w:themeFillShade="F2"/>
            <w:vAlign w:val="center"/>
          </w:tcPr>
          <w:p w14:paraId="61F30841" w14:textId="7A20A6D5" w:rsidR="00DF3667" w:rsidRPr="00687A0F" w:rsidRDefault="00B3180F"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b/>
                <w:bCs/>
                <w:color w:val="auto"/>
              </w:rPr>
            </w:pPr>
            <w:r w:rsidRPr="00687A0F">
              <w:rPr>
                <w:rFonts w:eastAsia="Arial Unicode MS"/>
                <w:b/>
                <w:bCs/>
                <w:color w:val="auto"/>
              </w:rPr>
              <w:t>3</w:t>
            </w:r>
          </w:p>
        </w:tc>
      </w:tr>
      <w:tr w:rsidR="00DF3667" w14:paraId="39DA8393" w14:textId="1D0E02F1" w:rsidTr="00EE41C5">
        <w:trPr>
          <w:cantSplit/>
        </w:trPr>
        <w:tc>
          <w:tcPr>
            <w:tcW w:w="1150" w:type="dxa"/>
            <w:vAlign w:val="center"/>
          </w:tcPr>
          <w:p w14:paraId="1E7C4C13" w14:textId="37B9D116" w:rsidR="00DF3667" w:rsidRPr="00687A0F" w:rsidRDefault="00DF3667"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687A0F">
              <w:rPr>
                <w:rFonts w:eastAsia="Arial Unicode MS"/>
                <w:color w:val="auto"/>
              </w:rPr>
              <w:lastRenderedPageBreak/>
              <w:t>De-escalate if # of DLT &gt;=</w:t>
            </w:r>
          </w:p>
        </w:tc>
        <w:tc>
          <w:tcPr>
            <w:tcW w:w="816" w:type="dxa"/>
            <w:shd w:val="clear" w:color="auto" w:fill="F2F2F2" w:themeFill="background1" w:themeFillShade="F2"/>
            <w:vAlign w:val="center"/>
          </w:tcPr>
          <w:p w14:paraId="217F4920" w14:textId="028862DE" w:rsidR="00DF3667" w:rsidRPr="00687A0F" w:rsidRDefault="001374B8"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b/>
                <w:bCs/>
                <w:color w:val="auto"/>
              </w:rPr>
            </w:pPr>
            <w:r w:rsidRPr="00687A0F">
              <w:rPr>
                <w:rFonts w:eastAsia="Arial Unicode MS"/>
                <w:b/>
                <w:bCs/>
                <w:color w:val="auto"/>
              </w:rPr>
              <w:t>NA</w:t>
            </w:r>
          </w:p>
        </w:tc>
        <w:tc>
          <w:tcPr>
            <w:tcW w:w="817" w:type="dxa"/>
            <w:vAlign w:val="center"/>
          </w:tcPr>
          <w:p w14:paraId="2B250A65" w14:textId="51AD38C2" w:rsidR="00DF3667" w:rsidRPr="00687A0F" w:rsidRDefault="00B3180F"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687A0F">
              <w:rPr>
                <w:rFonts w:eastAsia="Arial Unicode MS"/>
                <w:color w:val="auto"/>
              </w:rPr>
              <w:t>2</w:t>
            </w:r>
          </w:p>
        </w:tc>
        <w:tc>
          <w:tcPr>
            <w:tcW w:w="817" w:type="dxa"/>
            <w:vAlign w:val="center"/>
          </w:tcPr>
          <w:p w14:paraId="470CA041" w14:textId="7D673C38" w:rsidR="00DF3667" w:rsidRPr="00687A0F" w:rsidRDefault="00B3180F"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687A0F">
              <w:rPr>
                <w:rFonts w:eastAsia="Arial Unicode MS"/>
                <w:color w:val="auto"/>
              </w:rPr>
              <w:t>2</w:t>
            </w:r>
          </w:p>
        </w:tc>
        <w:tc>
          <w:tcPr>
            <w:tcW w:w="817" w:type="dxa"/>
            <w:shd w:val="clear" w:color="auto" w:fill="F2F2F2" w:themeFill="background1" w:themeFillShade="F2"/>
            <w:vAlign w:val="center"/>
          </w:tcPr>
          <w:p w14:paraId="4A6CB61A" w14:textId="7C7E3710" w:rsidR="00DF3667" w:rsidRPr="00687A0F" w:rsidRDefault="00B3180F"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b/>
                <w:bCs/>
                <w:color w:val="auto"/>
              </w:rPr>
            </w:pPr>
            <w:r w:rsidRPr="00687A0F">
              <w:rPr>
                <w:rFonts w:eastAsia="Arial Unicode MS"/>
                <w:b/>
                <w:bCs/>
                <w:color w:val="auto"/>
              </w:rPr>
              <w:t>2</w:t>
            </w:r>
          </w:p>
        </w:tc>
        <w:tc>
          <w:tcPr>
            <w:tcW w:w="817" w:type="dxa"/>
            <w:vAlign w:val="center"/>
          </w:tcPr>
          <w:p w14:paraId="4792F124" w14:textId="1113516F" w:rsidR="00DF3667" w:rsidRPr="00687A0F" w:rsidRDefault="00B3180F"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687A0F">
              <w:rPr>
                <w:rFonts w:eastAsia="Arial Unicode MS"/>
                <w:color w:val="auto"/>
              </w:rPr>
              <w:t>3</w:t>
            </w:r>
          </w:p>
        </w:tc>
        <w:tc>
          <w:tcPr>
            <w:tcW w:w="817" w:type="dxa"/>
            <w:vAlign w:val="center"/>
          </w:tcPr>
          <w:p w14:paraId="6B39C8EB" w14:textId="2D27C31A" w:rsidR="00DF3667" w:rsidRPr="00687A0F" w:rsidRDefault="00B3180F"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687A0F">
              <w:rPr>
                <w:rFonts w:eastAsia="Arial Unicode MS"/>
                <w:color w:val="auto"/>
              </w:rPr>
              <w:t>3</w:t>
            </w:r>
          </w:p>
        </w:tc>
        <w:tc>
          <w:tcPr>
            <w:tcW w:w="817" w:type="dxa"/>
            <w:shd w:val="clear" w:color="auto" w:fill="F2F2F2" w:themeFill="background1" w:themeFillShade="F2"/>
            <w:vAlign w:val="center"/>
          </w:tcPr>
          <w:p w14:paraId="22DDCD38" w14:textId="697483A0" w:rsidR="00DF3667" w:rsidRPr="00687A0F" w:rsidRDefault="00B3180F"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b/>
                <w:bCs/>
                <w:color w:val="auto"/>
              </w:rPr>
            </w:pPr>
            <w:r w:rsidRPr="00687A0F">
              <w:rPr>
                <w:rFonts w:eastAsia="Arial Unicode MS"/>
                <w:b/>
                <w:bCs/>
                <w:color w:val="auto"/>
              </w:rPr>
              <w:t>3</w:t>
            </w:r>
          </w:p>
        </w:tc>
        <w:tc>
          <w:tcPr>
            <w:tcW w:w="840" w:type="dxa"/>
            <w:vAlign w:val="center"/>
          </w:tcPr>
          <w:p w14:paraId="32169BE9" w14:textId="35EA8065" w:rsidR="00DF3667" w:rsidRPr="00687A0F" w:rsidRDefault="00B3180F"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687A0F">
              <w:rPr>
                <w:rFonts w:eastAsia="Arial Unicode MS"/>
                <w:color w:val="auto"/>
              </w:rPr>
              <w:t>3</w:t>
            </w:r>
          </w:p>
        </w:tc>
        <w:tc>
          <w:tcPr>
            <w:tcW w:w="840" w:type="dxa"/>
            <w:vAlign w:val="center"/>
          </w:tcPr>
          <w:p w14:paraId="286806D3" w14:textId="004C726B" w:rsidR="00DF3667" w:rsidRPr="00687A0F" w:rsidRDefault="00B3180F"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687A0F">
              <w:rPr>
                <w:rFonts w:eastAsia="Arial Unicode MS"/>
                <w:color w:val="auto"/>
              </w:rPr>
              <w:t>4</w:t>
            </w:r>
          </w:p>
        </w:tc>
        <w:tc>
          <w:tcPr>
            <w:tcW w:w="802" w:type="dxa"/>
            <w:shd w:val="clear" w:color="auto" w:fill="F2F2F2" w:themeFill="background1" w:themeFillShade="F2"/>
            <w:vAlign w:val="center"/>
          </w:tcPr>
          <w:p w14:paraId="3D939405" w14:textId="0FCE308A" w:rsidR="00DF3667" w:rsidRPr="00687A0F" w:rsidRDefault="00B3180F"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b/>
                <w:bCs/>
                <w:color w:val="auto"/>
              </w:rPr>
            </w:pPr>
            <w:r w:rsidRPr="00687A0F">
              <w:rPr>
                <w:rFonts w:eastAsia="Arial Unicode MS"/>
                <w:b/>
                <w:bCs/>
                <w:color w:val="auto"/>
              </w:rPr>
              <w:t>4</w:t>
            </w:r>
          </w:p>
        </w:tc>
      </w:tr>
      <w:tr w:rsidR="00DF3667" w14:paraId="45C4E514" w14:textId="45370312" w:rsidTr="00EE41C5">
        <w:trPr>
          <w:cantSplit/>
        </w:trPr>
        <w:tc>
          <w:tcPr>
            <w:tcW w:w="1150" w:type="dxa"/>
            <w:vAlign w:val="center"/>
          </w:tcPr>
          <w:p w14:paraId="2BEA9199" w14:textId="26E450A1" w:rsidR="00DF3667" w:rsidRPr="00687A0F" w:rsidRDefault="00DF3667"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687A0F">
              <w:rPr>
                <w:rFonts w:eastAsia="Arial Unicode MS"/>
                <w:color w:val="auto"/>
              </w:rPr>
              <w:t>Eliminate if # of DLT &gt;=</w:t>
            </w:r>
          </w:p>
        </w:tc>
        <w:tc>
          <w:tcPr>
            <w:tcW w:w="816" w:type="dxa"/>
            <w:shd w:val="clear" w:color="auto" w:fill="F2F2F2" w:themeFill="background1" w:themeFillShade="F2"/>
            <w:vAlign w:val="center"/>
          </w:tcPr>
          <w:p w14:paraId="60E0576C" w14:textId="454581CA" w:rsidR="00DF3667" w:rsidRPr="00687A0F" w:rsidRDefault="001374B8"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b/>
                <w:bCs/>
                <w:color w:val="auto"/>
              </w:rPr>
            </w:pPr>
            <w:r w:rsidRPr="00687A0F">
              <w:rPr>
                <w:rFonts w:eastAsia="Arial Unicode MS"/>
                <w:b/>
                <w:bCs/>
                <w:color w:val="auto"/>
              </w:rPr>
              <w:t>2</w:t>
            </w:r>
          </w:p>
        </w:tc>
        <w:tc>
          <w:tcPr>
            <w:tcW w:w="817" w:type="dxa"/>
            <w:vAlign w:val="center"/>
          </w:tcPr>
          <w:p w14:paraId="1986B6F5" w14:textId="7428E46A" w:rsidR="00DF3667" w:rsidRPr="00687A0F" w:rsidRDefault="00B3180F"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687A0F">
              <w:rPr>
                <w:rFonts w:eastAsia="Arial Unicode MS"/>
                <w:color w:val="auto"/>
              </w:rPr>
              <w:t>3</w:t>
            </w:r>
          </w:p>
        </w:tc>
        <w:tc>
          <w:tcPr>
            <w:tcW w:w="817" w:type="dxa"/>
            <w:vAlign w:val="center"/>
          </w:tcPr>
          <w:p w14:paraId="60259DFC" w14:textId="5FCFAD40" w:rsidR="00DF3667" w:rsidRPr="00687A0F" w:rsidRDefault="00B3180F"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687A0F">
              <w:rPr>
                <w:rFonts w:eastAsia="Arial Unicode MS"/>
                <w:color w:val="auto"/>
              </w:rPr>
              <w:t>3</w:t>
            </w:r>
          </w:p>
        </w:tc>
        <w:tc>
          <w:tcPr>
            <w:tcW w:w="817" w:type="dxa"/>
            <w:shd w:val="clear" w:color="auto" w:fill="F2F2F2" w:themeFill="background1" w:themeFillShade="F2"/>
            <w:vAlign w:val="center"/>
          </w:tcPr>
          <w:p w14:paraId="1E2AA33E" w14:textId="3D364E23" w:rsidR="00DF3667" w:rsidRPr="00687A0F" w:rsidRDefault="00B3180F"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b/>
                <w:bCs/>
                <w:color w:val="auto"/>
              </w:rPr>
            </w:pPr>
            <w:r w:rsidRPr="00687A0F">
              <w:rPr>
                <w:rFonts w:eastAsia="Arial Unicode MS"/>
                <w:b/>
                <w:bCs/>
                <w:color w:val="auto"/>
              </w:rPr>
              <w:t>3</w:t>
            </w:r>
          </w:p>
        </w:tc>
        <w:tc>
          <w:tcPr>
            <w:tcW w:w="817" w:type="dxa"/>
            <w:vAlign w:val="center"/>
          </w:tcPr>
          <w:p w14:paraId="64C53B11" w14:textId="67605F0B" w:rsidR="00DF3667" w:rsidRPr="00687A0F" w:rsidRDefault="00B3180F"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687A0F">
              <w:rPr>
                <w:rFonts w:eastAsia="Arial Unicode MS"/>
                <w:color w:val="auto"/>
              </w:rPr>
              <w:t>4</w:t>
            </w:r>
          </w:p>
        </w:tc>
        <w:tc>
          <w:tcPr>
            <w:tcW w:w="817" w:type="dxa"/>
            <w:vAlign w:val="center"/>
          </w:tcPr>
          <w:p w14:paraId="7D77E831" w14:textId="772B0A06" w:rsidR="00DF3667" w:rsidRPr="00687A0F" w:rsidRDefault="00B3180F"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687A0F">
              <w:rPr>
                <w:rFonts w:eastAsia="Arial Unicode MS"/>
                <w:color w:val="auto"/>
              </w:rPr>
              <w:t>4</w:t>
            </w:r>
          </w:p>
        </w:tc>
        <w:tc>
          <w:tcPr>
            <w:tcW w:w="817" w:type="dxa"/>
            <w:shd w:val="clear" w:color="auto" w:fill="F2F2F2" w:themeFill="background1" w:themeFillShade="F2"/>
            <w:vAlign w:val="center"/>
          </w:tcPr>
          <w:p w14:paraId="7C13AB04" w14:textId="492C9100" w:rsidR="00DF3667" w:rsidRPr="00687A0F" w:rsidRDefault="00B3180F"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b/>
                <w:bCs/>
                <w:color w:val="auto"/>
              </w:rPr>
            </w:pPr>
            <w:r w:rsidRPr="00687A0F">
              <w:rPr>
                <w:rFonts w:eastAsia="Arial Unicode MS"/>
                <w:b/>
                <w:bCs/>
                <w:color w:val="auto"/>
              </w:rPr>
              <w:t>4</w:t>
            </w:r>
          </w:p>
        </w:tc>
        <w:tc>
          <w:tcPr>
            <w:tcW w:w="840" w:type="dxa"/>
            <w:vAlign w:val="center"/>
          </w:tcPr>
          <w:p w14:paraId="1994A52D" w14:textId="4DC37A8D" w:rsidR="00DF3667" w:rsidRPr="00687A0F" w:rsidRDefault="00B3180F"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687A0F">
              <w:rPr>
                <w:rFonts w:eastAsia="Arial Unicode MS"/>
                <w:color w:val="auto"/>
              </w:rPr>
              <w:t>5</w:t>
            </w:r>
          </w:p>
        </w:tc>
        <w:tc>
          <w:tcPr>
            <w:tcW w:w="840" w:type="dxa"/>
            <w:vAlign w:val="center"/>
          </w:tcPr>
          <w:p w14:paraId="76917866" w14:textId="5F414CFC" w:rsidR="00DF3667" w:rsidRPr="00687A0F" w:rsidRDefault="00B3180F"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687A0F">
              <w:rPr>
                <w:rFonts w:eastAsia="Arial Unicode MS"/>
                <w:color w:val="auto"/>
              </w:rPr>
              <w:t>5</w:t>
            </w:r>
          </w:p>
        </w:tc>
        <w:tc>
          <w:tcPr>
            <w:tcW w:w="802" w:type="dxa"/>
            <w:shd w:val="clear" w:color="auto" w:fill="F2F2F2" w:themeFill="background1" w:themeFillShade="F2"/>
            <w:vAlign w:val="center"/>
          </w:tcPr>
          <w:p w14:paraId="6A7D94B1" w14:textId="6733509D" w:rsidR="00DF3667" w:rsidRPr="00687A0F" w:rsidRDefault="00B3180F" w:rsidP="00B3180F">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b/>
                <w:bCs/>
                <w:color w:val="auto"/>
              </w:rPr>
            </w:pPr>
            <w:r w:rsidRPr="00687A0F">
              <w:rPr>
                <w:rFonts w:eastAsia="Arial Unicode MS"/>
                <w:b/>
                <w:bCs/>
                <w:color w:val="auto"/>
              </w:rPr>
              <w:t>5</w:t>
            </w:r>
          </w:p>
        </w:tc>
      </w:tr>
    </w:tbl>
    <w:p w14:paraId="7036BBFB" w14:textId="4768F2B7" w:rsidR="002446B8" w:rsidRDefault="0083469D" w:rsidP="00036A7D">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eastAsia="Arial Unicode MS"/>
          <w:color w:val="auto"/>
        </w:rPr>
      </w:pPr>
      <w:r w:rsidRPr="002224D0">
        <w:rPr>
          <w:rFonts w:eastAsia="Arial Unicode MS"/>
          <w:color w:val="auto"/>
        </w:rPr>
        <w:t xml:space="preserve">Note: “# of DLT” is the number of patients with at least </w:t>
      </w:r>
      <w:r w:rsidR="00171DCF" w:rsidRPr="002224D0">
        <w:rPr>
          <w:rFonts w:eastAsia="Arial Unicode MS"/>
          <w:color w:val="auto"/>
        </w:rPr>
        <w:t>one DLT.</w:t>
      </w:r>
      <w:r w:rsidR="00135DD0" w:rsidRPr="002224D0">
        <w:rPr>
          <w:rFonts w:eastAsia="Arial Unicode MS"/>
          <w:color w:val="auto"/>
        </w:rPr>
        <w:t xml:space="preserve"> “NA” is not applicable.</w:t>
      </w:r>
      <w:r w:rsidR="00171DCF" w:rsidRPr="002224D0">
        <w:rPr>
          <w:rFonts w:eastAsia="Arial Unicode MS"/>
          <w:color w:val="auto"/>
        </w:rPr>
        <w:t xml:space="preserve"> </w:t>
      </w:r>
    </w:p>
    <w:p w14:paraId="486F1E20" w14:textId="77777777" w:rsidR="00B65C65" w:rsidRDefault="00B65C65" w:rsidP="00036A7D">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eastAsia="Arial Unicode MS"/>
          <w:color w:val="auto"/>
        </w:rPr>
      </w:pPr>
    </w:p>
    <w:p w14:paraId="6CE2E105" w14:textId="55CB751B" w:rsidR="00430260" w:rsidRDefault="00430260" w:rsidP="00D010F4">
      <w:pPr>
        <w:pStyle w:val="Caption"/>
        <w:keepNext/>
      </w:pPr>
      <w:bookmarkStart w:id="105" w:name="_Ref175904298"/>
      <w:r w:rsidRPr="00D010F4">
        <w:rPr>
          <w:b/>
          <w:bCs/>
        </w:rPr>
        <w:t xml:space="preserve">Table </w:t>
      </w:r>
      <w:r w:rsidRPr="00D010F4">
        <w:rPr>
          <w:b/>
          <w:bCs/>
        </w:rPr>
        <w:fldChar w:fldCharType="begin"/>
      </w:r>
      <w:r w:rsidRPr="00D010F4">
        <w:rPr>
          <w:b/>
          <w:bCs/>
        </w:rPr>
        <w:instrText xml:space="preserve"> SEQ Table \* ARABIC </w:instrText>
      </w:r>
      <w:r w:rsidRPr="00D010F4">
        <w:rPr>
          <w:b/>
          <w:bCs/>
        </w:rPr>
        <w:fldChar w:fldCharType="separate"/>
      </w:r>
      <w:r w:rsidR="009C0D42">
        <w:rPr>
          <w:b/>
          <w:bCs/>
          <w:noProof/>
        </w:rPr>
        <w:t>2</w:t>
      </w:r>
      <w:r w:rsidRPr="00D010F4">
        <w:rPr>
          <w:b/>
          <w:bCs/>
        </w:rPr>
        <w:fldChar w:fldCharType="end"/>
      </w:r>
      <w:bookmarkEnd w:id="105"/>
      <w:r w:rsidRPr="00D010F4">
        <w:rPr>
          <w:b/>
          <w:bCs/>
        </w:rPr>
        <w:t>.</w:t>
      </w:r>
      <w:r>
        <w:t xml:space="preserve"> Conflicting Decisions Between the Current Dose of Dose Escalation and Backfilling Doses.</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3600"/>
        <w:gridCol w:w="1440"/>
        <w:gridCol w:w="1440"/>
        <w:gridCol w:w="3325"/>
      </w:tblGrid>
      <w:tr w:rsidR="00B65C65" w14:paraId="7E9943EA" w14:textId="77777777" w:rsidTr="00AE127C">
        <w:trPr>
          <w:jc w:val="center"/>
        </w:trPr>
        <w:tc>
          <w:tcPr>
            <w:tcW w:w="3600" w:type="dxa"/>
            <w:shd w:val="clear" w:color="auto" w:fill="FFFFFF"/>
            <w:tcMar>
              <w:top w:w="0" w:type="dxa"/>
              <w:left w:w="0" w:type="dxa"/>
              <w:bottom w:w="0" w:type="dxa"/>
              <w:right w:w="0" w:type="dxa"/>
            </w:tcMar>
            <w:vAlign w:val="center"/>
          </w:tcPr>
          <w:p w14:paraId="73482DEA" w14:textId="77777777" w:rsidR="00B65C65" w:rsidRPr="00A25922" w:rsidRDefault="00B65C65" w:rsidP="00AE127C">
            <w:pPr>
              <w:pBdr>
                <w:top w:val="none" w:sz="0" w:space="0" w:color="000000"/>
                <w:left w:val="none" w:sz="0" w:space="0" w:color="000000"/>
                <w:bottom w:val="none" w:sz="0" w:space="0" w:color="000000"/>
                <w:right w:val="none" w:sz="0" w:space="0" w:color="000000"/>
              </w:pBd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p>
        </w:tc>
        <w:tc>
          <w:tcPr>
            <w:tcW w:w="6205" w:type="dxa"/>
            <w:gridSpan w:val="3"/>
            <w:shd w:val="clear" w:color="auto" w:fill="FFFFFF"/>
            <w:tcMar>
              <w:top w:w="0" w:type="dxa"/>
              <w:left w:w="0" w:type="dxa"/>
              <w:bottom w:w="0" w:type="dxa"/>
              <w:right w:w="0" w:type="dxa"/>
            </w:tcMar>
            <w:vAlign w:val="center"/>
          </w:tcPr>
          <w:p w14:paraId="33166E7B" w14:textId="77777777" w:rsidR="00B65C65" w:rsidRPr="00A25922" w:rsidRDefault="00B65C65" w:rsidP="00AE127C">
            <w:pPr>
              <w:pBdr>
                <w:top w:val="none" w:sz="0" w:space="0" w:color="000000"/>
                <w:left w:val="none" w:sz="0" w:space="0" w:color="000000"/>
                <w:bottom w:val="none" w:sz="0" w:space="0" w:color="000000"/>
                <w:right w:val="none" w:sz="0" w:space="0" w:color="000000"/>
              </w:pBd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A25922">
              <w:rPr>
                <w:rFonts w:eastAsia="Arial Unicode MS"/>
                <w:color w:val="auto"/>
              </w:rPr>
              <w:t xml:space="preserve">Decision according to the data observed at the current dose </w:t>
            </w:r>
            <w:r w:rsidRPr="00A25922">
              <w:rPr>
                <w:rFonts w:eastAsia="Arial Unicode MS"/>
                <w:i/>
                <w:iCs/>
                <w:color w:val="auto"/>
              </w:rPr>
              <w:t>c</w:t>
            </w:r>
          </w:p>
        </w:tc>
      </w:tr>
      <w:tr w:rsidR="00B65C65" w14:paraId="0394B0BC" w14:textId="77777777" w:rsidTr="00AE127C">
        <w:trPr>
          <w:jc w:val="center"/>
        </w:trPr>
        <w:tc>
          <w:tcPr>
            <w:tcW w:w="3600" w:type="dxa"/>
            <w:shd w:val="clear" w:color="auto" w:fill="FFFFFF"/>
            <w:tcMar>
              <w:top w:w="0" w:type="dxa"/>
              <w:left w:w="0" w:type="dxa"/>
              <w:bottom w:w="0" w:type="dxa"/>
              <w:right w:w="0" w:type="dxa"/>
            </w:tcMar>
            <w:vAlign w:val="center"/>
          </w:tcPr>
          <w:p w14:paraId="58CF630A" w14:textId="77777777" w:rsidR="00B65C65" w:rsidRPr="00A25922" w:rsidRDefault="00B65C65" w:rsidP="00AE127C">
            <w:pPr>
              <w:pBdr>
                <w:top w:val="none" w:sz="0" w:space="0" w:color="000000"/>
                <w:left w:val="none" w:sz="0" w:space="0" w:color="000000"/>
                <w:bottom w:val="none" w:sz="0" w:space="0" w:color="000000"/>
                <w:right w:val="none" w:sz="0" w:space="0" w:color="000000"/>
              </w:pBd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A25922">
              <w:rPr>
                <w:rFonts w:eastAsia="Arial Unicode MS"/>
                <w:color w:val="auto"/>
              </w:rPr>
              <w:t xml:space="preserve">Decision according to the data observed at a backfilling dose </w:t>
            </w:r>
            <w:r w:rsidRPr="00A25922">
              <w:rPr>
                <w:rFonts w:eastAsia="Arial Unicode MS"/>
                <w:i/>
                <w:iCs/>
                <w:color w:val="auto"/>
              </w:rPr>
              <w:t>b</w:t>
            </w:r>
          </w:p>
        </w:tc>
        <w:tc>
          <w:tcPr>
            <w:tcW w:w="1440" w:type="dxa"/>
            <w:shd w:val="clear" w:color="auto" w:fill="D9D9D9" w:themeFill="background1" w:themeFillShade="D9"/>
            <w:tcMar>
              <w:top w:w="0" w:type="dxa"/>
              <w:left w:w="0" w:type="dxa"/>
              <w:bottom w:w="0" w:type="dxa"/>
              <w:right w:w="0" w:type="dxa"/>
            </w:tcMar>
            <w:vAlign w:val="center"/>
          </w:tcPr>
          <w:p w14:paraId="27175A5D" w14:textId="77777777" w:rsidR="00B65C65" w:rsidRPr="00A25922" w:rsidRDefault="00B65C65" w:rsidP="00AE127C">
            <w:pPr>
              <w:pBdr>
                <w:top w:val="none" w:sz="0" w:space="0" w:color="000000"/>
                <w:left w:val="none" w:sz="0" w:space="0" w:color="000000"/>
                <w:bottom w:val="none" w:sz="0" w:space="0" w:color="000000"/>
                <w:right w:val="none" w:sz="0" w:space="0" w:color="000000"/>
              </w:pBd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A25922">
              <w:rPr>
                <w:rFonts w:eastAsia="Arial Unicode MS"/>
                <w:color w:val="auto"/>
              </w:rPr>
              <w:t>Escalation</w:t>
            </w:r>
          </w:p>
        </w:tc>
        <w:tc>
          <w:tcPr>
            <w:tcW w:w="1440" w:type="dxa"/>
            <w:shd w:val="clear" w:color="auto" w:fill="D9D9D9" w:themeFill="background1" w:themeFillShade="D9"/>
            <w:tcMar>
              <w:top w:w="0" w:type="dxa"/>
              <w:left w:w="0" w:type="dxa"/>
              <w:bottom w:w="0" w:type="dxa"/>
              <w:right w:w="0" w:type="dxa"/>
            </w:tcMar>
            <w:vAlign w:val="center"/>
          </w:tcPr>
          <w:p w14:paraId="45F2728F" w14:textId="77777777" w:rsidR="00B65C65" w:rsidRPr="00A25922" w:rsidRDefault="00B65C65" w:rsidP="00AE127C">
            <w:pPr>
              <w:pBdr>
                <w:top w:val="none" w:sz="0" w:space="0" w:color="000000"/>
                <w:left w:val="none" w:sz="0" w:space="0" w:color="000000"/>
                <w:bottom w:val="none" w:sz="0" w:space="0" w:color="000000"/>
                <w:right w:val="none" w:sz="0" w:space="0" w:color="000000"/>
              </w:pBd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A25922">
              <w:rPr>
                <w:rFonts w:eastAsia="Arial Unicode MS"/>
                <w:color w:val="auto"/>
              </w:rPr>
              <w:t>Stay</w:t>
            </w:r>
          </w:p>
        </w:tc>
        <w:tc>
          <w:tcPr>
            <w:tcW w:w="3325" w:type="dxa"/>
            <w:shd w:val="clear" w:color="auto" w:fill="D9D9D9" w:themeFill="background1" w:themeFillShade="D9"/>
            <w:tcMar>
              <w:top w:w="0" w:type="dxa"/>
              <w:left w:w="0" w:type="dxa"/>
              <w:bottom w:w="0" w:type="dxa"/>
              <w:right w:w="0" w:type="dxa"/>
            </w:tcMar>
            <w:vAlign w:val="center"/>
          </w:tcPr>
          <w:p w14:paraId="0121AA73" w14:textId="77777777" w:rsidR="00B65C65" w:rsidRPr="00A25922" w:rsidRDefault="00B65C65" w:rsidP="00AE127C">
            <w:pPr>
              <w:pBdr>
                <w:top w:val="none" w:sz="0" w:space="0" w:color="000000"/>
                <w:left w:val="none" w:sz="0" w:space="0" w:color="000000"/>
                <w:bottom w:val="none" w:sz="0" w:space="0" w:color="000000"/>
                <w:right w:val="none" w:sz="0" w:space="0" w:color="000000"/>
              </w:pBd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A25922">
              <w:rPr>
                <w:rFonts w:eastAsia="Arial Unicode MS"/>
                <w:color w:val="auto"/>
              </w:rPr>
              <w:t>De-escalation or elimination</w:t>
            </w:r>
          </w:p>
        </w:tc>
      </w:tr>
      <w:tr w:rsidR="00B65C65" w14:paraId="551828E8" w14:textId="77777777" w:rsidTr="00AE127C">
        <w:trPr>
          <w:jc w:val="center"/>
        </w:trPr>
        <w:tc>
          <w:tcPr>
            <w:tcW w:w="3600" w:type="dxa"/>
            <w:shd w:val="clear" w:color="auto" w:fill="D9D9D9" w:themeFill="background1" w:themeFillShade="D9"/>
            <w:tcMar>
              <w:top w:w="0" w:type="dxa"/>
              <w:left w:w="0" w:type="dxa"/>
              <w:bottom w:w="0" w:type="dxa"/>
              <w:right w:w="0" w:type="dxa"/>
            </w:tcMar>
            <w:vAlign w:val="center"/>
          </w:tcPr>
          <w:p w14:paraId="7A4CBD30" w14:textId="77777777" w:rsidR="00B65C65" w:rsidRPr="00A25922" w:rsidRDefault="00B65C65" w:rsidP="00AE127C">
            <w:pPr>
              <w:pBdr>
                <w:top w:val="none" w:sz="0" w:space="0" w:color="000000"/>
                <w:left w:val="none" w:sz="0" w:space="0" w:color="000000"/>
                <w:bottom w:val="none" w:sz="0" w:space="0" w:color="000000"/>
                <w:right w:val="none" w:sz="0" w:space="0" w:color="000000"/>
              </w:pBd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A25922">
              <w:rPr>
                <w:rFonts w:eastAsia="Arial Unicode MS"/>
                <w:color w:val="auto"/>
              </w:rPr>
              <w:t>Escalation</w:t>
            </w:r>
          </w:p>
        </w:tc>
        <w:tc>
          <w:tcPr>
            <w:tcW w:w="1440" w:type="dxa"/>
            <w:shd w:val="clear" w:color="auto" w:fill="FFFFFF"/>
            <w:tcMar>
              <w:top w:w="0" w:type="dxa"/>
              <w:left w:w="0" w:type="dxa"/>
              <w:bottom w:w="0" w:type="dxa"/>
              <w:right w:w="0" w:type="dxa"/>
            </w:tcMar>
            <w:vAlign w:val="center"/>
          </w:tcPr>
          <w:p w14:paraId="6D02DC2B" w14:textId="77777777" w:rsidR="00B65C65" w:rsidRPr="00A25922" w:rsidRDefault="00B65C65" w:rsidP="00AE127C">
            <w:pPr>
              <w:pBdr>
                <w:top w:val="none" w:sz="0" w:space="0" w:color="000000"/>
                <w:left w:val="none" w:sz="0" w:space="0" w:color="000000"/>
                <w:bottom w:val="none" w:sz="0" w:space="0" w:color="000000"/>
                <w:right w:val="none" w:sz="0" w:space="0" w:color="000000"/>
              </w:pBd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A25922">
              <w:rPr>
                <w:rFonts w:eastAsia="Arial Unicode MS"/>
                <w:color w:val="auto"/>
              </w:rPr>
              <w:t>no conflict</w:t>
            </w:r>
          </w:p>
        </w:tc>
        <w:tc>
          <w:tcPr>
            <w:tcW w:w="1440" w:type="dxa"/>
            <w:shd w:val="clear" w:color="auto" w:fill="FFFFFF"/>
            <w:tcMar>
              <w:top w:w="0" w:type="dxa"/>
              <w:left w:w="0" w:type="dxa"/>
              <w:bottom w:w="0" w:type="dxa"/>
              <w:right w:w="0" w:type="dxa"/>
            </w:tcMar>
            <w:vAlign w:val="center"/>
          </w:tcPr>
          <w:p w14:paraId="21C556A2" w14:textId="77777777" w:rsidR="00B65C65" w:rsidRPr="00A25922" w:rsidRDefault="00B65C65" w:rsidP="00AE127C">
            <w:pPr>
              <w:pBdr>
                <w:top w:val="none" w:sz="0" w:space="0" w:color="000000"/>
                <w:left w:val="none" w:sz="0" w:space="0" w:color="000000"/>
                <w:bottom w:val="none" w:sz="0" w:space="0" w:color="000000"/>
                <w:right w:val="none" w:sz="0" w:space="0" w:color="000000"/>
              </w:pBd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A25922">
              <w:rPr>
                <w:rFonts w:eastAsia="Arial Unicode MS"/>
                <w:color w:val="auto"/>
              </w:rPr>
              <w:t>no conflict</w:t>
            </w:r>
          </w:p>
        </w:tc>
        <w:tc>
          <w:tcPr>
            <w:tcW w:w="3325" w:type="dxa"/>
            <w:shd w:val="clear" w:color="auto" w:fill="FFFFFF"/>
            <w:tcMar>
              <w:top w:w="0" w:type="dxa"/>
              <w:left w:w="0" w:type="dxa"/>
              <w:bottom w:w="0" w:type="dxa"/>
              <w:right w:w="0" w:type="dxa"/>
            </w:tcMar>
            <w:vAlign w:val="center"/>
          </w:tcPr>
          <w:p w14:paraId="2A9945D1" w14:textId="77777777" w:rsidR="00B65C65" w:rsidRPr="00A25922" w:rsidRDefault="00B65C65" w:rsidP="00AE127C">
            <w:pPr>
              <w:pBdr>
                <w:top w:val="none" w:sz="0" w:space="0" w:color="000000"/>
                <w:left w:val="none" w:sz="0" w:space="0" w:color="000000"/>
                <w:bottom w:val="none" w:sz="0" w:space="0" w:color="000000"/>
                <w:right w:val="none" w:sz="0" w:space="0" w:color="000000"/>
              </w:pBd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A25922">
              <w:rPr>
                <w:rFonts w:eastAsia="Arial Unicode MS"/>
                <w:color w:val="auto"/>
              </w:rPr>
              <w:t>no conflict</w:t>
            </w:r>
          </w:p>
        </w:tc>
      </w:tr>
      <w:tr w:rsidR="00B65C65" w14:paraId="10C8E441" w14:textId="77777777" w:rsidTr="00AE127C">
        <w:trPr>
          <w:jc w:val="center"/>
        </w:trPr>
        <w:tc>
          <w:tcPr>
            <w:tcW w:w="3600" w:type="dxa"/>
            <w:shd w:val="clear" w:color="auto" w:fill="D9D9D9" w:themeFill="background1" w:themeFillShade="D9"/>
            <w:tcMar>
              <w:top w:w="0" w:type="dxa"/>
              <w:left w:w="0" w:type="dxa"/>
              <w:bottom w:w="0" w:type="dxa"/>
              <w:right w:w="0" w:type="dxa"/>
            </w:tcMar>
            <w:vAlign w:val="center"/>
          </w:tcPr>
          <w:p w14:paraId="1AE63F26" w14:textId="77777777" w:rsidR="00B65C65" w:rsidRPr="00A25922" w:rsidRDefault="00B65C65" w:rsidP="00AE127C">
            <w:pPr>
              <w:pBdr>
                <w:top w:val="none" w:sz="0" w:space="0" w:color="000000"/>
                <w:left w:val="none" w:sz="0" w:space="0" w:color="000000"/>
                <w:bottom w:val="none" w:sz="0" w:space="0" w:color="000000"/>
                <w:right w:val="none" w:sz="0" w:space="0" w:color="000000"/>
              </w:pBd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A25922">
              <w:rPr>
                <w:rFonts w:eastAsia="Arial Unicode MS"/>
                <w:color w:val="auto"/>
              </w:rPr>
              <w:t>Stay</w:t>
            </w:r>
          </w:p>
        </w:tc>
        <w:tc>
          <w:tcPr>
            <w:tcW w:w="1440" w:type="dxa"/>
            <w:shd w:val="clear" w:color="auto" w:fill="F08080"/>
            <w:tcMar>
              <w:top w:w="0" w:type="dxa"/>
              <w:left w:w="0" w:type="dxa"/>
              <w:bottom w:w="0" w:type="dxa"/>
              <w:right w:w="0" w:type="dxa"/>
            </w:tcMar>
            <w:vAlign w:val="center"/>
          </w:tcPr>
          <w:p w14:paraId="0E1159BE" w14:textId="77777777" w:rsidR="00B65C65" w:rsidRPr="00A25922" w:rsidRDefault="00B65C65" w:rsidP="00AE127C">
            <w:pPr>
              <w:pBdr>
                <w:top w:val="none" w:sz="0" w:space="0" w:color="000000"/>
                <w:left w:val="none" w:sz="0" w:space="0" w:color="000000"/>
                <w:bottom w:val="none" w:sz="0" w:space="0" w:color="000000"/>
                <w:right w:val="none" w:sz="0" w:space="0" w:color="000000"/>
              </w:pBd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A25922">
              <w:rPr>
                <w:rFonts w:eastAsia="Arial Unicode MS"/>
                <w:color w:val="auto"/>
              </w:rPr>
              <w:t>conflict</w:t>
            </w:r>
          </w:p>
        </w:tc>
        <w:tc>
          <w:tcPr>
            <w:tcW w:w="1440" w:type="dxa"/>
            <w:shd w:val="clear" w:color="auto" w:fill="FFFFFF"/>
            <w:tcMar>
              <w:top w:w="0" w:type="dxa"/>
              <w:left w:w="0" w:type="dxa"/>
              <w:bottom w:w="0" w:type="dxa"/>
              <w:right w:w="0" w:type="dxa"/>
            </w:tcMar>
            <w:vAlign w:val="center"/>
          </w:tcPr>
          <w:p w14:paraId="4AAC85B2" w14:textId="77777777" w:rsidR="00B65C65" w:rsidRPr="00A25922" w:rsidRDefault="00B65C65" w:rsidP="00AE127C">
            <w:pPr>
              <w:pBdr>
                <w:top w:val="none" w:sz="0" w:space="0" w:color="000000"/>
                <w:left w:val="none" w:sz="0" w:space="0" w:color="000000"/>
                <w:bottom w:val="none" w:sz="0" w:space="0" w:color="000000"/>
                <w:right w:val="none" w:sz="0" w:space="0" w:color="000000"/>
              </w:pBd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A25922">
              <w:rPr>
                <w:rFonts w:eastAsia="Arial Unicode MS"/>
                <w:color w:val="auto"/>
              </w:rPr>
              <w:t>no conflict</w:t>
            </w:r>
          </w:p>
        </w:tc>
        <w:tc>
          <w:tcPr>
            <w:tcW w:w="3325" w:type="dxa"/>
            <w:shd w:val="clear" w:color="auto" w:fill="FFFFFF"/>
            <w:tcMar>
              <w:top w:w="0" w:type="dxa"/>
              <w:left w:w="0" w:type="dxa"/>
              <w:bottom w:w="0" w:type="dxa"/>
              <w:right w:w="0" w:type="dxa"/>
            </w:tcMar>
            <w:vAlign w:val="center"/>
          </w:tcPr>
          <w:p w14:paraId="5791D5EE" w14:textId="77777777" w:rsidR="00B65C65" w:rsidRPr="00A25922" w:rsidRDefault="00B65C65" w:rsidP="00AE127C">
            <w:pPr>
              <w:pBdr>
                <w:top w:val="none" w:sz="0" w:space="0" w:color="000000"/>
                <w:left w:val="none" w:sz="0" w:space="0" w:color="000000"/>
                <w:bottom w:val="none" w:sz="0" w:space="0" w:color="000000"/>
                <w:right w:val="none" w:sz="0" w:space="0" w:color="000000"/>
              </w:pBd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A25922">
              <w:rPr>
                <w:rFonts w:eastAsia="Arial Unicode MS"/>
                <w:color w:val="auto"/>
              </w:rPr>
              <w:t>no conflict</w:t>
            </w:r>
          </w:p>
        </w:tc>
      </w:tr>
      <w:tr w:rsidR="00B65C65" w14:paraId="617B2099" w14:textId="77777777" w:rsidTr="00AE127C">
        <w:trPr>
          <w:jc w:val="center"/>
        </w:trPr>
        <w:tc>
          <w:tcPr>
            <w:tcW w:w="3600" w:type="dxa"/>
            <w:shd w:val="clear" w:color="auto" w:fill="D9D9D9" w:themeFill="background1" w:themeFillShade="D9"/>
            <w:tcMar>
              <w:top w:w="0" w:type="dxa"/>
              <w:left w:w="0" w:type="dxa"/>
              <w:bottom w:w="0" w:type="dxa"/>
              <w:right w:w="0" w:type="dxa"/>
            </w:tcMar>
            <w:vAlign w:val="center"/>
          </w:tcPr>
          <w:p w14:paraId="05E94E75" w14:textId="77777777" w:rsidR="00B65C65" w:rsidRPr="00A25922" w:rsidRDefault="00B65C65" w:rsidP="00AE127C">
            <w:pPr>
              <w:pBdr>
                <w:top w:val="none" w:sz="0" w:space="0" w:color="000000"/>
                <w:left w:val="none" w:sz="0" w:space="0" w:color="000000"/>
                <w:bottom w:val="none" w:sz="0" w:space="0" w:color="000000"/>
                <w:right w:val="none" w:sz="0" w:space="0" w:color="000000"/>
              </w:pBd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A25922">
              <w:rPr>
                <w:rFonts w:eastAsia="Arial Unicode MS"/>
                <w:color w:val="auto"/>
              </w:rPr>
              <w:t>De-escalation or elimination</w:t>
            </w:r>
          </w:p>
        </w:tc>
        <w:tc>
          <w:tcPr>
            <w:tcW w:w="1440" w:type="dxa"/>
            <w:shd w:val="clear" w:color="auto" w:fill="F08080"/>
            <w:tcMar>
              <w:top w:w="0" w:type="dxa"/>
              <w:left w:w="0" w:type="dxa"/>
              <w:bottom w:w="0" w:type="dxa"/>
              <w:right w:w="0" w:type="dxa"/>
            </w:tcMar>
            <w:vAlign w:val="center"/>
          </w:tcPr>
          <w:p w14:paraId="6273A4DC" w14:textId="77777777" w:rsidR="00B65C65" w:rsidRPr="00A25922" w:rsidRDefault="00B65C65" w:rsidP="00AE127C">
            <w:pPr>
              <w:pBdr>
                <w:top w:val="none" w:sz="0" w:space="0" w:color="000000"/>
                <w:left w:val="none" w:sz="0" w:space="0" w:color="000000"/>
                <w:bottom w:val="none" w:sz="0" w:space="0" w:color="000000"/>
                <w:right w:val="none" w:sz="0" w:space="0" w:color="000000"/>
              </w:pBd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A25922">
              <w:rPr>
                <w:rFonts w:eastAsia="Arial Unicode MS"/>
                <w:color w:val="auto"/>
              </w:rPr>
              <w:t>conflict</w:t>
            </w:r>
          </w:p>
        </w:tc>
        <w:tc>
          <w:tcPr>
            <w:tcW w:w="1440" w:type="dxa"/>
            <w:shd w:val="clear" w:color="auto" w:fill="F08080"/>
            <w:tcMar>
              <w:top w:w="0" w:type="dxa"/>
              <w:left w:w="0" w:type="dxa"/>
              <w:bottom w:w="0" w:type="dxa"/>
              <w:right w:w="0" w:type="dxa"/>
            </w:tcMar>
            <w:vAlign w:val="center"/>
          </w:tcPr>
          <w:p w14:paraId="09887B45" w14:textId="77777777" w:rsidR="00B65C65" w:rsidRPr="00A25922" w:rsidRDefault="00B65C65" w:rsidP="00AE127C">
            <w:pPr>
              <w:pBdr>
                <w:top w:val="none" w:sz="0" w:space="0" w:color="000000"/>
                <w:left w:val="none" w:sz="0" w:space="0" w:color="000000"/>
                <w:bottom w:val="none" w:sz="0" w:space="0" w:color="000000"/>
                <w:right w:val="none" w:sz="0" w:space="0" w:color="000000"/>
              </w:pBd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A25922">
              <w:rPr>
                <w:rFonts w:eastAsia="Arial Unicode MS"/>
                <w:color w:val="auto"/>
              </w:rPr>
              <w:t>conflict</w:t>
            </w:r>
          </w:p>
        </w:tc>
        <w:tc>
          <w:tcPr>
            <w:tcW w:w="3325" w:type="dxa"/>
            <w:shd w:val="clear" w:color="auto" w:fill="F08080"/>
            <w:tcMar>
              <w:top w:w="0" w:type="dxa"/>
              <w:left w:w="0" w:type="dxa"/>
              <w:bottom w:w="0" w:type="dxa"/>
              <w:right w:w="0" w:type="dxa"/>
            </w:tcMar>
            <w:vAlign w:val="center"/>
          </w:tcPr>
          <w:p w14:paraId="53EDB665" w14:textId="77777777" w:rsidR="00B65C65" w:rsidRPr="00A25922" w:rsidRDefault="00B65C65" w:rsidP="00AE127C">
            <w:pPr>
              <w:pBdr>
                <w:top w:val="none" w:sz="0" w:space="0" w:color="000000"/>
                <w:left w:val="none" w:sz="0" w:space="0" w:color="000000"/>
                <w:bottom w:val="none" w:sz="0" w:space="0" w:color="000000"/>
                <w:right w:val="none" w:sz="0" w:space="0" w:color="000000"/>
              </w:pBd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rFonts w:eastAsia="Arial Unicode MS"/>
                <w:color w:val="auto"/>
              </w:rPr>
            </w:pPr>
            <w:r w:rsidRPr="00A25922">
              <w:rPr>
                <w:rFonts w:eastAsia="Arial Unicode MS"/>
                <w:color w:val="auto"/>
              </w:rPr>
              <w:t>conflict</w:t>
            </w:r>
          </w:p>
        </w:tc>
      </w:tr>
    </w:tbl>
    <w:p w14:paraId="0564BFDB" w14:textId="77777777" w:rsidR="002446B8" w:rsidRPr="002224D0" w:rsidRDefault="002446B8" w:rsidP="00036A7D">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eastAsia="Arial Unicode MS"/>
          <w:color w:val="auto"/>
        </w:rPr>
      </w:pPr>
    </w:p>
    <w:p w14:paraId="58568B78" w14:textId="77777777" w:rsidR="006C3007" w:rsidRDefault="006C3007" w:rsidP="00036A7D">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eastAsia="Arial Unicode MS"/>
          <w:color w:val="auto"/>
        </w:rPr>
      </w:pPr>
    </w:p>
    <w:p w14:paraId="15BF6F17" w14:textId="77777777" w:rsidR="0043745E" w:rsidRPr="00E42AA9" w:rsidRDefault="0043745E" w:rsidP="0043745E">
      <w:pPr>
        <w:rPr>
          <w:b/>
          <w:bCs/>
        </w:rPr>
      </w:pPr>
      <w:r w:rsidRPr="00E42AA9">
        <w:rPr>
          <w:b/>
          <w:bCs/>
        </w:rPr>
        <w:t>Backfilling</w:t>
      </w:r>
    </w:p>
    <w:p w14:paraId="6C158485" w14:textId="77777777" w:rsidR="0043745E" w:rsidRDefault="0043745E" w:rsidP="0043745E">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eastAsia="Arial Unicode MS"/>
          <w:color w:val="auto"/>
        </w:rPr>
      </w:pPr>
    </w:p>
    <w:p w14:paraId="1089C0E1" w14:textId="0D6E42A0" w:rsidR="0043745E" w:rsidRPr="00CA1CC7" w:rsidRDefault="0043745E" w:rsidP="0043745E">
      <w:r>
        <w:t xml:space="preserve">BF-BOIN adaptively opens and closes a dose for backfilling based on observed data as follows.  A dose level </w:t>
      </w:r>
      <m:oMath>
        <m:r>
          <w:rPr>
            <w:rFonts w:ascii="Cambria Math" w:hAnsi="Cambria Math"/>
          </w:rPr>
          <m:t>b</m:t>
        </m:r>
      </m:oMath>
      <w:r>
        <w:t xml:space="preserve"> is regarded as eligible for backfilling if it satisfies the following two condition</w:t>
      </w:r>
      <w:r w:rsidRPr="00CA1CC7">
        <w:t>s:</w:t>
      </w:r>
      <w:r>
        <w:t xml:space="preserve"> </w:t>
      </w:r>
      <w:r>
        <w:br/>
      </w:r>
    </w:p>
    <w:p w14:paraId="0FB93435" w14:textId="77777777" w:rsidR="0043745E" w:rsidRPr="00A25922" w:rsidRDefault="0043745E" w:rsidP="0043745E">
      <w:pPr>
        <w:widowControl/>
        <w:numPr>
          <w:ilvl w:val="0"/>
          <w:numId w:val="315"/>
        </w:numPr>
        <w:spacing w:after="160" w:line="259" w:lineRule="auto"/>
      </w:pPr>
      <w:r w:rsidRPr="00A25922">
        <w:t xml:space="preserve">(Cleared for safety) </w:t>
      </w:r>
      <m:oMath>
        <m:r>
          <w:rPr>
            <w:rFonts w:ascii="Cambria Math" w:hAnsi="Cambria Math"/>
          </w:rPr>
          <m:t>b</m:t>
        </m:r>
      </m:oMath>
      <w:r w:rsidRPr="00A25922">
        <w:t xml:space="preserve"> is lower than the current dose of the dose escalation (i.e., </w:t>
      </w:r>
      <m:oMath>
        <m:r>
          <w:rPr>
            <w:rFonts w:ascii="Cambria Math" w:hAnsi="Cambria Math"/>
          </w:rPr>
          <m:t>b</m:t>
        </m:r>
        <m:r>
          <m:rPr>
            <m:sty m:val="p"/>
          </m:rPr>
          <w:rPr>
            <w:rFonts w:ascii="Cambria Math" w:hAnsi="Cambria Math"/>
          </w:rPr>
          <m:t>&lt;</m:t>
        </m:r>
        <m:r>
          <w:rPr>
            <w:rFonts w:ascii="Cambria Math" w:hAnsi="Cambria Math"/>
          </w:rPr>
          <m:t>c</m:t>
        </m:r>
      </m:oMath>
      <w:r w:rsidRPr="00A25922">
        <w:t>).</w:t>
      </w:r>
    </w:p>
    <w:p w14:paraId="4F149F22" w14:textId="77777777" w:rsidR="0043745E" w:rsidRPr="00A25922" w:rsidRDefault="0043745E" w:rsidP="0043745E">
      <w:pPr>
        <w:widowControl/>
        <w:numPr>
          <w:ilvl w:val="0"/>
          <w:numId w:val="315"/>
        </w:numPr>
        <w:spacing w:after="160" w:line="259" w:lineRule="auto"/>
      </w:pPr>
      <w:r w:rsidRPr="00A25922">
        <w:t xml:space="preserve">(Demonstrate activity) At least one response is observed at </w:t>
      </w:r>
      <m:oMath>
        <m:r>
          <w:rPr>
            <w:rFonts w:ascii="Cambria Math" w:hAnsi="Cambria Math"/>
          </w:rPr>
          <m:t>b</m:t>
        </m:r>
      </m:oMath>
      <w:r w:rsidRPr="00A25922">
        <w:t xml:space="preserve"> or at a dose lower than </w:t>
      </w:r>
      <m:oMath>
        <m:r>
          <w:rPr>
            <w:rFonts w:ascii="Cambria Math" w:hAnsi="Cambria Math"/>
          </w:rPr>
          <m:t>b</m:t>
        </m:r>
      </m:oMath>
      <w:r w:rsidRPr="00A25922">
        <w:t>.</w:t>
      </w:r>
    </w:p>
    <w:p w14:paraId="6529B8EF" w14:textId="77777777" w:rsidR="0043745E" w:rsidRDefault="0043745E" w:rsidP="0043745E">
      <w:r>
        <w:t xml:space="preserve">Dose level </w:t>
      </w:r>
      <m:oMath>
        <m:r>
          <w:rPr>
            <w:rFonts w:ascii="Cambria Math" w:hAnsi="Cambria Math"/>
          </w:rPr>
          <m:t>b</m:t>
        </m:r>
      </m:oMath>
      <w:r>
        <w:t xml:space="preserve"> will be closed for backfilling if (a) the number of evaluable patients treated at </w:t>
      </w:r>
      <m:oMath>
        <m:r>
          <w:rPr>
            <w:rFonts w:ascii="Cambria Math" w:hAnsi="Cambria Math"/>
          </w:rPr>
          <m:t>b</m:t>
        </m:r>
      </m:oMath>
      <w:r>
        <w:t xml:space="preserve"> is </w:t>
      </w:r>
      <m:oMath>
        <m:r>
          <m:rPr>
            <m:sty m:val="p"/>
          </m:rPr>
          <w:rPr>
            <w:rFonts w:ascii="Cambria Math" w:hAnsi="Cambria Math"/>
          </w:rPr>
          <m:t>≥</m:t>
        </m:r>
      </m:oMath>
      <w:r>
        <w:t xml:space="preserve"> 12, or (b) both of the following two conditions are met: </w:t>
      </w:r>
      <w:r>
        <w:br/>
      </w:r>
    </w:p>
    <w:p w14:paraId="0CA8A403" w14:textId="77777777" w:rsidR="0043745E" w:rsidRDefault="0043745E" w:rsidP="0043745E">
      <w:pPr>
        <w:widowControl/>
        <w:numPr>
          <w:ilvl w:val="0"/>
          <w:numId w:val="315"/>
        </w:numPr>
        <w:spacing w:after="160" w:line="259" w:lineRule="auto"/>
      </w:pPr>
      <w:r>
        <w:t xml:space="preserve">The observed DLT rate based on all cumulative patients completed DLT assessment at </w:t>
      </w:r>
      <m:oMath>
        <m:r>
          <w:rPr>
            <w:rFonts w:ascii="Cambria Math" w:hAnsi="Cambria Math"/>
          </w:rPr>
          <m:t>b</m:t>
        </m:r>
      </m:oMath>
      <w:r>
        <w:t xml:space="preserve"> is greater than the de-escalation boundary </w:t>
      </w:r>
      <m:oMath>
        <m:sSub>
          <m:sSubPr>
            <m:ctrlPr>
              <w:rPr>
                <w:rFonts w:ascii="Cambria Math" w:hAnsi="Cambria Math"/>
              </w:rPr>
            </m:ctrlPr>
          </m:sSubPr>
          <m:e>
            <m:r>
              <w:rPr>
                <w:rFonts w:ascii="Cambria Math" w:hAnsi="Cambria Math"/>
              </w:rPr>
              <m:t>λ</m:t>
            </m:r>
          </m:e>
          <m:sub>
            <m:r>
              <w:rPr>
                <w:rFonts w:ascii="Cambria Math" w:hAnsi="Cambria Math"/>
              </w:rPr>
              <m:t>d</m:t>
            </m:r>
          </m:sub>
        </m:sSub>
      </m:oMath>
      <w:r>
        <w:t>= 0.298, and</w:t>
      </w:r>
    </w:p>
    <w:p w14:paraId="3CA8ABE1" w14:textId="77777777" w:rsidR="0043745E" w:rsidRDefault="0043745E" w:rsidP="0043745E">
      <w:pPr>
        <w:widowControl/>
        <w:numPr>
          <w:ilvl w:val="0"/>
          <w:numId w:val="315"/>
        </w:numPr>
        <w:spacing w:after="160" w:line="259" w:lineRule="auto"/>
      </w:pPr>
      <w:r>
        <w:t xml:space="preserve">the pooled DLT rate based on the pooled DLT data over </w:t>
      </w:r>
      <m:oMath>
        <m:r>
          <w:rPr>
            <w:rFonts w:ascii="Cambria Math" w:hAnsi="Cambria Math"/>
          </w:rPr>
          <m:t>b</m:t>
        </m:r>
      </m:oMath>
      <w:r>
        <w:t xml:space="preserve"> and </w:t>
      </w:r>
      <m:oMath>
        <m:r>
          <w:rPr>
            <w:rFonts w:ascii="Cambria Math" w:hAnsi="Cambria Math"/>
          </w:rPr>
          <m:t>b</m:t>
        </m:r>
        <m:r>
          <m:rPr>
            <m:sty m:val="p"/>
          </m:rPr>
          <w:rPr>
            <w:rFonts w:ascii="Cambria Math" w:hAnsi="Cambria Math"/>
          </w:rPr>
          <m:t>+</m:t>
        </m:r>
        <m:r>
          <w:rPr>
            <w:rFonts w:ascii="Cambria Math" w:hAnsi="Cambria Math"/>
          </w:rPr>
          <m:t>1</m:t>
        </m:r>
      </m:oMath>
      <w:r>
        <w:t xml:space="preserve"> is also greater than </w:t>
      </w:r>
      <m:oMath>
        <m:sSub>
          <m:sSubPr>
            <m:ctrlPr>
              <w:rPr>
                <w:rFonts w:ascii="Cambria Math" w:hAnsi="Cambria Math"/>
              </w:rPr>
            </m:ctrlPr>
          </m:sSubPr>
          <m:e>
            <m:r>
              <w:rPr>
                <w:rFonts w:ascii="Cambria Math" w:hAnsi="Cambria Math"/>
              </w:rPr>
              <m:t>λ</m:t>
            </m:r>
          </m:e>
          <m:sub>
            <m:r>
              <w:rPr>
                <w:rFonts w:ascii="Cambria Math" w:hAnsi="Cambria Math"/>
              </w:rPr>
              <m:t>d</m:t>
            </m:r>
          </m:sub>
        </m:sSub>
      </m:oMath>
      <w:r>
        <w:t>= 0.298.</w:t>
      </w:r>
    </w:p>
    <w:p w14:paraId="2DD6B7B2" w14:textId="31CCC2F9" w:rsidR="0043745E" w:rsidRDefault="0043745E" w:rsidP="0043745E">
      <w:r>
        <w:t>The requirement to examine the pooled (</w:t>
      </w:r>
      <m:oMath>
        <m:r>
          <w:rPr>
            <w:rFonts w:ascii="Cambria Math" w:hAnsi="Cambria Math"/>
          </w:rPr>
          <m:t>b</m:t>
        </m:r>
      </m:oMath>
      <w:r>
        <w:t xml:space="preserve"> and </w:t>
      </w:r>
      <m:oMath>
        <m:r>
          <w:rPr>
            <w:rFonts w:ascii="Cambria Math" w:hAnsi="Cambria Math"/>
          </w:rPr>
          <m:t>b</m:t>
        </m:r>
        <m:r>
          <m:rPr>
            <m:sty m:val="p"/>
          </m:rPr>
          <w:rPr>
            <w:rFonts w:ascii="Cambria Math" w:hAnsi="Cambria Math"/>
          </w:rPr>
          <m:t>+</m:t>
        </m:r>
        <m:r>
          <w:rPr>
            <w:rFonts w:ascii="Cambria Math" w:hAnsi="Cambria Math"/>
          </w:rPr>
          <m:t>1</m:t>
        </m:r>
      </m:oMath>
      <w:r>
        <w:t xml:space="preserve">) DLT rate is needed to reduce the risk of accidentally closing backfilling caused by the variation associated with small sample sizes at </w:t>
      </w:r>
      <m:oMath>
        <m:r>
          <w:rPr>
            <w:rFonts w:ascii="Cambria Math" w:hAnsi="Cambria Math"/>
          </w:rPr>
          <m:t>b</m:t>
        </m:r>
      </m:oMath>
      <w:r>
        <w:t xml:space="preserve">. </w:t>
      </w:r>
      <w:r w:rsidR="00E65C6E">
        <w:t xml:space="preserve"> </w:t>
      </w:r>
      <w:r>
        <w:t xml:space="preserve">When </w:t>
      </w:r>
      <m:oMath>
        <m:r>
          <w:rPr>
            <w:rFonts w:ascii="Cambria Math" w:hAnsi="Cambria Math"/>
          </w:rPr>
          <m:t>b</m:t>
        </m:r>
      </m:oMath>
      <w:r>
        <w:t xml:space="preserve"> is closed for backfilling due to rule (b), the doses higher than </w:t>
      </w:r>
      <m:oMath>
        <m:r>
          <w:rPr>
            <w:rFonts w:ascii="Cambria Math" w:hAnsi="Cambria Math"/>
          </w:rPr>
          <m:t>b</m:t>
        </m:r>
      </m:oMath>
      <w:r>
        <w:t xml:space="preserve"> should also be closed for backfilling. </w:t>
      </w:r>
      <w:r w:rsidR="00E65C6E">
        <w:t xml:space="preserve"> </w:t>
      </w:r>
      <w:r>
        <w:t xml:space="preserve">A dose closed to backfilling for toxicity may later be re-opened for backfilling when accruing toxicity data indicate that the dose is actually safe and the backfill closing conditions no longer hold. </w:t>
      </w:r>
      <w:r w:rsidR="00E65C6E">
        <w:t xml:space="preserve"> </w:t>
      </w:r>
      <w:r>
        <w:t xml:space="preserve">Dose </w:t>
      </w:r>
      <m:oMath>
        <m:r>
          <w:rPr>
            <w:rFonts w:ascii="Cambria Math" w:hAnsi="Cambria Math"/>
          </w:rPr>
          <m:t>b</m:t>
        </m:r>
      </m:oMath>
      <w:r>
        <w:t xml:space="preserve"> is permanently closed for backfilling if the number of evaluable patients treated at </w:t>
      </w:r>
      <m:oMath>
        <m:r>
          <w:rPr>
            <w:rFonts w:ascii="Cambria Math" w:hAnsi="Cambria Math"/>
          </w:rPr>
          <m:t>b</m:t>
        </m:r>
      </m:oMath>
      <w:r>
        <w:t xml:space="preserve"> is </w:t>
      </w:r>
      <m:oMath>
        <m:r>
          <m:rPr>
            <m:sty m:val="p"/>
          </m:rPr>
          <w:rPr>
            <w:rFonts w:ascii="Cambria Math" w:hAnsi="Cambria Math"/>
          </w:rPr>
          <m:t>≥</m:t>
        </m:r>
      </m:oMath>
      <w:r>
        <w:t xml:space="preserve"> 12. </w:t>
      </w:r>
    </w:p>
    <w:p w14:paraId="21520327" w14:textId="77777777" w:rsidR="0043745E" w:rsidRDefault="0043745E" w:rsidP="0043745E"/>
    <w:p w14:paraId="624FC0B0" w14:textId="66544F4B" w:rsidR="0043745E" w:rsidRDefault="0043745E" w:rsidP="0043745E">
      <w:r>
        <w:lastRenderedPageBreak/>
        <w:t xml:space="preserve">In the dose escalation component of BF-BOIN, patient enrollment is staggered between cohorts. </w:t>
      </w:r>
      <w:r w:rsidR="00E65C6E">
        <w:t xml:space="preserve"> </w:t>
      </w:r>
      <w:r>
        <w:t xml:space="preserve">This means that the next cohort cannot commence enrollment until all patients of the current dose-escalation cohort have completed DLT assessment. </w:t>
      </w:r>
      <w:r w:rsidR="00E65C6E">
        <w:t xml:space="preserve"> </w:t>
      </w:r>
      <w:r>
        <w:t xml:space="preserve">In contrast, for the backfilling component of BF-BOIN, no staggering is necessary, and available patients can be promptly enrolled and assigned to an open backfilling dose. </w:t>
      </w:r>
      <w:r w:rsidR="00E65C6E">
        <w:t xml:space="preserve"> </w:t>
      </w:r>
      <w:r>
        <w:t>Accordingly, BF-BOIN assigns the next available patient as follows:</w:t>
      </w:r>
    </w:p>
    <w:p w14:paraId="17DABDA2" w14:textId="77777777" w:rsidR="00E65C6E" w:rsidRDefault="00E65C6E" w:rsidP="0043745E"/>
    <w:p w14:paraId="28A011C1" w14:textId="77777777" w:rsidR="0043745E" w:rsidRDefault="0043745E" w:rsidP="0043745E">
      <w:pPr>
        <w:widowControl/>
        <w:numPr>
          <w:ilvl w:val="0"/>
          <w:numId w:val="315"/>
        </w:numPr>
        <w:spacing w:after="160" w:line="259" w:lineRule="auto"/>
      </w:pPr>
      <w:r>
        <w:t>If the current cohort of the dose escalation has not been filled, the patient will be allocated to that dose-escalation cohort;</w:t>
      </w:r>
    </w:p>
    <w:p w14:paraId="1FD5EF95" w14:textId="535020B7" w:rsidR="0043745E" w:rsidRDefault="0043745E" w:rsidP="0043745E">
      <w:pPr>
        <w:widowControl/>
        <w:numPr>
          <w:ilvl w:val="0"/>
          <w:numId w:val="315"/>
        </w:numPr>
        <w:spacing w:after="160" w:line="259" w:lineRule="auto"/>
      </w:pPr>
      <w:r>
        <w:t xml:space="preserve">Otherwise, the patient will be allocated to a dose that is open for backfilling. </w:t>
      </w:r>
      <w:r w:rsidR="00E65C6E">
        <w:t xml:space="preserve"> </w:t>
      </w:r>
      <w:r>
        <w:t>If multiple dose levels are open for backfilling, the patient will be assigned to the highest one.</w:t>
      </w:r>
    </w:p>
    <w:p w14:paraId="77D4DFD8" w14:textId="782ABF4D" w:rsidR="006C3007" w:rsidRPr="00D010F4" w:rsidRDefault="0043745E" w:rsidP="00D010F4">
      <w:r>
        <w:t>The backfilling ends once the dose escalation is ended.</w:t>
      </w:r>
    </w:p>
    <w:p w14:paraId="1A4CCFF4" w14:textId="77777777" w:rsidR="005B020C" w:rsidRPr="002224D0" w:rsidRDefault="005B020C" w:rsidP="00036A7D">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eastAsia="Arial Unicode MS"/>
          <w:color w:val="auto"/>
        </w:rPr>
      </w:pPr>
    </w:p>
    <w:p w14:paraId="1C46DC80" w14:textId="4BF69D7C" w:rsidR="005B020C" w:rsidRPr="002224D0" w:rsidRDefault="005B020C" w:rsidP="00036A7D">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eastAsia="Arial Unicode MS"/>
          <w:color w:val="auto"/>
        </w:rPr>
      </w:pPr>
      <w:r w:rsidRPr="002224D0">
        <w:rPr>
          <w:rFonts w:eastAsia="Arial Unicode MS"/>
          <w:color w:val="auto"/>
        </w:rPr>
        <w:t>After the trial is completed, the MTD is determined</w:t>
      </w:r>
      <w:r w:rsidR="00F80432">
        <w:rPr>
          <w:rFonts w:eastAsia="Arial Unicode MS"/>
          <w:color w:val="auto"/>
        </w:rPr>
        <w:t xml:space="preserve"> with all the data</w:t>
      </w:r>
      <w:r w:rsidRPr="002224D0">
        <w:rPr>
          <w:rFonts w:eastAsia="Arial Unicode MS"/>
          <w:color w:val="auto"/>
        </w:rPr>
        <w:t xml:space="preserve"> based on isotonic regression by the shiny app “</w:t>
      </w:r>
      <w:r w:rsidR="0095648B">
        <w:rPr>
          <w:rFonts w:eastAsia="Arial Unicode MS"/>
          <w:color w:val="auto"/>
        </w:rPr>
        <w:t>BF-</w:t>
      </w:r>
      <w:r w:rsidRPr="002224D0">
        <w:rPr>
          <w:rFonts w:eastAsia="Arial Unicode MS"/>
          <w:color w:val="auto"/>
        </w:rPr>
        <w:t xml:space="preserve">BOIN” available at </w:t>
      </w:r>
      <w:hyperlink r:id="rId70" w:history="1">
        <w:r w:rsidRPr="004E1917">
          <w:rPr>
            <w:rStyle w:val="Hyperlink"/>
            <w:rFonts w:eastAsia="Arial Unicode MS"/>
          </w:rPr>
          <w:t>http://www.trialdesign.org</w:t>
        </w:r>
      </w:hyperlink>
      <w:r w:rsidRPr="002224D0">
        <w:rPr>
          <w:rFonts w:eastAsia="Arial Unicode MS"/>
          <w:color w:val="auto"/>
        </w:rPr>
        <w:t>.  Specifically, the MTD is the dose for which the isotonic estimate of the toxicity rate is closest to the target toxicity rate.  If there are ties, the higher dose level will be selected when the isotonic estimate is lower than the target toxicity rate, and the lower dose level will be selected when the isotonic estimate is greater than or equal to the target toxicity rate.</w:t>
      </w:r>
    </w:p>
    <w:p w14:paraId="3D204352" w14:textId="77777777" w:rsidR="005B020C" w:rsidRPr="002224D0" w:rsidRDefault="005B020C" w:rsidP="00036A7D">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eastAsia="Arial Unicode MS"/>
          <w:color w:val="auto"/>
        </w:rPr>
      </w:pPr>
    </w:p>
    <w:p w14:paraId="7BE53CEA" w14:textId="0B55FCFD" w:rsidR="005B020C" w:rsidRPr="00447BF2" w:rsidRDefault="003E5592" w:rsidP="00036A7D">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sidRPr="002224D0">
        <w:rPr>
          <w:iCs/>
          <w:color w:val="auto"/>
        </w:rPr>
        <w:t xml:space="preserve">At the conclusion of the trial, all available safety data will be reviewed.  If a significant number of clinically significant adverse events outside the definition of DLT occurred at the MTD, the RP2D may be a lower dose level than the MTD.  Examples of clinically significant </w:t>
      </w:r>
      <w:r w:rsidR="006B458C" w:rsidRPr="002224D0">
        <w:rPr>
          <w:iCs/>
          <w:color w:val="auto"/>
        </w:rPr>
        <w:t xml:space="preserve">events that would be considered are those events like DLTs but occurred in later cycles outside the DLT window, treatment discontinuation due to an adverse event </w:t>
      </w:r>
      <w:r w:rsidR="006B458C" w:rsidRPr="00447BF2">
        <w:rPr>
          <w:iCs/>
          <w:color w:val="auto"/>
        </w:rPr>
        <w:t>attributed to triapine, or patient withdrawal from the study due to intolerable adverse events.</w:t>
      </w:r>
    </w:p>
    <w:p w14:paraId="32F679B0" w14:textId="77777777" w:rsidR="000F4586" w:rsidRPr="00447BF2" w:rsidRDefault="000F4586" w:rsidP="00036A7D">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p>
    <w:p w14:paraId="0B222C55" w14:textId="3D69CB00" w:rsidR="000F4586" w:rsidRPr="002224D0" w:rsidRDefault="005C6E38" w:rsidP="00036A7D">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eastAsia="Arial Unicode MS"/>
          <w:color w:val="auto"/>
        </w:rPr>
      </w:pPr>
      <w:r>
        <w:rPr>
          <w:b/>
          <w:bCs/>
          <w:iCs/>
          <w:color w:val="auto"/>
        </w:rPr>
        <w:fldChar w:fldCharType="begin"/>
      </w:r>
      <w:r>
        <w:rPr>
          <w:b/>
          <w:bCs/>
          <w:iCs/>
          <w:color w:val="auto"/>
        </w:rPr>
        <w:instrText xml:space="preserve"> REF _Ref170915404 \h </w:instrText>
      </w:r>
      <w:r>
        <w:rPr>
          <w:b/>
          <w:bCs/>
          <w:iCs/>
          <w:color w:val="auto"/>
        </w:rPr>
      </w:r>
      <w:r>
        <w:rPr>
          <w:b/>
          <w:bCs/>
          <w:iCs/>
          <w:color w:val="auto"/>
        </w:rPr>
        <w:fldChar w:fldCharType="separate"/>
      </w:r>
      <w:r w:rsidR="009C0D42" w:rsidRPr="00EE41C5">
        <w:rPr>
          <w:b/>
          <w:bCs/>
        </w:rPr>
        <w:t xml:space="preserve">Table </w:t>
      </w:r>
      <w:r w:rsidR="009C0D42">
        <w:rPr>
          <w:b/>
          <w:bCs/>
          <w:noProof/>
        </w:rPr>
        <w:t>3</w:t>
      </w:r>
      <w:r>
        <w:rPr>
          <w:b/>
          <w:bCs/>
          <w:iCs/>
          <w:color w:val="auto"/>
        </w:rPr>
        <w:fldChar w:fldCharType="end"/>
      </w:r>
      <w:r>
        <w:rPr>
          <w:b/>
          <w:bCs/>
          <w:iCs/>
          <w:color w:val="auto"/>
        </w:rPr>
        <w:t xml:space="preserve"> </w:t>
      </w:r>
      <w:r w:rsidR="000F4586" w:rsidRPr="002224D0">
        <w:rPr>
          <w:iCs/>
          <w:color w:val="auto"/>
        </w:rPr>
        <w:t>shows the operating characteristics of the trial design based on 1000 simulations of the trial using shiny app “</w:t>
      </w:r>
      <w:r w:rsidR="00B469F5">
        <w:rPr>
          <w:iCs/>
          <w:color w:val="auto"/>
        </w:rPr>
        <w:t>BF-</w:t>
      </w:r>
      <w:r w:rsidR="000F4586" w:rsidRPr="002224D0">
        <w:rPr>
          <w:iCs/>
          <w:color w:val="auto"/>
        </w:rPr>
        <w:t>BOIN” (</w:t>
      </w:r>
      <w:r w:rsidR="00626CDC">
        <w:rPr>
          <w:iCs/>
          <w:color w:val="auto"/>
        </w:rPr>
        <w:t>BF-</w:t>
      </w:r>
      <w:r w:rsidR="000F4586" w:rsidRPr="002224D0">
        <w:rPr>
          <w:iCs/>
          <w:color w:val="auto"/>
        </w:rPr>
        <w:t>BOIN v</w:t>
      </w:r>
      <w:r w:rsidR="0053235A">
        <w:rPr>
          <w:iCs/>
          <w:color w:val="auto"/>
        </w:rPr>
        <w:t>1</w:t>
      </w:r>
      <w:r w:rsidR="000F4586" w:rsidRPr="002224D0">
        <w:rPr>
          <w:iCs/>
          <w:color w:val="auto"/>
        </w:rPr>
        <w:t>.0.</w:t>
      </w:r>
      <w:r w:rsidR="0053235A">
        <w:rPr>
          <w:iCs/>
          <w:color w:val="auto"/>
        </w:rPr>
        <w:t>3</w:t>
      </w:r>
      <w:r w:rsidR="000F4586" w:rsidRPr="002224D0">
        <w:rPr>
          <w:iCs/>
          <w:color w:val="auto"/>
        </w:rPr>
        <w:t>.0)</w:t>
      </w:r>
      <w:r w:rsidR="000D0822" w:rsidRPr="002224D0">
        <w:rPr>
          <w:iCs/>
          <w:color w:val="auto"/>
        </w:rPr>
        <w:t xml:space="preserve"> available at </w:t>
      </w:r>
      <w:hyperlink r:id="rId71" w:history="1">
        <w:r w:rsidR="000D0822" w:rsidRPr="004E1917">
          <w:rPr>
            <w:rStyle w:val="Hyperlink"/>
            <w:rFonts w:eastAsia="Arial Unicode MS"/>
          </w:rPr>
          <w:t>http://www.trialdesign.org</w:t>
        </w:r>
      </w:hyperlink>
      <w:r w:rsidR="000D0822" w:rsidRPr="00EC147A">
        <w:rPr>
          <w:rFonts w:eastAsia="Arial Unicode MS"/>
          <w:color w:val="auto"/>
        </w:rPr>
        <w:t>.  The operating characteristics show that the design selects the true MTD, if any, with high probability and allocates a high percentage of patients to the dose levels with the DLT rate closest to the target of 0.</w:t>
      </w:r>
      <w:r w:rsidR="000D0822" w:rsidRPr="002224D0">
        <w:rPr>
          <w:rFonts w:eastAsia="Arial Unicode MS"/>
          <w:color w:val="auto"/>
        </w:rPr>
        <w:t xml:space="preserve">25. </w:t>
      </w:r>
    </w:p>
    <w:p w14:paraId="1A9E07E8" w14:textId="77777777" w:rsidR="000D0822" w:rsidRPr="002224D0" w:rsidRDefault="000D0822" w:rsidP="00036A7D">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eastAsia="Arial Unicode MS"/>
          <w:color w:val="auto"/>
        </w:rPr>
      </w:pPr>
    </w:p>
    <w:p w14:paraId="37B0C304" w14:textId="069E5E44" w:rsidR="003C41E8" w:rsidRDefault="003C41E8" w:rsidP="003C41E8">
      <w:pPr>
        <w:pStyle w:val="Caption"/>
        <w:keepNext/>
      </w:pPr>
      <w:bookmarkStart w:id="106" w:name="_Ref170915404"/>
      <w:r w:rsidRPr="00EE41C5">
        <w:rPr>
          <w:b/>
          <w:bCs/>
        </w:rPr>
        <w:t xml:space="preserve">Table </w:t>
      </w:r>
      <w:r w:rsidRPr="00EE41C5">
        <w:rPr>
          <w:b/>
          <w:bCs/>
        </w:rPr>
        <w:fldChar w:fldCharType="begin"/>
      </w:r>
      <w:r w:rsidRPr="00EE41C5">
        <w:rPr>
          <w:b/>
          <w:bCs/>
        </w:rPr>
        <w:instrText xml:space="preserve"> SEQ Table \* ARABIC </w:instrText>
      </w:r>
      <w:r w:rsidRPr="00EE41C5">
        <w:rPr>
          <w:b/>
          <w:bCs/>
        </w:rPr>
        <w:fldChar w:fldCharType="separate"/>
      </w:r>
      <w:r w:rsidR="009C0D42">
        <w:rPr>
          <w:b/>
          <w:bCs/>
          <w:noProof/>
        </w:rPr>
        <w:t>3</w:t>
      </w:r>
      <w:r w:rsidRPr="00EE41C5">
        <w:rPr>
          <w:b/>
          <w:bCs/>
        </w:rPr>
        <w:fldChar w:fldCharType="end"/>
      </w:r>
      <w:bookmarkEnd w:id="106"/>
      <w:r w:rsidRPr="00EE41C5">
        <w:rPr>
          <w:b/>
          <w:bCs/>
        </w:rPr>
        <w:t>.</w:t>
      </w:r>
      <w:r>
        <w:t xml:space="preserve"> Operating Characteristics of the </w:t>
      </w:r>
      <w:r w:rsidR="00C715F3">
        <w:t>BF-</w:t>
      </w:r>
      <w:r>
        <w:t>BOIN Design</w:t>
      </w:r>
    </w:p>
    <w:tbl>
      <w:tblPr>
        <w:tblW w:w="9018" w:type="dxa"/>
        <w:tblLook w:val="04A0" w:firstRow="1" w:lastRow="0" w:firstColumn="1" w:lastColumn="0" w:noHBand="0" w:noVBand="1"/>
      </w:tblPr>
      <w:tblGrid>
        <w:gridCol w:w="1998"/>
        <w:gridCol w:w="1080"/>
        <w:gridCol w:w="900"/>
        <w:gridCol w:w="1080"/>
        <w:gridCol w:w="900"/>
        <w:gridCol w:w="1170"/>
        <w:gridCol w:w="1890"/>
      </w:tblGrid>
      <w:tr w:rsidR="00B55729" w:rsidRPr="00D5037C" w14:paraId="1E8E2806" w14:textId="77777777" w:rsidTr="00AE127C">
        <w:trPr>
          <w:trHeight w:val="290"/>
        </w:trPr>
        <w:tc>
          <w:tcPr>
            <w:tcW w:w="1998" w:type="dxa"/>
            <w:tcBorders>
              <w:top w:val="single" w:sz="4" w:space="0" w:color="auto"/>
              <w:left w:val="nil"/>
              <w:bottom w:val="single" w:sz="4" w:space="0" w:color="auto"/>
              <w:right w:val="nil"/>
            </w:tcBorders>
            <w:shd w:val="clear" w:color="auto" w:fill="auto"/>
            <w:noWrap/>
            <w:vAlign w:val="center"/>
            <w:hideMark/>
          </w:tcPr>
          <w:p w14:paraId="03B9EB68" w14:textId="77777777" w:rsidR="00B55729" w:rsidRPr="00D5037C" w:rsidRDefault="00B55729" w:rsidP="00AE127C">
            <w:pPr>
              <w:widowControl/>
              <w:shd w:val="clear" w:color="auto" w:fill="FFFFFF"/>
              <w:rPr>
                <w:snapToGrid/>
                <w14:ligatures w14:val="standardContextual"/>
              </w:rPr>
            </w:pPr>
          </w:p>
        </w:tc>
        <w:tc>
          <w:tcPr>
            <w:tcW w:w="1080" w:type="dxa"/>
            <w:tcBorders>
              <w:top w:val="single" w:sz="4" w:space="0" w:color="auto"/>
              <w:left w:val="nil"/>
              <w:bottom w:val="single" w:sz="4" w:space="0" w:color="auto"/>
              <w:right w:val="nil"/>
            </w:tcBorders>
            <w:shd w:val="clear" w:color="auto" w:fill="auto"/>
            <w:noWrap/>
            <w:vAlign w:val="center"/>
            <w:hideMark/>
          </w:tcPr>
          <w:p w14:paraId="0E889C59" w14:textId="77777777" w:rsidR="00B55729" w:rsidRPr="00D5037C" w:rsidRDefault="00B55729" w:rsidP="00AE127C">
            <w:pPr>
              <w:widowControl/>
              <w:shd w:val="clear" w:color="auto" w:fill="FFFFFF"/>
              <w:jc w:val="center"/>
              <w:rPr>
                <w:b/>
                <w:bCs/>
                <w:snapToGrid/>
                <w14:ligatures w14:val="standardContextual"/>
              </w:rPr>
            </w:pPr>
            <w:r w:rsidRPr="00D5037C">
              <w:rPr>
                <w:b/>
                <w:bCs/>
                <w:snapToGrid/>
                <w14:ligatures w14:val="standardContextual"/>
              </w:rPr>
              <w:t xml:space="preserve">Dose </w:t>
            </w:r>
            <w:r w:rsidRPr="00D5037C">
              <w:rPr>
                <w:rFonts w:eastAsia="Arial Unicode MS"/>
                <w:b/>
                <w:bCs/>
                <w:snapToGrid/>
                <w14:ligatures w14:val="standardContextual"/>
              </w:rPr>
              <w:t>1</w:t>
            </w:r>
          </w:p>
        </w:tc>
        <w:tc>
          <w:tcPr>
            <w:tcW w:w="900" w:type="dxa"/>
            <w:tcBorders>
              <w:top w:val="single" w:sz="4" w:space="0" w:color="auto"/>
              <w:left w:val="nil"/>
              <w:bottom w:val="single" w:sz="4" w:space="0" w:color="auto"/>
              <w:right w:val="nil"/>
            </w:tcBorders>
            <w:shd w:val="clear" w:color="auto" w:fill="auto"/>
            <w:noWrap/>
            <w:vAlign w:val="center"/>
            <w:hideMark/>
          </w:tcPr>
          <w:p w14:paraId="29E2B236" w14:textId="77777777" w:rsidR="00B55729" w:rsidRPr="00D5037C" w:rsidRDefault="00B55729" w:rsidP="00AE127C">
            <w:pPr>
              <w:widowControl/>
              <w:shd w:val="clear" w:color="auto" w:fill="FFFFFF"/>
              <w:jc w:val="center"/>
              <w:rPr>
                <w:b/>
                <w:bCs/>
                <w:snapToGrid/>
                <w14:ligatures w14:val="standardContextual"/>
              </w:rPr>
            </w:pPr>
            <w:r w:rsidRPr="00D5037C">
              <w:rPr>
                <w:b/>
                <w:bCs/>
                <w:snapToGrid/>
                <w14:ligatures w14:val="standardContextual"/>
              </w:rPr>
              <w:t xml:space="preserve">Dose </w:t>
            </w:r>
            <w:r w:rsidRPr="00D5037C">
              <w:rPr>
                <w:rFonts w:eastAsia="Arial Unicode MS"/>
                <w:b/>
                <w:bCs/>
                <w:snapToGrid/>
                <w14:ligatures w14:val="standardContextual"/>
              </w:rPr>
              <w:t>2</w:t>
            </w:r>
          </w:p>
        </w:tc>
        <w:tc>
          <w:tcPr>
            <w:tcW w:w="1080" w:type="dxa"/>
            <w:tcBorders>
              <w:top w:val="single" w:sz="4" w:space="0" w:color="auto"/>
              <w:left w:val="nil"/>
              <w:bottom w:val="single" w:sz="4" w:space="0" w:color="auto"/>
              <w:right w:val="nil"/>
            </w:tcBorders>
            <w:shd w:val="clear" w:color="auto" w:fill="auto"/>
            <w:noWrap/>
            <w:vAlign w:val="center"/>
            <w:hideMark/>
          </w:tcPr>
          <w:p w14:paraId="78DB9E13" w14:textId="77777777" w:rsidR="00B55729" w:rsidRPr="00D5037C" w:rsidRDefault="00B55729" w:rsidP="00AE127C">
            <w:pPr>
              <w:widowControl/>
              <w:shd w:val="clear" w:color="auto" w:fill="FFFFFF"/>
              <w:jc w:val="center"/>
              <w:rPr>
                <w:b/>
                <w:bCs/>
                <w:snapToGrid/>
                <w14:ligatures w14:val="standardContextual"/>
              </w:rPr>
            </w:pPr>
            <w:r w:rsidRPr="00D5037C">
              <w:rPr>
                <w:b/>
                <w:bCs/>
                <w:snapToGrid/>
                <w14:ligatures w14:val="standardContextual"/>
              </w:rPr>
              <w:t xml:space="preserve">Dose </w:t>
            </w:r>
            <w:r w:rsidRPr="00D5037C">
              <w:rPr>
                <w:rFonts w:eastAsia="Arial Unicode MS"/>
                <w:b/>
                <w:bCs/>
                <w:snapToGrid/>
                <w14:ligatures w14:val="standardContextual"/>
              </w:rPr>
              <w:t>3</w:t>
            </w:r>
          </w:p>
        </w:tc>
        <w:tc>
          <w:tcPr>
            <w:tcW w:w="900" w:type="dxa"/>
            <w:tcBorders>
              <w:top w:val="single" w:sz="4" w:space="0" w:color="auto"/>
              <w:left w:val="nil"/>
              <w:bottom w:val="single" w:sz="4" w:space="0" w:color="auto"/>
              <w:right w:val="nil"/>
            </w:tcBorders>
            <w:shd w:val="clear" w:color="auto" w:fill="auto"/>
            <w:noWrap/>
            <w:vAlign w:val="center"/>
            <w:hideMark/>
          </w:tcPr>
          <w:p w14:paraId="1C4C44A7" w14:textId="77777777" w:rsidR="00B55729" w:rsidRPr="00D5037C" w:rsidRDefault="00B55729" w:rsidP="00AE127C">
            <w:pPr>
              <w:widowControl/>
              <w:shd w:val="clear" w:color="auto" w:fill="FFFFFF"/>
              <w:jc w:val="center"/>
              <w:rPr>
                <w:b/>
                <w:bCs/>
                <w:snapToGrid/>
                <w14:ligatures w14:val="standardContextual"/>
              </w:rPr>
            </w:pPr>
            <w:r w:rsidRPr="00D5037C">
              <w:rPr>
                <w:b/>
                <w:bCs/>
                <w:snapToGrid/>
                <w14:ligatures w14:val="standardContextual"/>
              </w:rPr>
              <w:t xml:space="preserve">Dose </w:t>
            </w:r>
            <w:r w:rsidRPr="00D5037C">
              <w:rPr>
                <w:rFonts w:eastAsia="Arial Unicode MS"/>
                <w:b/>
                <w:bCs/>
                <w:snapToGrid/>
                <w14:ligatures w14:val="standardContextual"/>
              </w:rPr>
              <w:t>4</w:t>
            </w:r>
          </w:p>
        </w:tc>
        <w:tc>
          <w:tcPr>
            <w:tcW w:w="1170" w:type="dxa"/>
            <w:tcBorders>
              <w:top w:val="single" w:sz="4" w:space="0" w:color="auto"/>
              <w:left w:val="nil"/>
              <w:bottom w:val="single" w:sz="4" w:space="0" w:color="auto"/>
              <w:right w:val="nil"/>
            </w:tcBorders>
            <w:shd w:val="clear" w:color="auto" w:fill="auto"/>
            <w:noWrap/>
            <w:vAlign w:val="center"/>
            <w:hideMark/>
          </w:tcPr>
          <w:p w14:paraId="34F276FC" w14:textId="77777777" w:rsidR="00B55729" w:rsidRPr="00D5037C" w:rsidRDefault="00B55729" w:rsidP="00AE127C">
            <w:pPr>
              <w:widowControl/>
              <w:shd w:val="clear" w:color="auto" w:fill="FFFFFF"/>
              <w:jc w:val="center"/>
              <w:rPr>
                <w:b/>
                <w:bCs/>
                <w:snapToGrid/>
                <w14:ligatures w14:val="standardContextual"/>
              </w:rPr>
            </w:pPr>
            <w:r w:rsidRPr="00D5037C">
              <w:rPr>
                <w:b/>
                <w:bCs/>
                <w:snapToGrid/>
                <w14:ligatures w14:val="standardContextual"/>
              </w:rPr>
              <w:t># Patients</w:t>
            </w:r>
          </w:p>
        </w:tc>
        <w:tc>
          <w:tcPr>
            <w:tcW w:w="1890" w:type="dxa"/>
            <w:tcBorders>
              <w:top w:val="single" w:sz="4" w:space="0" w:color="auto"/>
              <w:left w:val="nil"/>
              <w:bottom w:val="single" w:sz="4" w:space="0" w:color="auto"/>
              <w:right w:val="nil"/>
            </w:tcBorders>
            <w:shd w:val="clear" w:color="auto" w:fill="auto"/>
            <w:noWrap/>
            <w:vAlign w:val="center"/>
            <w:hideMark/>
          </w:tcPr>
          <w:p w14:paraId="54CB83DA" w14:textId="77777777" w:rsidR="00B55729" w:rsidRPr="00D5037C" w:rsidRDefault="00B55729" w:rsidP="00AE127C">
            <w:pPr>
              <w:widowControl/>
              <w:shd w:val="clear" w:color="auto" w:fill="FFFFFF"/>
              <w:jc w:val="center"/>
              <w:rPr>
                <w:b/>
                <w:bCs/>
                <w:snapToGrid/>
                <w14:ligatures w14:val="standardContextual"/>
              </w:rPr>
            </w:pPr>
            <w:r w:rsidRPr="00D5037C">
              <w:rPr>
                <w:b/>
                <w:bCs/>
                <w:snapToGrid/>
                <w14:ligatures w14:val="standardContextual"/>
              </w:rPr>
              <w:t>% Early Stopping</w:t>
            </w:r>
          </w:p>
        </w:tc>
      </w:tr>
      <w:tr w:rsidR="00B55729" w:rsidRPr="00D5037C" w14:paraId="1D429DBD" w14:textId="77777777" w:rsidTr="00AE127C">
        <w:trPr>
          <w:trHeight w:val="290"/>
        </w:trPr>
        <w:tc>
          <w:tcPr>
            <w:tcW w:w="1998" w:type="dxa"/>
            <w:tcBorders>
              <w:top w:val="single" w:sz="4" w:space="0" w:color="auto"/>
              <w:left w:val="nil"/>
              <w:bottom w:val="nil"/>
              <w:right w:val="nil"/>
            </w:tcBorders>
            <w:shd w:val="clear" w:color="auto" w:fill="auto"/>
            <w:noWrap/>
            <w:vAlign w:val="center"/>
            <w:hideMark/>
          </w:tcPr>
          <w:p w14:paraId="4EA24240" w14:textId="77777777" w:rsidR="00B55729" w:rsidRPr="00D5037C" w:rsidRDefault="00B55729" w:rsidP="00AE127C">
            <w:pPr>
              <w:widowControl/>
              <w:shd w:val="clear" w:color="auto" w:fill="FFFFFF"/>
              <w:rPr>
                <w:snapToGrid/>
                <w14:ligatures w14:val="standardContextual"/>
              </w:rPr>
            </w:pPr>
            <w:r w:rsidRPr="00D5037C">
              <w:rPr>
                <w:snapToGrid/>
                <w14:ligatures w14:val="standardContextual"/>
              </w:rPr>
              <w:t>Scenario 1</w:t>
            </w:r>
          </w:p>
        </w:tc>
        <w:tc>
          <w:tcPr>
            <w:tcW w:w="1080" w:type="dxa"/>
            <w:tcBorders>
              <w:top w:val="single" w:sz="4" w:space="0" w:color="auto"/>
              <w:left w:val="nil"/>
              <w:bottom w:val="nil"/>
              <w:right w:val="nil"/>
            </w:tcBorders>
            <w:shd w:val="clear" w:color="auto" w:fill="auto"/>
            <w:noWrap/>
            <w:vAlign w:val="center"/>
            <w:hideMark/>
          </w:tcPr>
          <w:p w14:paraId="41D46372" w14:textId="77777777" w:rsidR="00B55729" w:rsidRPr="00D5037C" w:rsidRDefault="00B55729" w:rsidP="00AE127C">
            <w:pPr>
              <w:widowControl/>
              <w:shd w:val="clear" w:color="auto" w:fill="FFFFFF"/>
              <w:jc w:val="center"/>
              <w:rPr>
                <w:snapToGrid/>
                <w14:ligatures w14:val="standardContextual"/>
              </w:rPr>
            </w:pPr>
          </w:p>
        </w:tc>
        <w:tc>
          <w:tcPr>
            <w:tcW w:w="900" w:type="dxa"/>
            <w:tcBorders>
              <w:top w:val="single" w:sz="4" w:space="0" w:color="auto"/>
              <w:left w:val="nil"/>
              <w:bottom w:val="nil"/>
              <w:right w:val="nil"/>
            </w:tcBorders>
            <w:shd w:val="clear" w:color="auto" w:fill="auto"/>
            <w:noWrap/>
            <w:vAlign w:val="center"/>
            <w:hideMark/>
          </w:tcPr>
          <w:p w14:paraId="0BF7F039" w14:textId="77777777" w:rsidR="00B55729" w:rsidRPr="00D5037C" w:rsidRDefault="00B55729" w:rsidP="00AE127C">
            <w:pPr>
              <w:widowControl/>
              <w:shd w:val="clear" w:color="auto" w:fill="FFFFFF"/>
              <w:jc w:val="center"/>
              <w:rPr>
                <w:snapToGrid/>
                <w14:ligatures w14:val="standardContextual"/>
              </w:rPr>
            </w:pPr>
          </w:p>
        </w:tc>
        <w:tc>
          <w:tcPr>
            <w:tcW w:w="1080" w:type="dxa"/>
            <w:tcBorders>
              <w:top w:val="single" w:sz="4" w:space="0" w:color="auto"/>
              <w:left w:val="nil"/>
              <w:bottom w:val="nil"/>
              <w:right w:val="nil"/>
            </w:tcBorders>
            <w:shd w:val="clear" w:color="auto" w:fill="auto"/>
            <w:noWrap/>
            <w:vAlign w:val="center"/>
            <w:hideMark/>
          </w:tcPr>
          <w:p w14:paraId="41C76C16" w14:textId="77777777" w:rsidR="00B55729" w:rsidRPr="00D5037C" w:rsidRDefault="00B55729" w:rsidP="00AE127C">
            <w:pPr>
              <w:widowControl/>
              <w:shd w:val="clear" w:color="auto" w:fill="FFFFFF"/>
              <w:jc w:val="center"/>
              <w:rPr>
                <w:snapToGrid/>
                <w14:ligatures w14:val="standardContextual"/>
              </w:rPr>
            </w:pPr>
          </w:p>
        </w:tc>
        <w:tc>
          <w:tcPr>
            <w:tcW w:w="900" w:type="dxa"/>
            <w:tcBorders>
              <w:top w:val="single" w:sz="4" w:space="0" w:color="auto"/>
              <w:left w:val="nil"/>
              <w:bottom w:val="nil"/>
              <w:right w:val="nil"/>
            </w:tcBorders>
            <w:shd w:val="clear" w:color="auto" w:fill="auto"/>
            <w:noWrap/>
            <w:vAlign w:val="center"/>
            <w:hideMark/>
          </w:tcPr>
          <w:p w14:paraId="1A8A565F" w14:textId="77777777" w:rsidR="00B55729" w:rsidRPr="00D5037C" w:rsidRDefault="00B55729" w:rsidP="00AE127C">
            <w:pPr>
              <w:widowControl/>
              <w:shd w:val="clear" w:color="auto" w:fill="FFFFFF"/>
              <w:jc w:val="center"/>
              <w:rPr>
                <w:snapToGrid/>
                <w14:ligatures w14:val="standardContextual"/>
              </w:rPr>
            </w:pPr>
          </w:p>
        </w:tc>
        <w:tc>
          <w:tcPr>
            <w:tcW w:w="1170" w:type="dxa"/>
            <w:tcBorders>
              <w:top w:val="single" w:sz="4" w:space="0" w:color="auto"/>
              <w:left w:val="nil"/>
              <w:bottom w:val="nil"/>
              <w:right w:val="nil"/>
            </w:tcBorders>
            <w:shd w:val="clear" w:color="auto" w:fill="auto"/>
            <w:noWrap/>
            <w:vAlign w:val="center"/>
            <w:hideMark/>
          </w:tcPr>
          <w:p w14:paraId="48202DD6" w14:textId="77777777" w:rsidR="00B55729" w:rsidRPr="00D5037C" w:rsidRDefault="00B55729" w:rsidP="00AE127C">
            <w:pPr>
              <w:widowControl/>
              <w:shd w:val="clear" w:color="auto" w:fill="FFFFFF"/>
              <w:jc w:val="center"/>
              <w:rPr>
                <w:snapToGrid/>
                <w14:ligatures w14:val="standardContextual"/>
              </w:rPr>
            </w:pPr>
          </w:p>
        </w:tc>
        <w:tc>
          <w:tcPr>
            <w:tcW w:w="1890" w:type="dxa"/>
            <w:tcBorders>
              <w:top w:val="single" w:sz="4" w:space="0" w:color="auto"/>
              <w:left w:val="nil"/>
              <w:bottom w:val="nil"/>
              <w:right w:val="nil"/>
            </w:tcBorders>
            <w:shd w:val="clear" w:color="auto" w:fill="auto"/>
            <w:noWrap/>
            <w:vAlign w:val="center"/>
            <w:hideMark/>
          </w:tcPr>
          <w:p w14:paraId="158B54D8" w14:textId="77777777" w:rsidR="00B55729" w:rsidRPr="00D5037C" w:rsidRDefault="00B55729" w:rsidP="00AE127C">
            <w:pPr>
              <w:widowControl/>
              <w:shd w:val="clear" w:color="auto" w:fill="FFFFFF"/>
              <w:jc w:val="center"/>
              <w:rPr>
                <w:snapToGrid/>
                <w14:ligatures w14:val="standardContextual"/>
              </w:rPr>
            </w:pPr>
          </w:p>
        </w:tc>
      </w:tr>
      <w:tr w:rsidR="00B55729" w:rsidRPr="00D5037C" w14:paraId="584E9C98" w14:textId="77777777" w:rsidTr="00AE127C">
        <w:trPr>
          <w:trHeight w:val="290"/>
        </w:trPr>
        <w:tc>
          <w:tcPr>
            <w:tcW w:w="1998" w:type="dxa"/>
            <w:tcBorders>
              <w:top w:val="nil"/>
              <w:left w:val="nil"/>
              <w:bottom w:val="nil"/>
              <w:right w:val="nil"/>
            </w:tcBorders>
            <w:shd w:val="clear" w:color="auto" w:fill="auto"/>
            <w:noWrap/>
            <w:vAlign w:val="center"/>
            <w:hideMark/>
          </w:tcPr>
          <w:p w14:paraId="1FAA2923" w14:textId="77777777" w:rsidR="00B55729" w:rsidRPr="00D5037C" w:rsidRDefault="00B55729" w:rsidP="00AE127C">
            <w:pPr>
              <w:widowControl/>
              <w:shd w:val="clear" w:color="auto" w:fill="FFFFFF"/>
              <w:rPr>
                <w:snapToGrid/>
                <w14:ligatures w14:val="standardContextual"/>
              </w:rPr>
            </w:pPr>
            <w:r w:rsidRPr="00D5037C">
              <w:rPr>
                <w:snapToGrid/>
                <w14:ligatures w14:val="standardContextual"/>
              </w:rPr>
              <w:t>True DLT rate</w:t>
            </w:r>
          </w:p>
        </w:tc>
        <w:tc>
          <w:tcPr>
            <w:tcW w:w="1080" w:type="dxa"/>
            <w:tcBorders>
              <w:top w:val="nil"/>
              <w:left w:val="nil"/>
              <w:bottom w:val="nil"/>
              <w:right w:val="nil"/>
            </w:tcBorders>
            <w:shd w:val="clear" w:color="auto" w:fill="auto"/>
            <w:noWrap/>
            <w:vAlign w:val="center"/>
            <w:hideMark/>
          </w:tcPr>
          <w:p w14:paraId="5DF8F682" w14:textId="77777777" w:rsidR="00B55729" w:rsidRPr="00D5037C" w:rsidRDefault="00B55729" w:rsidP="00AE127C">
            <w:pPr>
              <w:widowControl/>
              <w:shd w:val="clear" w:color="auto" w:fill="FFFFFF"/>
              <w:jc w:val="center"/>
              <w:rPr>
                <w:b/>
                <w:bCs/>
                <w:snapToGrid/>
                <w14:ligatures w14:val="standardContextual"/>
              </w:rPr>
            </w:pPr>
            <w:r w:rsidRPr="00D5037C">
              <w:rPr>
                <w:rFonts w:eastAsia="DengXian"/>
                <w:b/>
                <w:bCs/>
                <w:snapToGrid/>
                <w:color w:val="auto"/>
                <w:kern w:val="2"/>
                <w:lang w:eastAsia="zh-CN"/>
                <w14:ligatures w14:val="standardContextual"/>
              </w:rPr>
              <w:t>0.25</w:t>
            </w:r>
          </w:p>
        </w:tc>
        <w:tc>
          <w:tcPr>
            <w:tcW w:w="900" w:type="dxa"/>
            <w:tcBorders>
              <w:top w:val="nil"/>
              <w:left w:val="nil"/>
              <w:bottom w:val="nil"/>
              <w:right w:val="nil"/>
            </w:tcBorders>
            <w:shd w:val="clear" w:color="auto" w:fill="auto"/>
            <w:noWrap/>
            <w:vAlign w:val="center"/>
            <w:hideMark/>
          </w:tcPr>
          <w:p w14:paraId="3315CE6A" w14:textId="77777777" w:rsidR="00B55729" w:rsidRPr="00D5037C" w:rsidRDefault="00B55729" w:rsidP="00AE127C">
            <w:pPr>
              <w:widowControl/>
              <w:shd w:val="clear" w:color="auto" w:fill="FFFFFF"/>
              <w:jc w:val="center"/>
              <w:rPr>
                <w:snapToGrid/>
                <w14:ligatures w14:val="standardContextual"/>
              </w:rPr>
            </w:pPr>
            <w:r w:rsidRPr="00D5037C">
              <w:rPr>
                <w:rFonts w:eastAsia="DengXian"/>
                <w:snapToGrid/>
                <w:color w:val="auto"/>
                <w:kern w:val="2"/>
                <w:lang w:eastAsia="zh-CN"/>
                <w14:ligatures w14:val="standardContextual"/>
              </w:rPr>
              <w:t>0.42</w:t>
            </w:r>
          </w:p>
        </w:tc>
        <w:tc>
          <w:tcPr>
            <w:tcW w:w="1080" w:type="dxa"/>
            <w:tcBorders>
              <w:top w:val="nil"/>
              <w:left w:val="nil"/>
              <w:bottom w:val="nil"/>
              <w:right w:val="nil"/>
            </w:tcBorders>
            <w:shd w:val="clear" w:color="auto" w:fill="auto"/>
            <w:noWrap/>
            <w:vAlign w:val="center"/>
            <w:hideMark/>
          </w:tcPr>
          <w:p w14:paraId="669C95A4" w14:textId="77777777" w:rsidR="00B55729" w:rsidRPr="00D5037C" w:rsidRDefault="00B55729" w:rsidP="00AE127C">
            <w:pPr>
              <w:widowControl/>
              <w:shd w:val="clear" w:color="auto" w:fill="FFFFFF"/>
              <w:jc w:val="center"/>
              <w:rPr>
                <w:snapToGrid/>
                <w14:ligatures w14:val="standardContextual"/>
              </w:rPr>
            </w:pPr>
            <w:r w:rsidRPr="00D5037C">
              <w:rPr>
                <w:rFonts w:eastAsia="DengXian"/>
                <w:snapToGrid/>
                <w:color w:val="auto"/>
                <w:kern w:val="2"/>
                <w:lang w:eastAsia="zh-CN"/>
                <w14:ligatures w14:val="standardContextual"/>
              </w:rPr>
              <w:t>0.5</w:t>
            </w:r>
          </w:p>
        </w:tc>
        <w:tc>
          <w:tcPr>
            <w:tcW w:w="900" w:type="dxa"/>
            <w:tcBorders>
              <w:top w:val="nil"/>
              <w:left w:val="nil"/>
              <w:bottom w:val="nil"/>
              <w:right w:val="nil"/>
            </w:tcBorders>
            <w:shd w:val="clear" w:color="auto" w:fill="auto"/>
            <w:noWrap/>
            <w:vAlign w:val="center"/>
            <w:hideMark/>
          </w:tcPr>
          <w:p w14:paraId="2025AC51" w14:textId="77777777" w:rsidR="00B55729" w:rsidRPr="00D5037C" w:rsidRDefault="00B55729" w:rsidP="00AE127C">
            <w:pPr>
              <w:widowControl/>
              <w:shd w:val="clear" w:color="auto" w:fill="FFFFFF"/>
              <w:jc w:val="center"/>
              <w:rPr>
                <w:snapToGrid/>
                <w14:ligatures w14:val="standardContextual"/>
              </w:rPr>
            </w:pPr>
            <w:r w:rsidRPr="00D5037C">
              <w:rPr>
                <w:rFonts w:eastAsia="DengXian"/>
                <w:snapToGrid/>
                <w:color w:val="auto"/>
                <w:kern w:val="2"/>
                <w:lang w:eastAsia="zh-CN"/>
                <w14:ligatures w14:val="standardContextual"/>
              </w:rPr>
              <w:t>0.59</w:t>
            </w:r>
          </w:p>
        </w:tc>
        <w:tc>
          <w:tcPr>
            <w:tcW w:w="1170" w:type="dxa"/>
            <w:tcBorders>
              <w:top w:val="nil"/>
              <w:left w:val="nil"/>
              <w:bottom w:val="nil"/>
              <w:right w:val="nil"/>
            </w:tcBorders>
            <w:shd w:val="clear" w:color="auto" w:fill="auto"/>
            <w:noWrap/>
            <w:vAlign w:val="center"/>
            <w:hideMark/>
          </w:tcPr>
          <w:p w14:paraId="60505CF1" w14:textId="77777777" w:rsidR="00B55729" w:rsidRPr="00D5037C" w:rsidRDefault="00B55729" w:rsidP="00AE127C">
            <w:pPr>
              <w:widowControl/>
              <w:shd w:val="clear" w:color="auto" w:fill="FFFFFF"/>
              <w:jc w:val="center"/>
              <w:rPr>
                <w:snapToGrid/>
                <w14:ligatures w14:val="standardContextual"/>
              </w:rPr>
            </w:pPr>
          </w:p>
        </w:tc>
        <w:tc>
          <w:tcPr>
            <w:tcW w:w="1890" w:type="dxa"/>
            <w:tcBorders>
              <w:top w:val="nil"/>
              <w:left w:val="nil"/>
              <w:bottom w:val="nil"/>
              <w:right w:val="nil"/>
            </w:tcBorders>
            <w:shd w:val="clear" w:color="auto" w:fill="auto"/>
            <w:noWrap/>
            <w:vAlign w:val="center"/>
            <w:hideMark/>
          </w:tcPr>
          <w:p w14:paraId="060A6844" w14:textId="77777777" w:rsidR="00B55729" w:rsidRPr="00D5037C" w:rsidRDefault="00B55729" w:rsidP="00AE127C">
            <w:pPr>
              <w:widowControl/>
              <w:shd w:val="clear" w:color="auto" w:fill="FFFFFF"/>
              <w:jc w:val="center"/>
              <w:rPr>
                <w:snapToGrid/>
                <w14:ligatures w14:val="standardContextual"/>
              </w:rPr>
            </w:pPr>
          </w:p>
        </w:tc>
      </w:tr>
      <w:tr w:rsidR="00B55729" w:rsidRPr="00D5037C" w14:paraId="7B4F2767" w14:textId="77777777" w:rsidTr="00AE127C">
        <w:trPr>
          <w:trHeight w:val="290"/>
        </w:trPr>
        <w:tc>
          <w:tcPr>
            <w:tcW w:w="1998" w:type="dxa"/>
            <w:tcBorders>
              <w:top w:val="nil"/>
              <w:left w:val="nil"/>
              <w:bottom w:val="nil"/>
              <w:right w:val="nil"/>
            </w:tcBorders>
            <w:shd w:val="clear" w:color="auto" w:fill="auto"/>
            <w:noWrap/>
            <w:vAlign w:val="center"/>
          </w:tcPr>
          <w:p w14:paraId="5ADA4D48" w14:textId="77777777" w:rsidR="00B55729" w:rsidRPr="00D5037C" w:rsidRDefault="00B55729" w:rsidP="00AE127C">
            <w:pPr>
              <w:widowControl/>
              <w:shd w:val="clear" w:color="auto" w:fill="FFFFFF"/>
              <w:rPr>
                <w:snapToGrid/>
                <w14:ligatures w14:val="standardContextual"/>
              </w:rPr>
            </w:pPr>
            <w:r w:rsidRPr="00FB5DEF">
              <w:rPr>
                <w:snapToGrid/>
                <w14:ligatures w14:val="standardContextual"/>
              </w:rPr>
              <w:t>Response Rate</w:t>
            </w:r>
          </w:p>
        </w:tc>
        <w:tc>
          <w:tcPr>
            <w:tcW w:w="1080" w:type="dxa"/>
            <w:tcBorders>
              <w:top w:val="nil"/>
              <w:left w:val="nil"/>
              <w:bottom w:val="nil"/>
              <w:right w:val="nil"/>
            </w:tcBorders>
            <w:shd w:val="clear" w:color="auto" w:fill="auto"/>
            <w:noWrap/>
          </w:tcPr>
          <w:p w14:paraId="03D3A9BD" w14:textId="77777777" w:rsidR="00B55729" w:rsidRPr="00D5037C" w:rsidRDefault="00B55729" w:rsidP="00AE127C">
            <w:pPr>
              <w:widowControl/>
              <w:shd w:val="clear" w:color="auto" w:fill="FFFFFF"/>
              <w:jc w:val="center"/>
              <w:rPr>
                <w:rFonts w:eastAsia="DengXian"/>
                <w:b/>
                <w:bCs/>
                <w:snapToGrid/>
                <w:color w:val="auto"/>
                <w:kern w:val="2"/>
                <w:lang w:eastAsia="zh-CN"/>
                <w14:ligatures w14:val="standardContextual"/>
              </w:rPr>
            </w:pPr>
            <w:r w:rsidRPr="00953B25">
              <w:t xml:space="preserve">0.25 </w:t>
            </w:r>
          </w:p>
        </w:tc>
        <w:tc>
          <w:tcPr>
            <w:tcW w:w="900" w:type="dxa"/>
            <w:tcBorders>
              <w:top w:val="nil"/>
              <w:left w:val="nil"/>
              <w:bottom w:val="nil"/>
              <w:right w:val="nil"/>
            </w:tcBorders>
            <w:shd w:val="clear" w:color="auto" w:fill="auto"/>
            <w:noWrap/>
          </w:tcPr>
          <w:p w14:paraId="6A235E52" w14:textId="77777777" w:rsidR="00B55729" w:rsidRPr="00D5037C" w:rsidRDefault="00B55729" w:rsidP="00AE127C">
            <w:pPr>
              <w:widowControl/>
              <w:shd w:val="clear" w:color="auto" w:fill="FFFFFF"/>
              <w:jc w:val="center"/>
              <w:rPr>
                <w:rFonts w:eastAsia="DengXian"/>
                <w:snapToGrid/>
                <w:color w:val="auto"/>
                <w:kern w:val="2"/>
                <w:lang w:eastAsia="zh-CN"/>
                <w14:ligatures w14:val="standardContextual"/>
              </w:rPr>
            </w:pPr>
            <w:r w:rsidRPr="00953B25">
              <w:t xml:space="preserve">0.42 </w:t>
            </w:r>
          </w:p>
        </w:tc>
        <w:tc>
          <w:tcPr>
            <w:tcW w:w="1080" w:type="dxa"/>
            <w:tcBorders>
              <w:top w:val="nil"/>
              <w:left w:val="nil"/>
              <w:bottom w:val="nil"/>
              <w:right w:val="nil"/>
            </w:tcBorders>
            <w:shd w:val="clear" w:color="auto" w:fill="auto"/>
            <w:noWrap/>
          </w:tcPr>
          <w:p w14:paraId="69E66580" w14:textId="77777777" w:rsidR="00B55729" w:rsidRPr="00D5037C" w:rsidRDefault="00B55729" w:rsidP="00AE127C">
            <w:pPr>
              <w:widowControl/>
              <w:shd w:val="clear" w:color="auto" w:fill="FFFFFF"/>
              <w:jc w:val="center"/>
              <w:rPr>
                <w:rFonts w:eastAsia="DengXian"/>
                <w:snapToGrid/>
                <w:color w:val="auto"/>
                <w:kern w:val="2"/>
                <w:lang w:eastAsia="zh-CN"/>
                <w14:ligatures w14:val="standardContextual"/>
              </w:rPr>
            </w:pPr>
            <w:r w:rsidRPr="00953B25">
              <w:t xml:space="preserve">0.5  </w:t>
            </w:r>
          </w:p>
        </w:tc>
        <w:tc>
          <w:tcPr>
            <w:tcW w:w="900" w:type="dxa"/>
            <w:tcBorders>
              <w:top w:val="nil"/>
              <w:left w:val="nil"/>
              <w:bottom w:val="nil"/>
              <w:right w:val="nil"/>
            </w:tcBorders>
            <w:shd w:val="clear" w:color="auto" w:fill="auto"/>
            <w:noWrap/>
          </w:tcPr>
          <w:p w14:paraId="46D0C70D" w14:textId="77777777" w:rsidR="00B55729" w:rsidRPr="00D5037C" w:rsidRDefault="00B55729" w:rsidP="00AE127C">
            <w:pPr>
              <w:widowControl/>
              <w:shd w:val="clear" w:color="auto" w:fill="FFFFFF"/>
              <w:jc w:val="center"/>
              <w:rPr>
                <w:rFonts w:eastAsia="DengXian"/>
                <w:snapToGrid/>
                <w:color w:val="auto"/>
                <w:kern w:val="2"/>
                <w:lang w:eastAsia="zh-CN"/>
                <w14:ligatures w14:val="standardContextual"/>
              </w:rPr>
            </w:pPr>
            <w:r w:rsidRPr="00953B25">
              <w:t xml:space="preserve">0.59 </w:t>
            </w:r>
          </w:p>
        </w:tc>
        <w:tc>
          <w:tcPr>
            <w:tcW w:w="1170" w:type="dxa"/>
            <w:tcBorders>
              <w:top w:val="nil"/>
              <w:left w:val="nil"/>
              <w:bottom w:val="nil"/>
              <w:right w:val="nil"/>
            </w:tcBorders>
            <w:shd w:val="clear" w:color="auto" w:fill="auto"/>
            <w:noWrap/>
            <w:vAlign w:val="center"/>
          </w:tcPr>
          <w:p w14:paraId="5271189C" w14:textId="77777777" w:rsidR="00B55729" w:rsidRPr="00D5037C" w:rsidRDefault="00B55729" w:rsidP="00AE127C">
            <w:pPr>
              <w:widowControl/>
              <w:shd w:val="clear" w:color="auto" w:fill="FFFFFF"/>
              <w:jc w:val="center"/>
              <w:rPr>
                <w:snapToGrid/>
                <w14:ligatures w14:val="standardContextual"/>
              </w:rPr>
            </w:pPr>
          </w:p>
        </w:tc>
        <w:tc>
          <w:tcPr>
            <w:tcW w:w="1890" w:type="dxa"/>
            <w:tcBorders>
              <w:top w:val="nil"/>
              <w:left w:val="nil"/>
              <w:bottom w:val="nil"/>
              <w:right w:val="nil"/>
            </w:tcBorders>
            <w:shd w:val="clear" w:color="auto" w:fill="auto"/>
            <w:noWrap/>
            <w:vAlign w:val="center"/>
          </w:tcPr>
          <w:p w14:paraId="57C9FF2C" w14:textId="77777777" w:rsidR="00B55729" w:rsidRPr="00D5037C" w:rsidRDefault="00B55729" w:rsidP="00AE127C">
            <w:pPr>
              <w:widowControl/>
              <w:shd w:val="clear" w:color="auto" w:fill="FFFFFF"/>
              <w:jc w:val="center"/>
              <w:rPr>
                <w:snapToGrid/>
                <w14:ligatures w14:val="standardContextual"/>
              </w:rPr>
            </w:pPr>
          </w:p>
        </w:tc>
      </w:tr>
      <w:tr w:rsidR="00B55729" w:rsidRPr="00D5037C" w14:paraId="0EDEE32B" w14:textId="77777777" w:rsidTr="00AE127C">
        <w:trPr>
          <w:trHeight w:val="290"/>
        </w:trPr>
        <w:tc>
          <w:tcPr>
            <w:tcW w:w="1998" w:type="dxa"/>
            <w:tcBorders>
              <w:top w:val="nil"/>
              <w:left w:val="nil"/>
              <w:bottom w:val="nil"/>
              <w:right w:val="nil"/>
            </w:tcBorders>
            <w:shd w:val="clear" w:color="auto" w:fill="auto"/>
            <w:noWrap/>
            <w:vAlign w:val="center"/>
            <w:hideMark/>
          </w:tcPr>
          <w:p w14:paraId="26A79441" w14:textId="77777777" w:rsidR="00B55729" w:rsidRPr="00D5037C" w:rsidRDefault="00B55729" w:rsidP="00AE127C">
            <w:pPr>
              <w:widowControl/>
              <w:shd w:val="clear" w:color="auto" w:fill="FFFFFF"/>
              <w:rPr>
                <w:snapToGrid/>
                <w14:ligatures w14:val="standardContextual"/>
              </w:rPr>
            </w:pPr>
            <w:r w:rsidRPr="00D5037C">
              <w:rPr>
                <w:snapToGrid/>
                <w14:ligatures w14:val="standardContextual"/>
              </w:rPr>
              <w:t>Selection %</w:t>
            </w:r>
          </w:p>
        </w:tc>
        <w:tc>
          <w:tcPr>
            <w:tcW w:w="1080" w:type="dxa"/>
            <w:tcBorders>
              <w:top w:val="nil"/>
              <w:left w:val="nil"/>
              <w:bottom w:val="nil"/>
              <w:right w:val="nil"/>
            </w:tcBorders>
            <w:shd w:val="clear" w:color="auto" w:fill="auto"/>
            <w:noWrap/>
            <w:hideMark/>
          </w:tcPr>
          <w:p w14:paraId="05EF4294" w14:textId="77777777" w:rsidR="00B55729" w:rsidRPr="00D5037C" w:rsidRDefault="00B55729" w:rsidP="00AE127C">
            <w:pPr>
              <w:widowControl/>
              <w:shd w:val="clear" w:color="auto" w:fill="FFFFFF"/>
              <w:jc w:val="center"/>
              <w:rPr>
                <w:snapToGrid/>
                <w14:ligatures w14:val="standardContextual"/>
              </w:rPr>
            </w:pPr>
            <w:r w:rsidRPr="00AD4E6E">
              <w:t xml:space="preserve">82.1 </w:t>
            </w:r>
          </w:p>
        </w:tc>
        <w:tc>
          <w:tcPr>
            <w:tcW w:w="900" w:type="dxa"/>
            <w:tcBorders>
              <w:top w:val="nil"/>
              <w:left w:val="nil"/>
              <w:bottom w:val="nil"/>
              <w:right w:val="nil"/>
            </w:tcBorders>
            <w:shd w:val="clear" w:color="auto" w:fill="auto"/>
            <w:noWrap/>
            <w:hideMark/>
          </w:tcPr>
          <w:p w14:paraId="46D9EDC0" w14:textId="77777777" w:rsidR="00B55729" w:rsidRPr="00D5037C" w:rsidRDefault="00B55729" w:rsidP="00AE127C">
            <w:pPr>
              <w:widowControl/>
              <w:shd w:val="clear" w:color="auto" w:fill="FFFFFF"/>
              <w:jc w:val="center"/>
              <w:rPr>
                <w:snapToGrid/>
                <w14:ligatures w14:val="standardContextual"/>
              </w:rPr>
            </w:pPr>
            <w:r w:rsidRPr="00AD4E6E">
              <w:t xml:space="preserve">9.5  </w:t>
            </w:r>
          </w:p>
        </w:tc>
        <w:tc>
          <w:tcPr>
            <w:tcW w:w="1080" w:type="dxa"/>
            <w:tcBorders>
              <w:top w:val="nil"/>
              <w:left w:val="nil"/>
              <w:bottom w:val="nil"/>
              <w:right w:val="nil"/>
            </w:tcBorders>
            <w:shd w:val="clear" w:color="auto" w:fill="auto"/>
            <w:noWrap/>
            <w:hideMark/>
          </w:tcPr>
          <w:p w14:paraId="3182AB41" w14:textId="77777777" w:rsidR="00B55729" w:rsidRPr="00D5037C" w:rsidRDefault="00B55729" w:rsidP="00AE127C">
            <w:pPr>
              <w:widowControl/>
              <w:shd w:val="clear" w:color="auto" w:fill="FFFFFF"/>
              <w:jc w:val="center"/>
              <w:rPr>
                <w:snapToGrid/>
                <w14:ligatures w14:val="standardContextual"/>
              </w:rPr>
            </w:pPr>
            <w:r w:rsidRPr="00AD4E6E">
              <w:t xml:space="preserve">0.7  </w:t>
            </w:r>
          </w:p>
        </w:tc>
        <w:tc>
          <w:tcPr>
            <w:tcW w:w="900" w:type="dxa"/>
            <w:tcBorders>
              <w:top w:val="nil"/>
              <w:left w:val="nil"/>
              <w:bottom w:val="nil"/>
              <w:right w:val="nil"/>
            </w:tcBorders>
            <w:shd w:val="clear" w:color="auto" w:fill="auto"/>
            <w:noWrap/>
            <w:hideMark/>
          </w:tcPr>
          <w:p w14:paraId="7CF0A18B" w14:textId="77777777" w:rsidR="00B55729" w:rsidRPr="00D5037C" w:rsidRDefault="00B55729" w:rsidP="00AE127C">
            <w:pPr>
              <w:widowControl/>
              <w:shd w:val="clear" w:color="auto" w:fill="FFFFFF"/>
              <w:jc w:val="center"/>
              <w:rPr>
                <w:snapToGrid/>
                <w14:ligatures w14:val="standardContextual"/>
              </w:rPr>
            </w:pPr>
            <w:r w:rsidRPr="00AD4E6E">
              <w:t xml:space="preserve">0    </w:t>
            </w:r>
          </w:p>
        </w:tc>
        <w:tc>
          <w:tcPr>
            <w:tcW w:w="1170" w:type="dxa"/>
            <w:tcBorders>
              <w:top w:val="nil"/>
              <w:left w:val="nil"/>
              <w:bottom w:val="nil"/>
              <w:right w:val="nil"/>
            </w:tcBorders>
            <w:shd w:val="clear" w:color="auto" w:fill="auto"/>
            <w:noWrap/>
            <w:vAlign w:val="center"/>
            <w:hideMark/>
          </w:tcPr>
          <w:p w14:paraId="367255E5" w14:textId="77777777" w:rsidR="00B55729" w:rsidRPr="00D5037C" w:rsidRDefault="00B55729" w:rsidP="00AE127C">
            <w:pPr>
              <w:widowControl/>
              <w:shd w:val="clear" w:color="auto" w:fill="FFFFFF"/>
              <w:jc w:val="center"/>
              <w:rPr>
                <w:snapToGrid/>
                <w14:ligatures w14:val="standardContextual"/>
              </w:rPr>
            </w:pPr>
          </w:p>
        </w:tc>
        <w:tc>
          <w:tcPr>
            <w:tcW w:w="1890" w:type="dxa"/>
            <w:tcBorders>
              <w:top w:val="nil"/>
              <w:left w:val="nil"/>
              <w:bottom w:val="nil"/>
              <w:right w:val="nil"/>
            </w:tcBorders>
            <w:shd w:val="clear" w:color="auto" w:fill="auto"/>
            <w:noWrap/>
            <w:vAlign w:val="center"/>
            <w:hideMark/>
          </w:tcPr>
          <w:p w14:paraId="5B560A88" w14:textId="77777777" w:rsidR="00B55729" w:rsidRPr="00D5037C" w:rsidRDefault="00B55729" w:rsidP="00AE127C">
            <w:pPr>
              <w:widowControl/>
              <w:shd w:val="clear" w:color="auto" w:fill="FFFFFF"/>
              <w:jc w:val="center"/>
              <w:rPr>
                <w:snapToGrid/>
                <w14:ligatures w14:val="standardContextual"/>
              </w:rPr>
            </w:pPr>
            <w:r>
              <w:rPr>
                <w:rFonts w:eastAsia="DengXian"/>
                <w:snapToGrid/>
                <w:color w:val="auto"/>
                <w:kern w:val="2"/>
                <w:lang w:eastAsia="zh-CN"/>
                <w14:ligatures w14:val="standardContextual"/>
              </w:rPr>
              <w:t>7</w:t>
            </w:r>
            <w:r w:rsidRPr="00D5037C">
              <w:rPr>
                <w:rFonts w:eastAsia="DengXian"/>
                <w:snapToGrid/>
                <w:color w:val="auto"/>
                <w:kern w:val="2"/>
                <w:lang w:eastAsia="zh-CN"/>
                <w14:ligatures w14:val="standardContextual"/>
              </w:rPr>
              <w:t>.7</w:t>
            </w:r>
          </w:p>
        </w:tc>
      </w:tr>
      <w:tr w:rsidR="00B55729" w:rsidRPr="00D5037C" w14:paraId="6372FB12" w14:textId="77777777" w:rsidTr="00AE127C">
        <w:trPr>
          <w:trHeight w:val="290"/>
        </w:trPr>
        <w:tc>
          <w:tcPr>
            <w:tcW w:w="1998" w:type="dxa"/>
            <w:tcBorders>
              <w:top w:val="nil"/>
              <w:left w:val="nil"/>
              <w:bottom w:val="single" w:sz="4" w:space="0" w:color="auto"/>
              <w:right w:val="nil"/>
            </w:tcBorders>
            <w:shd w:val="clear" w:color="auto" w:fill="auto"/>
            <w:noWrap/>
            <w:vAlign w:val="center"/>
            <w:hideMark/>
          </w:tcPr>
          <w:p w14:paraId="17BDA158" w14:textId="77777777" w:rsidR="00B55729" w:rsidRPr="00D5037C" w:rsidRDefault="00B55729" w:rsidP="00AE127C">
            <w:pPr>
              <w:widowControl/>
              <w:shd w:val="clear" w:color="auto" w:fill="FFFFFF"/>
              <w:rPr>
                <w:snapToGrid/>
                <w14:ligatures w14:val="standardContextual"/>
              </w:rPr>
            </w:pPr>
            <w:r w:rsidRPr="00D5037C">
              <w:rPr>
                <w:snapToGrid/>
                <w14:ligatures w14:val="standardContextual"/>
              </w:rPr>
              <w:t>% Pts Treated</w:t>
            </w:r>
          </w:p>
        </w:tc>
        <w:tc>
          <w:tcPr>
            <w:tcW w:w="1080" w:type="dxa"/>
            <w:tcBorders>
              <w:top w:val="nil"/>
              <w:left w:val="nil"/>
              <w:bottom w:val="single" w:sz="4" w:space="0" w:color="auto"/>
              <w:right w:val="nil"/>
            </w:tcBorders>
            <w:shd w:val="clear" w:color="auto" w:fill="auto"/>
            <w:noWrap/>
            <w:hideMark/>
          </w:tcPr>
          <w:p w14:paraId="60E373B3" w14:textId="77777777" w:rsidR="00B55729" w:rsidRPr="00D5037C" w:rsidRDefault="00B55729" w:rsidP="00AE127C">
            <w:pPr>
              <w:widowControl/>
              <w:shd w:val="clear" w:color="auto" w:fill="FFFFFF"/>
              <w:jc w:val="center"/>
              <w:rPr>
                <w:snapToGrid/>
                <w14:ligatures w14:val="standardContextual"/>
              </w:rPr>
            </w:pPr>
            <w:r w:rsidRPr="00AD4E6E">
              <w:t xml:space="preserve">68   </w:t>
            </w:r>
          </w:p>
        </w:tc>
        <w:tc>
          <w:tcPr>
            <w:tcW w:w="900" w:type="dxa"/>
            <w:tcBorders>
              <w:top w:val="nil"/>
              <w:left w:val="nil"/>
              <w:bottom w:val="single" w:sz="4" w:space="0" w:color="auto"/>
              <w:right w:val="nil"/>
            </w:tcBorders>
            <w:shd w:val="clear" w:color="auto" w:fill="auto"/>
            <w:noWrap/>
            <w:hideMark/>
          </w:tcPr>
          <w:p w14:paraId="10DA85DA" w14:textId="77777777" w:rsidR="00B55729" w:rsidRPr="00D5037C" w:rsidRDefault="00B55729" w:rsidP="00AE127C">
            <w:pPr>
              <w:widowControl/>
              <w:shd w:val="clear" w:color="auto" w:fill="FFFFFF"/>
              <w:jc w:val="center"/>
              <w:rPr>
                <w:snapToGrid/>
                <w14:ligatures w14:val="standardContextual"/>
              </w:rPr>
            </w:pPr>
            <w:r w:rsidRPr="00AD4E6E">
              <w:t xml:space="preserve">27.7 </w:t>
            </w:r>
          </w:p>
        </w:tc>
        <w:tc>
          <w:tcPr>
            <w:tcW w:w="1080" w:type="dxa"/>
            <w:tcBorders>
              <w:top w:val="nil"/>
              <w:left w:val="nil"/>
              <w:bottom w:val="single" w:sz="4" w:space="0" w:color="auto"/>
              <w:right w:val="nil"/>
            </w:tcBorders>
            <w:shd w:val="clear" w:color="auto" w:fill="auto"/>
            <w:noWrap/>
            <w:hideMark/>
          </w:tcPr>
          <w:p w14:paraId="2A4DBE49" w14:textId="77777777" w:rsidR="00B55729" w:rsidRPr="00D5037C" w:rsidRDefault="00B55729" w:rsidP="00AE127C">
            <w:pPr>
              <w:widowControl/>
              <w:shd w:val="clear" w:color="auto" w:fill="FFFFFF"/>
              <w:jc w:val="center"/>
              <w:rPr>
                <w:snapToGrid/>
                <w14:ligatures w14:val="standardContextual"/>
              </w:rPr>
            </w:pPr>
            <w:r w:rsidRPr="00AD4E6E">
              <w:t xml:space="preserve">4    </w:t>
            </w:r>
          </w:p>
        </w:tc>
        <w:tc>
          <w:tcPr>
            <w:tcW w:w="900" w:type="dxa"/>
            <w:tcBorders>
              <w:top w:val="nil"/>
              <w:left w:val="nil"/>
              <w:bottom w:val="single" w:sz="4" w:space="0" w:color="auto"/>
              <w:right w:val="nil"/>
            </w:tcBorders>
            <w:shd w:val="clear" w:color="auto" w:fill="auto"/>
            <w:noWrap/>
            <w:hideMark/>
          </w:tcPr>
          <w:p w14:paraId="0389B1F1" w14:textId="77777777" w:rsidR="00B55729" w:rsidRPr="00D5037C" w:rsidRDefault="00B55729" w:rsidP="00AE127C">
            <w:pPr>
              <w:widowControl/>
              <w:shd w:val="clear" w:color="auto" w:fill="FFFFFF"/>
              <w:jc w:val="center"/>
              <w:rPr>
                <w:snapToGrid/>
                <w14:ligatures w14:val="standardContextual"/>
              </w:rPr>
            </w:pPr>
            <w:r w:rsidRPr="00AD4E6E">
              <w:t xml:space="preserve">0.3  </w:t>
            </w:r>
          </w:p>
        </w:tc>
        <w:tc>
          <w:tcPr>
            <w:tcW w:w="1170" w:type="dxa"/>
            <w:tcBorders>
              <w:top w:val="nil"/>
              <w:left w:val="nil"/>
              <w:bottom w:val="single" w:sz="4" w:space="0" w:color="auto"/>
              <w:right w:val="nil"/>
            </w:tcBorders>
            <w:shd w:val="clear" w:color="auto" w:fill="auto"/>
            <w:noWrap/>
            <w:vAlign w:val="center"/>
          </w:tcPr>
          <w:p w14:paraId="547C1F99" w14:textId="77777777" w:rsidR="00B55729" w:rsidRPr="00D5037C" w:rsidRDefault="00B55729" w:rsidP="00AE127C">
            <w:pPr>
              <w:widowControl/>
              <w:shd w:val="clear" w:color="auto" w:fill="FFFFFF"/>
              <w:jc w:val="center"/>
              <w:rPr>
                <w:snapToGrid/>
                <w14:ligatures w14:val="standardContextual"/>
              </w:rPr>
            </w:pPr>
            <w:r w:rsidRPr="00C4742E">
              <w:rPr>
                <w:rFonts w:eastAsia="DengXian"/>
                <w:snapToGrid/>
                <w:color w:val="auto"/>
                <w:kern w:val="2"/>
                <w:lang w:eastAsia="zh-CN"/>
                <w14:ligatures w14:val="standardContextual"/>
              </w:rPr>
              <w:t>19.06</w:t>
            </w:r>
          </w:p>
        </w:tc>
        <w:tc>
          <w:tcPr>
            <w:tcW w:w="1890" w:type="dxa"/>
            <w:tcBorders>
              <w:top w:val="nil"/>
              <w:left w:val="nil"/>
              <w:bottom w:val="single" w:sz="4" w:space="0" w:color="auto"/>
              <w:right w:val="nil"/>
            </w:tcBorders>
            <w:shd w:val="clear" w:color="auto" w:fill="auto"/>
            <w:noWrap/>
            <w:vAlign w:val="center"/>
            <w:hideMark/>
          </w:tcPr>
          <w:p w14:paraId="38D52180" w14:textId="77777777" w:rsidR="00B55729" w:rsidRPr="00D5037C" w:rsidRDefault="00B55729" w:rsidP="00AE127C">
            <w:pPr>
              <w:widowControl/>
              <w:shd w:val="clear" w:color="auto" w:fill="FFFFFF"/>
              <w:jc w:val="center"/>
              <w:rPr>
                <w:snapToGrid/>
                <w14:ligatures w14:val="standardContextual"/>
              </w:rPr>
            </w:pPr>
          </w:p>
        </w:tc>
      </w:tr>
      <w:tr w:rsidR="00B55729" w:rsidRPr="00D5037C" w14:paraId="59067CDC" w14:textId="77777777" w:rsidTr="00AE127C">
        <w:trPr>
          <w:trHeight w:val="290"/>
        </w:trPr>
        <w:tc>
          <w:tcPr>
            <w:tcW w:w="1998" w:type="dxa"/>
            <w:tcBorders>
              <w:top w:val="single" w:sz="4" w:space="0" w:color="auto"/>
              <w:left w:val="nil"/>
              <w:bottom w:val="nil"/>
              <w:right w:val="nil"/>
            </w:tcBorders>
            <w:shd w:val="clear" w:color="auto" w:fill="auto"/>
            <w:noWrap/>
            <w:vAlign w:val="center"/>
            <w:hideMark/>
          </w:tcPr>
          <w:p w14:paraId="4D16DDFF" w14:textId="77777777" w:rsidR="00B55729" w:rsidRPr="00D5037C" w:rsidRDefault="00B55729" w:rsidP="00AE127C">
            <w:pPr>
              <w:widowControl/>
              <w:shd w:val="clear" w:color="auto" w:fill="FFFFFF"/>
              <w:rPr>
                <w:snapToGrid/>
                <w14:ligatures w14:val="standardContextual"/>
              </w:rPr>
            </w:pPr>
            <w:r w:rsidRPr="00D5037C">
              <w:rPr>
                <w:snapToGrid/>
                <w14:ligatures w14:val="standardContextual"/>
              </w:rPr>
              <w:t>Scenario 2</w:t>
            </w:r>
          </w:p>
        </w:tc>
        <w:tc>
          <w:tcPr>
            <w:tcW w:w="1080" w:type="dxa"/>
            <w:tcBorders>
              <w:top w:val="single" w:sz="4" w:space="0" w:color="auto"/>
              <w:left w:val="nil"/>
              <w:bottom w:val="nil"/>
              <w:right w:val="nil"/>
            </w:tcBorders>
            <w:shd w:val="clear" w:color="auto" w:fill="auto"/>
            <w:noWrap/>
            <w:vAlign w:val="center"/>
            <w:hideMark/>
          </w:tcPr>
          <w:p w14:paraId="014F4E2A" w14:textId="77777777" w:rsidR="00B55729" w:rsidRPr="00D5037C" w:rsidRDefault="00B55729" w:rsidP="00AE127C">
            <w:pPr>
              <w:widowControl/>
              <w:shd w:val="clear" w:color="auto" w:fill="FFFFFF"/>
              <w:jc w:val="center"/>
              <w:rPr>
                <w:snapToGrid/>
                <w14:ligatures w14:val="standardContextual"/>
              </w:rPr>
            </w:pPr>
          </w:p>
        </w:tc>
        <w:tc>
          <w:tcPr>
            <w:tcW w:w="900" w:type="dxa"/>
            <w:tcBorders>
              <w:top w:val="single" w:sz="4" w:space="0" w:color="auto"/>
              <w:left w:val="nil"/>
              <w:bottom w:val="nil"/>
              <w:right w:val="nil"/>
            </w:tcBorders>
            <w:shd w:val="clear" w:color="auto" w:fill="auto"/>
            <w:noWrap/>
            <w:vAlign w:val="center"/>
            <w:hideMark/>
          </w:tcPr>
          <w:p w14:paraId="5A766285" w14:textId="77777777" w:rsidR="00B55729" w:rsidRPr="00D5037C" w:rsidRDefault="00B55729" w:rsidP="00AE127C">
            <w:pPr>
              <w:widowControl/>
              <w:shd w:val="clear" w:color="auto" w:fill="FFFFFF"/>
              <w:jc w:val="center"/>
              <w:rPr>
                <w:snapToGrid/>
                <w14:ligatures w14:val="standardContextual"/>
              </w:rPr>
            </w:pPr>
          </w:p>
        </w:tc>
        <w:tc>
          <w:tcPr>
            <w:tcW w:w="1080" w:type="dxa"/>
            <w:tcBorders>
              <w:top w:val="single" w:sz="4" w:space="0" w:color="auto"/>
              <w:left w:val="nil"/>
              <w:bottom w:val="nil"/>
              <w:right w:val="nil"/>
            </w:tcBorders>
            <w:shd w:val="clear" w:color="auto" w:fill="auto"/>
            <w:noWrap/>
            <w:vAlign w:val="center"/>
            <w:hideMark/>
          </w:tcPr>
          <w:p w14:paraId="0AAE6A2D" w14:textId="77777777" w:rsidR="00B55729" w:rsidRPr="00D5037C" w:rsidRDefault="00B55729" w:rsidP="00AE127C">
            <w:pPr>
              <w:widowControl/>
              <w:shd w:val="clear" w:color="auto" w:fill="FFFFFF"/>
              <w:jc w:val="center"/>
              <w:rPr>
                <w:snapToGrid/>
                <w14:ligatures w14:val="standardContextual"/>
              </w:rPr>
            </w:pPr>
          </w:p>
        </w:tc>
        <w:tc>
          <w:tcPr>
            <w:tcW w:w="900" w:type="dxa"/>
            <w:tcBorders>
              <w:top w:val="single" w:sz="4" w:space="0" w:color="auto"/>
              <w:left w:val="nil"/>
              <w:bottom w:val="nil"/>
              <w:right w:val="nil"/>
            </w:tcBorders>
            <w:shd w:val="clear" w:color="auto" w:fill="auto"/>
            <w:noWrap/>
            <w:vAlign w:val="center"/>
            <w:hideMark/>
          </w:tcPr>
          <w:p w14:paraId="602C07D4" w14:textId="77777777" w:rsidR="00B55729" w:rsidRPr="00D5037C" w:rsidRDefault="00B55729" w:rsidP="00AE127C">
            <w:pPr>
              <w:widowControl/>
              <w:shd w:val="clear" w:color="auto" w:fill="FFFFFF"/>
              <w:jc w:val="center"/>
              <w:rPr>
                <w:snapToGrid/>
                <w14:ligatures w14:val="standardContextual"/>
              </w:rPr>
            </w:pPr>
          </w:p>
        </w:tc>
        <w:tc>
          <w:tcPr>
            <w:tcW w:w="1170" w:type="dxa"/>
            <w:tcBorders>
              <w:top w:val="single" w:sz="4" w:space="0" w:color="auto"/>
              <w:left w:val="nil"/>
              <w:bottom w:val="nil"/>
              <w:right w:val="nil"/>
            </w:tcBorders>
            <w:shd w:val="clear" w:color="auto" w:fill="auto"/>
            <w:noWrap/>
            <w:vAlign w:val="center"/>
            <w:hideMark/>
          </w:tcPr>
          <w:p w14:paraId="143534CC" w14:textId="77777777" w:rsidR="00B55729" w:rsidRPr="00D5037C" w:rsidRDefault="00B55729" w:rsidP="00AE127C">
            <w:pPr>
              <w:widowControl/>
              <w:shd w:val="clear" w:color="auto" w:fill="FFFFFF"/>
              <w:jc w:val="center"/>
              <w:rPr>
                <w:snapToGrid/>
                <w14:ligatures w14:val="standardContextual"/>
              </w:rPr>
            </w:pPr>
          </w:p>
        </w:tc>
        <w:tc>
          <w:tcPr>
            <w:tcW w:w="1890" w:type="dxa"/>
            <w:tcBorders>
              <w:top w:val="single" w:sz="4" w:space="0" w:color="auto"/>
              <w:left w:val="nil"/>
              <w:bottom w:val="nil"/>
              <w:right w:val="nil"/>
            </w:tcBorders>
            <w:shd w:val="clear" w:color="auto" w:fill="auto"/>
            <w:noWrap/>
            <w:vAlign w:val="center"/>
            <w:hideMark/>
          </w:tcPr>
          <w:p w14:paraId="58373559" w14:textId="77777777" w:rsidR="00B55729" w:rsidRPr="00D5037C" w:rsidRDefault="00B55729" w:rsidP="00AE127C">
            <w:pPr>
              <w:widowControl/>
              <w:shd w:val="clear" w:color="auto" w:fill="FFFFFF"/>
              <w:jc w:val="center"/>
              <w:rPr>
                <w:snapToGrid/>
                <w14:ligatures w14:val="standardContextual"/>
              </w:rPr>
            </w:pPr>
          </w:p>
        </w:tc>
      </w:tr>
      <w:tr w:rsidR="00B55729" w:rsidRPr="00D5037C" w14:paraId="62C969D5" w14:textId="77777777" w:rsidTr="00AE127C">
        <w:trPr>
          <w:trHeight w:val="290"/>
        </w:trPr>
        <w:tc>
          <w:tcPr>
            <w:tcW w:w="1998" w:type="dxa"/>
            <w:tcBorders>
              <w:top w:val="nil"/>
              <w:left w:val="nil"/>
              <w:bottom w:val="nil"/>
              <w:right w:val="nil"/>
            </w:tcBorders>
            <w:shd w:val="clear" w:color="auto" w:fill="auto"/>
            <w:noWrap/>
            <w:vAlign w:val="center"/>
            <w:hideMark/>
          </w:tcPr>
          <w:p w14:paraId="68F0E27B" w14:textId="77777777" w:rsidR="00B55729" w:rsidRPr="00D5037C" w:rsidRDefault="00B55729" w:rsidP="00AE127C">
            <w:pPr>
              <w:widowControl/>
              <w:shd w:val="clear" w:color="auto" w:fill="FFFFFF"/>
              <w:rPr>
                <w:snapToGrid/>
                <w14:ligatures w14:val="standardContextual"/>
              </w:rPr>
            </w:pPr>
            <w:r w:rsidRPr="00D5037C">
              <w:rPr>
                <w:snapToGrid/>
                <w14:ligatures w14:val="standardContextual"/>
              </w:rPr>
              <w:t>True DLT rate</w:t>
            </w:r>
          </w:p>
        </w:tc>
        <w:tc>
          <w:tcPr>
            <w:tcW w:w="1080" w:type="dxa"/>
            <w:tcBorders>
              <w:top w:val="nil"/>
              <w:left w:val="nil"/>
              <w:bottom w:val="nil"/>
              <w:right w:val="nil"/>
            </w:tcBorders>
            <w:shd w:val="clear" w:color="auto" w:fill="auto"/>
            <w:noWrap/>
            <w:vAlign w:val="center"/>
            <w:hideMark/>
          </w:tcPr>
          <w:p w14:paraId="7C2D6B5C" w14:textId="77777777" w:rsidR="00B55729" w:rsidRPr="00D5037C" w:rsidRDefault="00B55729" w:rsidP="00AE127C">
            <w:pPr>
              <w:widowControl/>
              <w:shd w:val="clear" w:color="auto" w:fill="FFFFFF"/>
              <w:jc w:val="center"/>
              <w:rPr>
                <w:snapToGrid/>
                <w14:ligatures w14:val="standardContextual"/>
              </w:rPr>
            </w:pPr>
            <w:r w:rsidRPr="00D5037C">
              <w:rPr>
                <w:rFonts w:eastAsia="DengXian"/>
                <w:snapToGrid/>
                <w:color w:val="auto"/>
                <w:kern w:val="2"/>
                <w:lang w:eastAsia="zh-CN"/>
                <w14:ligatures w14:val="standardContextual"/>
              </w:rPr>
              <w:t>0.1</w:t>
            </w:r>
          </w:p>
        </w:tc>
        <w:tc>
          <w:tcPr>
            <w:tcW w:w="900" w:type="dxa"/>
            <w:tcBorders>
              <w:top w:val="nil"/>
              <w:left w:val="nil"/>
              <w:bottom w:val="nil"/>
              <w:right w:val="nil"/>
            </w:tcBorders>
            <w:shd w:val="clear" w:color="auto" w:fill="auto"/>
            <w:noWrap/>
            <w:vAlign w:val="center"/>
            <w:hideMark/>
          </w:tcPr>
          <w:p w14:paraId="757CB117" w14:textId="77777777" w:rsidR="00B55729" w:rsidRPr="00D5037C" w:rsidRDefault="00B55729" w:rsidP="00AE127C">
            <w:pPr>
              <w:widowControl/>
              <w:shd w:val="clear" w:color="auto" w:fill="FFFFFF"/>
              <w:jc w:val="center"/>
              <w:rPr>
                <w:b/>
                <w:bCs/>
                <w:snapToGrid/>
                <w14:ligatures w14:val="standardContextual"/>
              </w:rPr>
            </w:pPr>
            <w:r w:rsidRPr="00D5037C">
              <w:rPr>
                <w:rFonts w:eastAsia="DengXian"/>
                <w:b/>
                <w:bCs/>
                <w:snapToGrid/>
                <w:color w:val="auto"/>
                <w:kern w:val="2"/>
                <w:lang w:eastAsia="zh-CN"/>
                <w14:ligatures w14:val="standardContextual"/>
              </w:rPr>
              <w:t>0.25</w:t>
            </w:r>
          </w:p>
        </w:tc>
        <w:tc>
          <w:tcPr>
            <w:tcW w:w="1080" w:type="dxa"/>
            <w:tcBorders>
              <w:top w:val="nil"/>
              <w:left w:val="nil"/>
              <w:bottom w:val="nil"/>
              <w:right w:val="nil"/>
            </w:tcBorders>
            <w:shd w:val="clear" w:color="auto" w:fill="auto"/>
            <w:noWrap/>
            <w:vAlign w:val="center"/>
            <w:hideMark/>
          </w:tcPr>
          <w:p w14:paraId="4BA2A52F" w14:textId="77777777" w:rsidR="00B55729" w:rsidRPr="00D5037C" w:rsidRDefault="00B55729" w:rsidP="00AE127C">
            <w:pPr>
              <w:widowControl/>
              <w:shd w:val="clear" w:color="auto" w:fill="FFFFFF"/>
              <w:jc w:val="center"/>
              <w:rPr>
                <w:snapToGrid/>
                <w14:ligatures w14:val="standardContextual"/>
              </w:rPr>
            </w:pPr>
            <w:r w:rsidRPr="00D5037C">
              <w:rPr>
                <w:rFonts w:eastAsia="DengXian"/>
                <w:snapToGrid/>
                <w:color w:val="auto"/>
                <w:kern w:val="2"/>
                <w:lang w:eastAsia="zh-CN"/>
                <w14:ligatures w14:val="standardContextual"/>
              </w:rPr>
              <w:t>0.4</w:t>
            </w:r>
          </w:p>
        </w:tc>
        <w:tc>
          <w:tcPr>
            <w:tcW w:w="900" w:type="dxa"/>
            <w:tcBorders>
              <w:top w:val="nil"/>
              <w:left w:val="nil"/>
              <w:bottom w:val="nil"/>
              <w:right w:val="nil"/>
            </w:tcBorders>
            <w:shd w:val="clear" w:color="auto" w:fill="auto"/>
            <w:noWrap/>
            <w:vAlign w:val="center"/>
            <w:hideMark/>
          </w:tcPr>
          <w:p w14:paraId="39A7D038" w14:textId="77777777" w:rsidR="00B55729" w:rsidRPr="00D5037C" w:rsidRDefault="00B55729" w:rsidP="00AE127C">
            <w:pPr>
              <w:widowControl/>
              <w:shd w:val="clear" w:color="auto" w:fill="FFFFFF"/>
              <w:jc w:val="center"/>
              <w:rPr>
                <w:snapToGrid/>
                <w14:ligatures w14:val="standardContextual"/>
              </w:rPr>
            </w:pPr>
            <w:r w:rsidRPr="00D5037C">
              <w:rPr>
                <w:rFonts w:eastAsia="DengXian"/>
                <w:snapToGrid/>
                <w:color w:val="auto"/>
                <w:kern w:val="2"/>
                <w:lang w:eastAsia="zh-CN"/>
                <w14:ligatures w14:val="standardContextual"/>
              </w:rPr>
              <w:t>0.62</w:t>
            </w:r>
          </w:p>
        </w:tc>
        <w:tc>
          <w:tcPr>
            <w:tcW w:w="1170" w:type="dxa"/>
            <w:tcBorders>
              <w:top w:val="nil"/>
              <w:left w:val="nil"/>
              <w:bottom w:val="nil"/>
              <w:right w:val="nil"/>
            </w:tcBorders>
            <w:shd w:val="clear" w:color="auto" w:fill="auto"/>
            <w:noWrap/>
            <w:vAlign w:val="center"/>
            <w:hideMark/>
          </w:tcPr>
          <w:p w14:paraId="75EBCD81" w14:textId="77777777" w:rsidR="00B55729" w:rsidRPr="00D5037C" w:rsidRDefault="00B55729" w:rsidP="00AE127C">
            <w:pPr>
              <w:widowControl/>
              <w:shd w:val="clear" w:color="auto" w:fill="FFFFFF"/>
              <w:jc w:val="center"/>
              <w:rPr>
                <w:snapToGrid/>
                <w14:ligatures w14:val="standardContextual"/>
              </w:rPr>
            </w:pPr>
          </w:p>
        </w:tc>
        <w:tc>
          <w:tcPr>
            <w:tcW w:w="1890" w:type="dxa"/>
            <w:tcBorders>
              <w:top w:val="nil"/>
              <w:left w:val="nil"/>
              <w:bottom w:val="nil"/>
              <w:right w:val="nil"/>
            </w:tcBorders>
            <w:shd w:val="clear" w:color="auto" w:fill="auto"/>
            <w:noWrap/>
            <w:vAlign w:val="center"/>
            <w:hideMark/>
          </w:tcPr>
          <w:p w14:paraId="7237D3E8" w14:textId="77777777" w:rsidR="00B55729" w:rsidRPr="00D5037C" w:rsidRDefault="00B55729" w:rsidP="00AE127C">
            <w:pPr>
              <w:widowControl/>
              <w:shd w:val="clear" w:color="auto" w:fill="FFFFFF"/>
              <w:jc w:val="center"/>
              <w:rPr>
                <w:snapToGrid/>
                <w14:ligatures w14:val="standardContextual"/>
              </w:rPr>
            </w:pPr>
          </w:p>
        </w:tc>
      </w:tr>
      <w:tr w:rsidR="00B55729" w:rsidRPr="00D5037C" w14:paraId="1697EAC8" w14:textId="77777777" w:rsidTr="00AE127C">
        <w:trPr>
          <w:trHeight w:val="290"/>
        </w:trPr>
        <w:tc>
          <w:tcPr>
            <w:tcW w:w="1998" w:type="dxa"/>
            <w:tcBorders>
              <w:top w:val="nil"/>
              <w:left w:val="nil"/>
              <w:bottom w:val="nil"/>
              <w:right w:val="nil"/>
            </w:tcBorders>
            <w:shd w:val="clear" w:color="auto" w:fill="auto"/>
            <w:noWrap/>
          </w:tcPr>
          <w:p w14:paraId="63EE08A3" w14:textId="77777777" w:rsidR="00B55729" w:rsidRPr="00D5037C" w:rsidRDefault="00B55729" w:rsidP="00AE127C">
            <w:pPr>
              <w:widowControl/>
              <w:shd w:val="clear" w:color="auto" w:fill="FFFFFF"/>
              <w:rPr>
                <w:snapToGrid/>
                <w14:ligatures w14:val="standardContextual"/>
              </w:rPr>
            </w:pPr>
            <w:r w:rsidRPr="002A168B">
              <w:t>Response Rate</w:t>
            </w:r>
          </w:p>
        </w:tc>
        <w:tc>
          <w:tcPr>
            <w:tcW w:w="1080" w:type="dxa"/>
            <w:tcBorders>
              <w:top w:val="nil"/>
              <w:left w:val="nil"/>
              <w:bottom w:val="nil"/>
              <w:right w:val="nil"/>
            </w:tcBorders>
            <w:shd w:val="clear" w:color="auto" w:fill="auto"/>
            <w:noWrap/>
          </w:tcPr>
          <w:p w14:paraId="3DCE4382" w14:textId="77777777" w:rsidR="00B55729" w:rsidRPr="00D5037C" w:rsidRDefault="00B55729" w:rsidP="00AE127C">
            <w:pPr>
              <w:widowControl/>
              <w:shd w:val="clear" w:color="auto" w:fill="FFFFFF"/>
              <w:jc w:val="center"/>
              <w:rPr>
                <w:rFonts w:eastAsia="DengXian"/>
                <w:snapToGrid/>
                <w:color w:val="auto"/>
                <w:kern w:val="2"/>
                <w:lang w:eastAsia="zh-CN"/>
                <w14:ligatures w14:val="standardContextual"/>
              </w:rPr>
            </w:pPr>
            <w:r w:rsidRPr="002A168B">
              <w:t xml:space="preserve">0.1  </w:t>
            </w:r>
          </w:p>
        </w:tc>
        <w:tc>
          <w:tcPr>
            <w:tcW w:w="900" w:type="dxa"/>
            <w:tcBorders>
              <w:top w:val="nil"/>
              <w:left w:val="nil"/>
              <w:bottom w:val="nil"/>
              <w:right w:val="nil"/>
            </w:tcBorders>
            <w:shd w:val="clear" w:color="auto" w:fill="auto"/>
            <w:noWrap/>
          </w:tcPr>
          <w:p w14:paraId="2D00BA74" w14:textId="77777777" w:rsidR="00B55729" w:rsidRPr="00D5037C" w:rsidRDefault="00B55729" w:rsidP="00AE127C">
            <w:pPr>
              <w:widowControl/>
              <w:shd w:val="clear" w:color="auto" w:fill="FFFFFF"/>
              <w:jc w:val="center"/>
              <w:rPr>
                <w:rFonts w:eastAsia="DengXian"/>
                <w:b/>
                <w:bCs/>
                <w:snapToGrid/>
                <w:color w:val="auto"/>
                <w:kern w:val="2"/>
                <w:lang w:eastAsia="zh-CN"/>
                <w14:ligatures w14:val="standardContextual"/>
              </w:rPr>
            </w:pPr>
            <w:r w:rsidRPr="002A168B">
              <w:t xml:space="preserve">0.25 </w:t>
            </w:r>
          </w:p>
        </w:tc>
        <w:tc>
          <w:tcPr>
            <w:tcW w:w="1080" w:type="dxa"/>
            <w:tcBorders>
              <w:top w:val="nil"/>
              <w:left w:val="nil"/>
              <w:bottom w:val="nil"/>
              <w:right w:val="nil"/>
            </w:tcBorders>
            <w:shd w:val="clear" w:color="auto" w:fill="auto"/>
            <w:noWrap/>
          </w:tcPr>
          <w:p w14:paraId="0FFDC105" w14:textId="77777777" w:rsidR="00B55729" w:rsidRPr="00D5037C" w:rsidRDefault="00B55729" w:rsidP="00AE127C">
            <w:pPr>
              <w:widowControl/>
              <w:shd w:val="clear" w:color="auto" w:fill="FFFFFF"/>
              <w:jc w:val="center"/>
              <w:rPr>
                <w:rFonts w:eastAsia="DengXian"/>
                <w:snapToGrid/>
                <w:color w:val="auto"/>
                <w:kern w:val="2"/>
                <w:lang w:eastAsia="zh-CN"/>
                <w14:ligatures w14:val="standardContextual"/>
              </w:rPr>
            </w:pPr>
            <w:r w:rsidRPr="002A168B">
              <w:t xml:space="preserve">0.4  </w:t>
            </w:r>
          </w:p>
        </w:tc>
        <w:tc>
          <w:tcPr>
            <w:tcW w:w="900" w:type="dxa"/>
            <w:tcBorders>
              <w:top w:val="nil"/>
              <w:left w:val="nil"/>
              <w:bottom w:val="nil"/>
              <w:right w:val="nil"/>
            </w:tcBorders>
            <w:shd w:val="clear" w:color="auto" w:fill="auto"/>
            <w:noWrap/>
          </w:tcPr>
          <w:p w14:paraId="14E29E3B" w14:textId="77777777" w:rsidR="00B55729" w:rsidRPr="00D5037C" w:rsidRDefault="00B55729" w:rsidP="00AE127C">
            <w:pPr>
              <w:widowControl/>
              <w:shd w:val="clear" w:color="auto" w:fill="FFFFFF"/>
              <w:jc w:val="center"/>
              <w:rPr>
                <w:rFonts w:eastAsia="DengXian"/>
                <w:snapToGrid/>
                <w:color w:val="auto"/>
                <w:kern w:val="2"/>
                <w:lang w:eastAsia="zh-CN"/>
                <w14:ligatures w14:val="standardContextual"/>
              </w:rPr>
            </w:pPr>
            <w:r w:rsidRPr="002A168B">
              <w:t xml:space="preserve">0.62 </w:t>
            </w:r>
          </w:p>
        </w:tc>
        <w:tc>
          <w:tcPr>
            <w:tcW w:w="1170" w:type="dxa"/>
            <w:tcBorders>
              <w:top w:val="nil"/>
              <w:left w:val="nil"/>
              <w:bottom w:val="nil"/>
              <w:right w:val="nil"/>
            </w:tcBorders>
            <w:shd w:val="clear" w:color="auto" w:fill="auto"/>
            <w:noWrap/>
            <w:vAlign w:val="center"/>
          </w:tcPr>
          <w:p w14:paraId="54DD06DD" w14:textId="77777777" w:rsidR="00B55729" w:rsidRPr="00D5037C" w:rsidRDefault="00B55729" w:rsidP="00AE127C">
            <w:pPr>
              <w:widowControl/>
              <w:shd w:val="clear" w:color="auto" w:fill="FFFFFF"/>
              <w:jc w:val="center"/>
              <w:rPr>
                <w:snapToGrid/>
                <w14:ligatures w14:val="standardContextual"/>
              </w:rPr>
            </w:pPr>
          </w:p>
        </w:tc>
        <w:tc>
          <w:tcPr>
            <w:tcW w:w="1890" w:type="dxa"/>
            <w:tcBorders>
              <w:top w:val="nil"/>
              <w:left w:val="nil"/>
              <w:bottom w:val="nil"/>
              <w:right w:val="nil"/>
            </w:tcBorders>
            <w:shd w:val="clear" w:color="auto" w:fill="auto"/>
            <w:noWrap/>
            <w:vAlign w:val="center"/>
          </w:tcPr>
          <w:p w14:paraId="3E5D266D" w14:textId="77777777" w:rsidR="00B55729" w:rsidRPr="00D5037C" w:rsidRDefault="00B55729" w:rsidP="00AE127C">
            <w:pPr>
              <w:widowControl/>
              <w:shd w:val="clear" w:color="auto" w:fill="FFFFFF"/>
              <w:jc w:val="center"/>
              <w:rPr>
                <w:snapToGrid/>
                <w14:ligatures w14:val="standardContextual"/>
              </w:rPr>
            </w:pPr>
          </w:p>
        </w:tc>
      </w:tr>
      <w:tr w:rsidR="00B55729" w:rsidRPr="00D5037C" w14:paraId="61A4C49B" w14:textId="77777777" w:rsidTr="00AE127C">
        <w:trPr>
          <w:trHeight w:val="290"/>
        </w:trPr>
        <w:tc>
          <w:tcPr>
            <w:tcW w:w="1998" w:type="dxa"/>
            <w:tcBorders>
              <w:top w:val="nil"/>
              <w:left w:val="nil"/>
              <w:bottom w:val="nil"/>
              <w:right w:val="nil"/>
            </w:tcBorders>
            <w:shd w:val="clear" w:color="auto" w:fill="auto"/>
            <w:noWrap/>
            <w:vAlign w:val="center"/>
            <w:hideMark/>
          </w:tcPr>
          <w:p w14:paraId="5D16C38F" w14:textId="77777777" w:rsidR="00B55729" w:rsidRPr="00D5037C" w:rsidRDefault="00B55729" w:rsidP="00AE127C">
            <w:pPr>
              <w:widowControl/>
              <w:shd w:val="clear" w:color="auto" w:fill="FFFFFF"/>
              <w:rPr>
                <w:snapToGrid/>
                <w14:ligatures w14:val="standardContextual"/>
              </w:rPr>
            </w:pPr>
            <w:r w:rsidRPr="00D5037C">
              <w:rPr>
                <w:snapToGrid/>
                <w14:ligatures w14:val="standardContextual"/>
              </w:rPr>
              <w:lastRenderedPageBreak/>
              <w:t>Selection %</w:t>
            </w:r>
          </w:p>
        </w:tc>
        <w:tc>
          <w:tcPr>
            <w:tcW w:w="1080" w:type="dxa"/>
            <w:tcBorders>
              <w:top w:val="nil"/>
              <w:left w:val="nil"/>
              <w:bottom w:val="nil"/>
              <w:right w:val="nil"/>
            </w:tcBorders>
            <w:shd w:val="clear" w:color="auto" w:fill="auto"/>
            <w:noWrap/>
            <w:hideMark/>
          </w:tcPr>
          <w:p w14:paraId="4D593B09" w14:textId="77777777" w:rsidR="00B55729" w:rsidRPr="00D5037C" w:rsidRDefault="00B55729" w:rsidP="00AE127C">
            <w:pPr>
              <w:widowControl/>
              <w:shd w:val="clear" w:color="auto" w:fill="FFFFFF"/>
              <w:jc w:val="center"/>
              <w:rPr>
                <w:snapToGrid/>
                <w14:ligatures w14:val="standardContextual"/>
              </w:rPr>
            </w:pPr>
            <w:r w:rsidRPr="00992C94">
              <w:t xml:space="preserve">24.1 </w:t>
            </w:r>
          </w:p>
        </w:tc>
        <w:tc>
          <w:tcPr>
            <w:tcW w:w="900" w:type="dxa"/>
            <w:tcBorders>
              <w:top w:val="nil"/>
              <w:left w:val="nil"/>
              <w:bottom w:val="nil"/>
              <w:right w:val="nil"/>
            </w:tcBorders>
            <w:shd w:val="clear" w:color="auto" w:fill="auto"/>
            <w:noWrap/>
            <w:hideMark/>
          </w:tcPr>
          <w:p w14:paraId="733AAC4C" w14:textId="77777777" w:rsidR="00B55729" w:rsidRPr="00D5037C" w:rsidRDefault="00B55729" w:rsidP="00AE127C">
            <w:pPr>
              <w:widowControl/>
              <w:shd w:val="clear" w:color="auto" w:fill="FFFFFF"/>
              <w:jc w:val="center"/>
              <w:rPr>
                <w:snapToGrid/>
                <w14:ligatures w14:val="standardContextual"/>
              </w:rPr>
            </w:pPr>
            <w:r w:rsidRPr="00992C94">
              <w:t xml:space="preserve">62.3 </w:t>
            </w:r>
          </w:p>
        </w:tc>
        <w:tc>
          <w:tcPr>
            <w:tcW w:w="1080" w:type="dxa"/>
            <w:tcBorders>
              <w:top w:val="nil"/>
              <w:left w:val="nil"/>
              <w:bottom w:val="nil"/>
              <w:right w:val="nil"/>
            </w:tcBorders>
            <w:shd w:val="clear" w:color="auto" w:fill="auto"/>
            <w:noWrap/>
            <w:hideMark/>
          </w:tcPr>
          <w:p w14:paraId="2CF0CC42" w14:textId="77777777" w:rsidR="00B55729" w:rsidRPr="00D5037C" w:rsidRDefault="00B55729" w:rsidP="00AE127C">
            <w:pPr>
              <w:widowControl/>
              <w:shd w:val="clear" w:color="auto" w:fill="FFFFFF"/>
              <w:jc w:val="center"/>
              <w:rPr>
                <w:snapToGrid/>
                <w14:ligatures w14:val="standardContextual"/>
              </w:rPr>
            </w:pPr>
            <w:r w:rsidRPr="00992C94">
              <w:t xml:space="preserve">13.1 </w:t>
            </w:r>
          </w:p>
        </w:tc>
        <w:tc>
          <w:tcPr>
            <w:tcW w:w="900" w:type="dxa"/>
            <w:tcBorders>
              <w:top w:val="nil"/>
              <w:left w:val="nil"/>
              <w:bottom w:val="nil"/>
              <w:right w:val="nil"/>
            </w:tcBorders>
            <w:shd w:val="clear" w:color="auto" w:fill="auto"/>
            <w:noWrap/>
            <w:hideMark/>
          </w:tcPr>
          <w:p w14:paraId="2CD8C224" w14:textId="77777777" w:rsidR="00B55729" w:rsidRPr="00D5037C" w:rsidRDefault="00B55729" w:rsidP="00AE127C">
            <w:pPr>
              <w:widowControl/>
              <w:shd w:val="clear" w:color="auto" w:fill="FFFFFF"/>
              <w:jc w:val="center"/>
              <w:rPr>
                <w:snapToGrid/>
                <w14:ligatures w14:val="standardContextual"/>
              </w:rPr>
            </w:pPr>
            <w:r w:rsidRPr="00992C94">
              <w:t xml:space="preserve">0.1  </w:t>
            </w:r>
          </w:p>
        </w:tc>
        <w:tc>
          <w:tcPr>
            <w:tcW w:w="1170" w:type="dxa"/>
            <w:tcBorders>
              <w:top w:val="nil"/>
              <w:left w:val="nil"/>
              <w:bottom w:val="nil"/>
              <w:right w:val="nil"/>
            </w:tcBorders>
            <w:shd w:val="clear" w:color="auto" w:fill="auto"/>
            <w:noWrap/>
            <w:hideMark/>
          </w:tcPr>
          <w:p w14:paraId="129CA178" w14:textId="77777777" w:rsidR="00B55729" w:rsidRPr="00D5037C" w:rsidRDefault="00B55729" w:rsidP="00AE127C">
            <w:pPr>
              <w:widowControl/>
              <w:shd w:val="clear" w:color="auto" w:fill="FFFFFF"/>
              <w:jc w:val="center"/>
              <w:rPr>
                <w:snapToGrid/>
                <w14:ligatures w14:val="standardContextual"/>
              </w:rPr>
            </w:pPr>
            <w:r w:rsidRPr="00992C94">
              <w:t xml:space="preserve">     </w:t>
            </w:r>
          </w:p>
        </w:tc>
        <w:tc>
          <w:tcPr>
            <w:tcW w:w="1890" w:type="dxa"/>
            <w:tcBorders>
              <w:top w:val="nil"/>
              <w:left w:val="nil"/>
              <w:bottom w:val="nil"/>
              <w:right w:val="nil"/>
            </w:tcBorders>
            <w:shd w:val="clear" w:color="auto" w:fill="auto"/>
            <w:noWrap/>
            <w:vAlign w:val="center"/>
            <w:hideMark/>
          </w:tcPr>
          <w:p w14:paraId="1DEB2986" w14:textId="77777777" w:rsidR="00B55729" w:rsidRPr="00D5037C" w:rsidRDefault="00B55729" w:rsidP="00AE127C">
            <w:pPr>
              <w:widowControl/>
              <w:shd w:val="clear" w:color="auto" w:fill="FFFFFF"/>
              <w:jc w:val="center"/>
              <w:rPr>
                <w:snapToGrid/>
                <w14:ligatures w14:val="standardContextual"/>
              </w:rPr>
            </w:pPr>
            <w:r w:rsidRPr="00D5037C">
              <w:rPr>
                <w:rFonts w:eastAsia="DengXian"/>
                <w:snapToGrid/>
                <w:color w:val="auto"/>
                <w:kern w:val="2"/>
                <w:lang w:eastAsia="zh-CN"/>
                <w14:ligatures w14:val="standardContextual"/>
              </w:rPr>
              <w:t>0.</w:t>
            </w:r>
            <w:r>
              <w:rPr>
                <w:rFonts w:eastAsia="DengXian"/>
                <w:snapToGrid/>
                <w:color w:val="auto"/>
                <w:kern w:val="2"/>
                <w:lang w:eastAsia="zh-CN"/>
                <w14:ligatures w14:val="standardContextual"/>
              </w:rPr>
              <w:t>4</w:t>
            </w:r>
          </w:p>
        </w:tc>
      </w:tr>
      <w:tr w:rsidR="00B55729" w:rsidRPr="00D5037C" w14:paraId="1D32614E" w14:textId="77777777" w:rsidTr="00AE127C">
        <w:trPr>
          <w:trHeight w:val="290"/>
        </w:trPr>
        <w:tc>
          <w:tcPr>
            <w:tcW w:w="1998" w:type="dxa"/>
            <w:tcBorders>
              <w:top w:val="nil"/>
              <w:left w:val="nil"/>
              <w:bottom w:val="single" w:sz="4" w:space="0" w:color="auto"/>
              <w:right w:val="nil"/>
            </w:tcBorders>
            <w:shd w:val="clear" w:color="auto" w:fill="auto"/>
            <w:noWrap/>
            <w:vAlign w:val="center"/>
            <w:hideMark/>
          </w:tcPr>
          <w:p w14:paraId="091760BA" w14:textId="77777777" w:rsidR="00B55729" w:rsidRPr="00D5037C" w:rsidRDefault="00B55729" w:rsidP="00AE127C">
            <w:pPr>
              <w:widowControl/>
              <w:shd w:val="clear" w:color="auto" w:fill="FFFFFF"/>
              <w:rPr>
                <w:snapToGrid/>
                <w14:ligatures w14:val="standardContextual"/>
              </w:rPr>
            </w:pPr>
            <w:r w:rsidRPr="00D5037C">
              <w:rPr>
                <w:snapToGrid/>
                <w14:ligatures w14:val="standardContextual"/>
              </w:rPr>
              <w:t>% Pts Treated</w:t>
            </w:r>
          </w:p>
        </w:tc>
        <w:tc>
          <w:tcPr>
            <w:tcW w:w="1080" w:type="dxa"/>
            <w:tcBorders>
              <w:top w:val="nil"/>
              <w:left w:val="nil"/>
              <w:bottom w:val="single" w:sz="4" w:space="0" w:color="auto"/>
              <w:right w:val="nil"/>
            </w:tcBorders>
            <w:shd w:val="clear" w:color="auto" w:fill="auto"/>
            <w:noWrap/>
            <w:hideMark/>
          </w:tcPr>
          <w:p w14:paraId="60E6810E" w14:textId="77777777" w:rsidR="00B55729" w:rsidRPr="00D5037C" w:rsidRDefault="00B55729" w:rsidP="00AE127C">
            <w:pPr>
              <w:widowControl/>
              <w:shd w:val="clear" w:color="auto" w:fill="FFFFFF"/>
              <w:jc w:val="center"/>
              <w:rPr>
                <w:snapToGrid/>
                <w14:ligatures w14:val="standardContextual"/>
              </w:rPr>
            </w:pPr>
            <w:r w:rsidRPr="00992C94">
              <w:t>39.65</w:t>
            </w:r>
          </w:p>
        </w:tc>
        <w:tc>
          <w:tcPr>
            <w:tcW w:w="900" w:type="dxa"/>
            <w:tcBorders>
              <w:top w:val="nil"/>
              <w:left w:val="nil"/>
              <w:bottom w:val="single" w:sz="4" w:space="0" w:color="auto"/>
              <w:right w:val="nil"/>
            </w:tcBorders>
            <w:shd w:val="clear" w:color="auto" w:fill="auto"/>
            <w:noWrap/>
            <w:hideMark/>
          </w:tcPr>
          <w:p w14:paraId="05F1ECDA" w14:textId="77777777" w:rsidR="00B55729" w:rsidRPr="00D5037C" w:rsidRDefault="00B55729" w:rsidP="00AE127C">
            <w:pPr>
              <w:widowControl/>
              <w:shd w:val="clear" w:color="auto" w:fill="FFFFFF"/>
              <w:jc w:val="center"/>
              <w:rPr>
                <w:snapToGrid/>
                <w14:ligatures w14:val="standardContextual"/>
              </w:rPr>
            </w:pPr>
            <w:r w:rsidRPr="00992C94">
              <w:t>42.83</w:t>
            </w:r>
          </w:p>
        </w:tc>
        <w:tc>
          <w:tcPr>
            <w:tcW w:w="1080" w:type="dxa"/>
            <w:tcBorders>
              <w:top w:val="nil"/>
              <w:left w:val="nil"/>
              <w:bottom w:val="single" w:sz="4" w:space="0" w:color="auto"/>
              <w:right w:val="nil"/>
            </w:tcBorders>
            <w:shd w:val="clear" w:color="auto" w:fill="auto"/>
            <w:noWrap/>
            <w:hideMark/>
          </w:tcPr>
          <w:p w14:paraId="2D1816DA" w14:textId="77777777" w:rsidR="00B55729" w:rsidRPr="00D5037C" w:rsidRDefault="00B55729" w:rsidP="00AE127C">
            <w:pPr>
              <w:widowControl/>
              <w:shd w:val="clear" w:color="auto" w:fill="FFFFFF"/>
              <w:jc w:val="center"/>
              <w:rPr>
                <w:snapToGrid/>
                <w14:ligatures w14:val="standardContextual"/>
              </w:rPr>
            </w:pPr>
            <w:r w:rsidRPr="00992C94">
              <w:t>15.39</w:t>
            </w:r>
          </w:p>
        </w:tc>
        <w:tc>
          <w:tcPr>
            <w:tcW w:w="900" w:type="dxa"/>
            <w:tcBorders>
              <w:top w:val="nil"/>
              <w:left w:val="nil"/>
              <w:bottom w:val="single" w:sz="4" w:space="0" w:color="auto"/>
              <w:right w:val="nil"/>
            </w:tcBorders>
            <w:shd w:val="clear" w:color="auto" w:fill="auto"/>
            <w:noWrap/>
            <w:hideMark/>
          </w:tcPr>
          <w:p w14:paraId="103170C1" w14:textId="77777777" w:rsidR="00B55729" w:rsidRPr="00D5037C" w:rsidRDefault="00B55729" w:rsidP="00AE127C">
            <w:pPr>
              <w:widowControl/>
              <w:shd w:val="clear" w:color="auto" w:fill="FFFFFF"/>
              <w:jc w:val="center"/>
              <w:rPr>
                <w:snapToGrid/>
                <w14:ligatures w14:val="standardContextual"/>
              </w:rPr>
            </w:pPr>
            <w:r w:rsidRPr="00992C94">
              <w:t xml:space="preserve">2.13 </w:t>
            </w:r>
          </w:p>
        </w:tc>
        <w:tc>
          <w:tcPr>
            <w:tcW w:w="1170" w:type="dxa"/>
            <w:tcBorders>
              <w:top w:val="nil"/>
              <w:left w:val="nil"/>
              <w:bottom w:val="single" w:sz="4" w:space="0" w:color="auto"/>
              <w:right w:val="nil"/>
            </w:tcBorders>
            <w:shd w:val="clear" w:color="auto" w:fill="auto"/>
            <w:noWrap/>
          </w:tcPr>
          <w:p w14:paraId="53BF617F" w14:textId="77777777" w:rsidR="00B55729" w:rsidRPr="00D5037C" w:rsidRDefault="00B55729" w:rsidP="00AE127C">
            <w:pPr>
              <w:widowControl/>
              <w:shd w:val="clear" w:color="auto" w:fill="FFFFFF"/>
              <w:jc w:val="center"/>
              <w:rPr>
                <w:snapToGrid/>
                <w14:ligatures w14:val="standardContextual"/>
              </w:rPr>
            </w:pPr>
            <w:r w:rsidRPr="00992C94">
              <w:t>28.25</w:t>
            </w:r>
          </w:p>
        </w:tc>
        <w:tc>
          <w:tcPr>
            <w:tcW w:w="1890" w:type="dxa"/>
            <w:tcBorders>
              <w:top w:val="nil"/>
              <w:left w:val="nil"/>
              <w:bottom w:val="single" w:sz="4" w:space="0" w:color="auto"/>
              <w:right w:val="nil"/>
            </w:tcBorders>
            <w:shd w:val="clear" w:color="auto" w:fill="auto"/>
            <w:noWrap/>
            <w:vAlign w:val="center"/>
            <w:hideMark/>
          </w:tcPr>
          <w:p w14:paraId="700C269E" w14:textId="77777777" w:rsidR="00B55729" w:rsidRPr="00D5037C" w:rsidRDefault="00B55729" w:rsidP="00AE127C">
            <w:pPr>
              <w:widowControl/>
              <w:shd w:val="clear" w:color="auto" w:fill="FFFFFF"/>
              <w:jc w:val="center"/>
              <w:rPr>
                <w:snapToGrid/>
                <w14:ligatures w14:val="standardContextual"/>
              </w:rPr>
            </w:pPr>
          </w:p>
        </w:tc>
      </w:tr>
      <w:tr w:rsidR="00B55729" w:rsidRPr="00D5037C" w14:paraId="1A3F5D3E" w14:textId="77777777" w:rsidTr="00AE127C">
        <w:trPr>
          <w:trHeight w:val="290"/>
        </w:trPr>
        <w:tc>
          <w:tcPr>
            <w:tcW w:w="1998" w:type="dxa"/>
            <w:tcBorders>
              <w:top w:val="single" w:sz="4" w:space="0" w:color="auto"/>
              <w:left w:val="nil"/>
              <w:bottom w:val="nil"/>
              <w:right w:val="nil"/>
            </w:tcBorders>
            <w:shd w:val="clear" w:color="auto" w:fill="auto"/>
            <w:noWrap/>
            <w:vAlign w:val="center"/>
            <w:hideMark/>
          </w:tcPr>
          <w:p w14:paraId="30CBA203" w14:textId="77777777" w:rsidR="00B55729" w:rsidRPr="00D5037C" w:rsidRDefault="00B55729" w:rsidP="00AE127C">
            <w:pPr>
              <w:widowControl/>
              <w:shd w:val="clear" w:color="auto" w:fill="FFFFFF"/>
              <w:rPr>
                <w:snapToGrid/>
                <w14:ligatures w14:val="standardContextual"/>
              </w:rPr>
            </w:pPr>
            <w:r w:rsidRPr="00D5037C">
              <w:rPr>
                <w:snapToGrid/>
                <w14:ligatures w14:val="standardContextual"/>
              </w:rPr>
              <w:t>Scenario 3</w:t>
            </w:r>
          </w:p>
        </w:tc>
        <w:tc>
          <w:tcPr>
            <w:tcW w:w="1080" w:type="dxa"/>
            <w:tcBorders>
              <w:top w:val="single" w:sz="4" w:space="0" w:color="auto"/>
              <w:left w:val="nil"/>
              <w:bottom w:val="nil"/>
              <w:right w:val="nil"/>
            </w:tcBorders>
            <w:shd w:val="clear" w:color="auto" w:fill="auto"/>
            <w:noWrap/>
            <w:vAlign w:val="center"/>
            <w:hideMark/>
          </w:tcPr>
          <w:p w14:paraId="0F131B2B" w14:textId="77777777" w:rsidR="00B55729" w:rsidRPr="00D5037C" w:rsidRDefault="00B55729" w:rsidP="00AE127C">
            <w:pPr>
              <w:widowControl/>
              <w:shd w:val="clear" w:color="auto" w:fill="FFFFFF"/>
              <w:jc w:val="center"/>
              <w:rPr>
                <w:snapToGrid/>
                <w14:ligatures w14:val="standardContextual"/>
              </w:rPr>
            </w:pPr>
          </w:p>
        </w:tc>
        <w:tc>
          <w:tcPr>
            <w:tcW w:w="900" w:type="dxa"/>
            <w:tcBorders>
              <w:top w:val="single" w:sz="4" w:space="0" w:color="auto"/>
              <w:left w:val="nil"/>
              <w:bottom w:val="nil"/>
              <w:right w:val="nil"/>
            </w:tcBorders>
            <w:shd w:val="clear" w:color="auto" w:fill="auto"/>
            <w:noWrap/>
            <w:vAlign w:val="center"/>
            <w:hideMark/>
          </w:tcPr>
          <w:p w14:paraId="6B05FE6F" w14:textId="77777777" w:rsidR="00B55729" w:rsidRPr="00D5037C" w:rsidRDefault="00B55729" w:rsidP="00AE127C">
            <w:pPr>
              <w:widowControl/>
              <w:shd w:val="clear" w:color="auto" w:fill="FFFFFF"/>
              <w:jc w:val="center"/>
              <w:rPr>
                <w:snapToGrid/>
                <w14:ligatures w14:val="standardContextual"/>
              </w:rPr>
            </w:pPr>
          </w:p>
        </w:tc>
        <w:tc>
          <w:tcPr>
            <w:tcW w:w="1080" w:type="dxa"/>
            <w:tcBorders>
              <w:top w:val="single" w:sz="4" w:space="0" w:color="auto"/>
              <w:left w:val="nil"/>
              <w:bottom w:val="nil"/>
              <w:right w:val="nil"/>
            </w:tcBorders>
            <w:shd w:val="clear" w:color="auto" w:fill="auto"/>
            <w:noWrap/>
            <w:vAlign w:val="center"/>
            <w:hideMark/>
          </w:tcPr>
          <w:p w14:paraId="5FFEE2E8" w14:textId="77777777" w:rsidR="00B55729" w:rsidRPr="00D5037C" w:rsidRDefault="00B55729" w:rsidP="00AE127C">
            <w:pPr>
              <w:widowControl/>
              <w:shd w:val="clear" w:color="auto" w:fill="FFFFFF"/>
              <w:jc w:val="center"/>
              <w:rPr>
                <w:snapToGrid/>
                <w14:ligatures w14:val="standardContextual"/>
              </w:rPr>
            </w:pPr>
          </w:p>
        </w:tc>
        <w:tc>
          <w:tcPr>
            <w:tcW w:w="900" w:type="dxa"/>
            <w:tcBorders>
              <w:top w:val="single" w:sz="4" w:space="0" w:color="auto"/>
              <w:left w:val="nil"/>
              <w:bottom w:val="nil"/>
              <w:right w:val="nil"/>
            </w:tcBorders>
            <w:shd w:val="clear" w:color="auto" w:fill="auto"/>
            <w:noWrap/>
            <w:vAlign w:val="center"/>
            <w:hideMark/>
          </w:tcPr>
          <w:p w14:paraId="5053BE6A" w14:textId="77777777" w:rsidR="00B55729" w:rsidRPr="00D5037C" w:rsidRDefault="00B55729" w:rsidP="00AE127C">
            <w:pPr>
              <w:widowControl/>
              <w:shd w:val="clear" w:color="auto" w:fill="FFFFFF"/>
              <w:jc w:val="center"/>
              <w:rPr>
                <w:snapToGrid/>
                <w14:ligatures w14:val="standardContextual"/>
              </w:rPr>
            </w:pPr>
          </w:p>
        </w:tc>
        <w:tc>
          <w:tcPr>
            <w:tcW w:w="1170" w:type="dxa"/>
            <w:tcBorders>
              <w:top w:val="single" w:sz="4" w:space="0" w:color="auto"/>
              <w:left w:val="nil"/>
              <w:bottom w:val="nil"/>
              <w:right w:val="nil"/>
            </w:tcBorders>
            <w:shd w:val="clear" w:color="auto" w:fill="auto"/>
            <w:noWrap/>
            <w:vAlign w:val="center"/>
            <w:hideMark/>
          </w:tcPr>
          <w:p w14:paraId="37BCC412" w14:textId="77777777" w:rsidR="00B55729" w:rsidRPr="00D5037C" w:rsidRDefault="00B55729" w:rsidP="00AE127C">
            <w:pPr>
              <w:widowControl/>
              <w:shd w:val="clear" w:color="auto" w:fill="FFFFFF"/>
              <w:jc w:val="center"/>
              <w:rPr>
                <w:snapToGrid/>
                <w14:ligatures w14:val="standardContextual"/>
              </w:rPr>
            </w:pPr>
          </w:p>
        </w:tc>
        <w:tc>
          <w:tcPr>
            <w:tcW w:w="1890" w:type="dxa"/>
            <w:tcBorders>
              <w:top w:val="single" w:sz="4" w:space="0" w:color="auto"/>
              <w:left w:val="nil"/>
              <w:bottom w:val="nil"/>
              <w:right w:val="nil"/>
            </w:tcBorders>
            <w:shd w:val="clear" w:color="auto" w:fill="auto"/>
            <w:noWrap/>
            <w:vAlign w:val="center"/>
            <w:hideMark/>
          </w:tcPr>
          <w:p w14:paraId="5FBABF07" w14:textId="77777777" w:rsidR="00B55729" w:rsidRPr="00D5037C" w:rsidRDefault="00B55729" w:rsidP="00AE127C">
            <w:pPr>
              <w:widowControl/>
              <w:shd w:val="clear" w:color="auto" w:fill="FFFFFF"/>
              <w:jc w:val="center"/>
              <w:rPr>
                <w:snapToGrid/>
                <w14:ligatures w14:val="standardContextual"/>
              </w:rPr>
            </w:pPr>
          </w:p>
        </w:tc>
      </w:tr>
      <w:tr w:rsidR="00B55729" w:rsidRPr="00D5037C" w14:paraId="759F52D9" w14:textId="77777777" w:rsidTr="00AE127C">
        <w:trPr>
          <w:trHeight w:val="290"/>
        </w:trPr>
        <w:tc>
          <w:tcPr>
            <w:tcW w:w="1998" w:type="dxa"/>
            <w:tcBorders>
              <w:top w:val="nil"/>
              <w:left w:val="nil"/>
              <w:bottom w:val="nil"/>
              <w:right w:val="nil"/>
            </w:tcBorders>
            <w:shd w:val="clear" w:color="auto" w:fill="auto"/>
            <w:noWrap/>
            <w:vAlign w:val="center"/>
            <w:hideMark/>
          </w:tcPr>
          <w:p w14:paraId="0BE8C401" w14:textId="77777777" w:rsidR="00B55729" w:rsidRPr="00D5037C" w:rsidRDefault="00B55729" w:rsidP="00AE127C">
            <w:pPr>
              <w:widowControl/>
              <w:shd w:val="clear" w:color="auto" w:fill="FFFFFF"/>
              <w:rPr>
                <w:snapToGrid/>
                <w14:ligatures w14:val="standardContextual"/>
              </w:rPr>
            </w:pPr>
            <w:r w:rsidRPr="00D5037C">
              <w:rPr>
                <w:snapToGrid/>
                <w14:ligatures w14:val="standardContextual"/>
              </w:rPr>
              <w:t>True DLT rate</w:t>
            </w:r>
          </w:p>
        </w:tc>
        <w:tc>
          <w:tcPr>
            <w:tcW w:w="1080" w:type="dxa"/>
            <w:tcBorders>
              <w:top w:val="nil"/>
              <w:left w:val="nil"/>
              <w:bottom w:val="nil"/>
              <w:right w:val="nil"/>
            </w:tcBorders>
            <w:shd w:val="clear" w:color="auto" w:fill="auto"/>
            <w:noWrap/>
            <w:hideMark/>
          </w:tcPr>
          <w:p w14:paraId="7BB421D7" w14:textId="77777777" w:rsidR="00B55729" w:rsidRPr="00D5037C" w:rsidRDefault="00B55729" w:rsidP="00AE127C">
            <w:pPr>
              <w:widowControl/>
              <w:shd w:val="clear" w:color="auto" w:fill="FFFFFF"/>
              <w:jc w:val="center"/>
              <w:rPr>
                <w:snapToGrid/>
                <w14:ligatures w14:val="standardContextual"/>
              </w:rPr>
            </w:pPr>
            <w:r w:rsidRPr="00230313">
              <w:t xml:space="preserve">0.02 </w:t>
            </w:r>
          </w:p>
        </w:tc>
        <w:tc>
          <w:tcPr>
            <w:tcW w:w="900" w:type="dxa"/>
            <w:tcBorders>
              <w:top w:val="nil"/>
              <w:left w:val="nil"/>
              <w:bottom w:val="nil"/>
              <w:right w:val="nil"/>
            </w:tcBorders>
            <w:shd w:val="clear" w:color="auto" w:fill="auto"/>
            <w:noWrap/>
            <w:hideMark/>
          </w:tcPr>
          <w:p w14:paraId="4883403F" w14:textId="77777777" w:rsidR="00B55729" w:rsidRPr="00D5037C" w:rsidRDefault="00B55729" w:rsidP="00AE127C">
            <w:pPr>
              <w:widowControl/>
              <w:shd w:val="clear" w:color="auto" w:fill="FFFFFF"/>
              <w:jc w:val="center"/>
              <w:rPr>
                <w:snapToGrid/>
                <w14:ligatures w14:val="standardContextual"/>
              </w:rPr>
            </w:pPr>
            <w:r w:rsidRPr="00230313">
              <w:t xml:space="preserve">0.1  </w:t>
            </w:r>
          </w:p>
        </w:tc>
        <w:tc>
          <w:tcPr>
            <w:tcW w:w="1080" w:type="dxa"/>
            <w:tcBorders>
              <w:top w:val="nil"/>
              <w:left w:val="nil"/>
              <w:bottom w:val="nil"/>
              <w:right w:val="nil"/>
            </w:tcBorders>
            <w:shd w:val="clear" w:color="auto" w:fill="auto"/>
            <w:noWrap/>
            <w:hideMark/>
          </w:tcPr>
          <w:p w14:paraId="6E449690" w14:textId="77777777" w:rsidR="00B55729" w:rsidRPr="0061129C" w:rsidRDefault="00B55729" w:rsidP="00AE127C">
            <w:pPr>
              <w:widowControl/>
              <w:shd w:val="clear" w:color="auto" w:fill="FFFFFF"/>
              <w:jc w:val="center"/>
              <w:rPr>
                <w:b/>
                <w:bCs/>
                <w:snapToGrid/>
                <w14:ligatures w14:val="standardContextual"/>
              </w:rPr>
            </w:pPr>
            <w:r w:rsidRPr="00A25922">
              <w:rPr>
                <w:b/>
                <w:bCs/>
              </w:rPr>
              <w:t xml:space="preserve">0.25 </w:t>
            </w:r>
          </w:p>
        </w:tc>
        <w:tc>
          <w:tcPr>
            <w:tcW w:w="900" w:type="dxa"/>
            <w:tcBorders>
              <w:top w:val="nil"/>
              <w:left w:val="nil"/>
              <w:bottom w:val="nil"/>
              <w:right w:val="nil"/>
            </w:tcBorders>
            <w:shd w:val="clear" w:color="auto" w:fill="auto"/>
            <w:noWrap/>
            <w:hideMark/>
          </w:tcPr>
          <w:p w14:paraId="5850FECF" w14:textId="77777777" w:rsidR="00B55729" w:rsidRPr="00D5037C" w:rsidRDefault="00B55729" w:rsidP="00AE127C">
            <w:pPr>
              <w:widowControl/>
              <w:shd w:val="clear" w:color="auto" w:fill="FFFFFF"/>
              <w:jc w:val="center"/>
              <w:rPr>
                <w:snapToGrid/>
                <w14:ligatures w14:val="standardContextual"/>
              </w:rPr>
            </w:pPr>
            <w:r w:rsidRPr="00230313">
              <w:t xml:space="preserve">0.42 </w:t>
            </w:r>
          </w:p>
        </w:tc>
        <w:tc>
          <w:tcPr>
            <w:tcW w:w="1170" w:type="dxa"/>
            <w:tcBorders>
              <w:top w:val="nil"/>
              <w:left w:val="nil"/>
              <w:bottom w:val="nil"/>
              <w:right w:val="nil"/>
            </w:tcBorders>
            <w:shd w:val="clear" w:color="auto" w:fill="auto"/>
            <w:noWrap/>
            <w:hideMark/>
          </w:tcPr>
          <w:p w14:paraId="364C25A3" w14:textId="77777777" w:rsidR="00B55729" w:rsidRPr="00D5037C" w:rsidRDefault="00B55729" w:rsidP="00AE127C">
            <w:pPr>
              <w:widowControl/>
              <w:shd w:val="clear" w:color="auto" w:fill="FFFFFF"/>
              <w:jc w:val="center"/>
              <w:rPr>
                <w:snapToGrid/>
                <w14:ligatures w14:val="standardContextual"/>
              </w:rPr>
            </w:pPr>
            <w:r w:rsidRPr="00230313">
              <w:t xml:space="preserve">     </w:t>
            </w:r>
          </w:p>
        </w:tc>
        <w:tc>
          <w:tcPr>
            <w:tcW w:w="1890" w:type="dxa"/>
            <w:tcBorders>
              <w:top w:val="nil"/>
              <w:left w:val="nil"/>
              <w:bottom w:val="nil"/>
              <w:right w:val="nil"/>
            </w:tcBorders>
            <w:shd w:val="clear" w:color="auto" w:fill="auto"/>
            <w:noWrap/>
            <w:vAlign w:val="center"/>
            <w:hideMark/>
          </w:tcPr>
          <w:p w14:paraId="224CC146" w14:textId="77777777" w:rsidR="00B55729" w:rsidRPr="00D5037C" w:rsidRDefault="00B55729" w:rsidP="00AE127C">
            <w:pPr>
              <w:widowControl/>
              <w:shd w:val="clear" w:color="auto" w:fill="FFFFFF"/>
              <w:jc w:val="center"/>
              <w:rPr>
                <w:snapToGrid/>
                <w14:ligatures w14:val="standardContextual"/>
              </w:rPr>
            </w:pPr>
          </w:p>
        </w:tc>
      </w:tr>
      <w:tr w:rsidR="00B55729" w:rsidRPr="00D5037C" w14:paraId="0EF804E6" w14:textId="77777777" w:rsidTr="00AE127C">
        <w:trPr>
          <w:trHeight w:val="290"/>
        </w:trPr>
        <w:tc>
          <w:tcPr>
            <w:tcW w:w="1998" w:type="dxa"/>
            <w:tcBorders>
              <w:top w:val="nil"/>
              <w:left w:val="nil"/>
              <w:bottom w:val="nil"/>
              <w:right w:val="nil"/>
            </w:tcBorders>
            <w:shd w:val="clear" w:color="auto" w:fill="auto"/>
            <w:noWrap/>
            <w:vAlign w:val="center"/>
          </w:tcPr>
          <w:p w14:paraId="7C3A466A" w14:textId="77777777" w:rsidR="00B55729" w:rsidRPr="00D5037C" w:rsidRDefault="00B55729" w:rsidP="00AE127C">
            <w:pPr>
              <w:widowControl/>
              <w:shd w:val="clear" w:color="auto" w:fill="FFFFFF"/>
              <w:rPr>
                <w:snapToGrid/>
                <w14:ligatures w14:val="standardContextual"/>
              </w:rPr>
            </w:pPr>
            <w:r w:rsidRPr="002A168B">
              <w:t>Response Rate</w:t>
            </w:r>
          </w:p>
        </w:tc>
        <w:tc>
          <w:tcPr>
            <w:tcW w:w="1080" w:type="dxa"/>
            <w:tcBorders>
              <w:top w:val="nil"/>
              <w:left w:val="nil"/>
              <w:bottom w:val="nil"/>
              <w:right w:val="nil"/>
            </w:tcBorders>
            <w:shd w:val="clear" w:color="auto" w:fill="auto"/>
            <w:noWrap/>
          </w:tcPr>
          <w:p w14:paraId="62AC4CD0" w14:textId="77777777" w:rsidR="00B55729" w:rsidRPr="00D5037C" w:rsidRDefault="00B55729" w:rsidP="00AE127C">
            <w:pPr>
              <w:widowControl/>
              <w:shd w:val="clear" w:color="auto" w:fill="FFFFFF"/>
              <w:jc w:val="center"/>
              <w:rPr>
                <w:rFonts w:eastAsia="DengXian"/>
                <w:snapToGrid/>
                <w:color w:val="auto"/>
                <w:kern w:val="2"/>
                <w:lang w:eastAsia="zh-CN"/>
                <w14:ligatures w14:val="standardContextual"/>
              </w:rPr>
            </w:pPr>
            <w:r w:rsidRPr="00230313">
              <w:t xml:space="preserve">0.02 </w:t>
            </w:r>
          </w:p>
        </w:tc>
        <w:tc>
          <w:tcPr>
            <w:tcW w:w="900" w:type="dxa"/>
            <w:tcBorders>
              <w:top w:val="nil"/>
              <w:left w:val="nil"/>
              <w:bottom w:val="nil"/>
              <w:right w:val="nil"/>
            </w:tcBorders>
            <w:shd w:val="clear" w:color="auto" w:fill="auto"/>
            <w:noWrap/>
          </w:tcPr>
          <w:p w14:paraId="070BAE98" w14:textId="77777777" w:rsidR="00B55729" w:rsidRPr="00D5037C" w:rsidRDefault="00B55729" w:rsidP="00AE127C">
            <w:pPr>
              <w:widowControl/>
              <w:shd w:val="clear" w:color="auto" w:fill="FFFFFF"/>
              <w:jc w:val="center"/>
              <w:rPr>
                <w:rFonts w:eastAsia="DengXian"/>
                <w:snapToGrid/>
                <w:color w:val="auto"/>
                <w:kern w:val="2"/>
                <w:lang w:eastAsia="zh-CN"/>
                <w14:ligatures w14:val="standardContextual"/>
              </w:rPr>
            </w:pPr>
            <w:r w:rsidRPr="00230313">
              <w:t xml:space="preserve">0.1  </w:t>
            </w:r>
          </w:p>
        </w:tc>
        <w:tc>
          <w:tcPr>
            <w:tcW w:w="1080" w:type="dxa"/>
            <w:tcBorders>
              <w:top w:val="nil"/>
              <w:left w:val="nil"/>
              <w:bottom w:val="nil"/>
              <w:right w:val="nil"/>
            </w:tcBorders>
            <w:shd w:val="clear" w:color="auto" w:fill="auto"/>
            <w:noWrap/>
          </w:tcPr>
          <w:p w14:paraId="6635A754" w14:textId="77777777" w:rsidR="00B55729" w:rsidRPr="00D5037C" w:rsidRDefault="00B55729" w:rsidP="00AE127C">
            <w:pPr>
              <w:widowControl/>
              <w:shd w:val="clear" w:color="auto" w:fill="FFFFFF"/>
              <w:jc w:val="center"/>
              <w:rPr>
                <w:rFonts w:eastAsia="DengXian"/>
                <w:b/>
                <w:bCs/>
                <w:snapToGrid/>
                <w:color w:val="auto"/>
                <w:kern w:val="2"/>
                <w:lang w:eastAsia="zh-CN"/>
                <w14:ligatures w14:val="standardContextual"/>
              </w:rPr>
            </w:pPr>
            <w:r w:rsidRPr="00230313">
              <w:t xml:space="preserve">0.25 </w:t>
            </w:r>
          </w:p>
        </w:tc>
        <w:tc>
          <w:tcPr>
            <w:tcW w:w="900" w:type="dxa"/>
            <w:tcBorders>
              <w:top w:val="nil"/>
              <w:left w:val="nil"/>
              <w:bottom w:val="nil"/>
              <w:right w:val="nil"/>
            </w:tcBorders>
            <w:shd w:val="clear" w:color="auto" w:fill="auto"/>
            <w:noWrap/>
          </w:tcPr>
          <w:p w14:paraId="33611E81" w14:textId="77777777" w:rsidR="00B55729" w:rsidRPr="00D5037C" w:rsidRDefault="00B55729" w:rsidP="00AE127C">
            <w:pPr>
              <w:widowControl/>
              <w:shd w:val="clear" w:color="auto" w:fill="FFFFFF"/>
              <w:jc w:val="center"/>
              <w:rPr>
                <w:rFonts w:eastAsia="DengXian"/>
                <w:snapToGrid/>
                <w:color w:val="auto"/>
                <w:kern w:val="2"/>
                <w:lang w:eastAsia="zh-CN"/>
                <w14:ligatures w14:val="standardContextual"/>
              </w:rPr>
            </w:pPr>
            <w:r w:rsidRPr="00230313">
              <w:t xml:space="preserve">0.42 </w:t>
            </w:r>
          </w:p>
        </w:tc>
        <w:tc>
          <w:tcPr>
            <w:tcW w:w="1170" w:type="dxa"/>
            <w:tcBorders>
              <w:top w:val="nil"/>
              <w:left w:val="nil"/>
              <w:bottom w:val="nil"/>
              <w:right w:val="nil"/>
            </w:tcBorders>
            <w:shd w:val="clear" w:color="auto" w:fill="auto"/>
            <w:noWrap/>
          </w:tcPr>
          <w:p w14:paraId="2FDBFE4D" w14:textId="77777777" w:rsidR="00B55729" w:rsidRPr="00D5037C" w:rsidRDefault="00B55729" w:rsidP="00AE127C">
            <w:pPr>
              <w:widowControl/>
              <w:shd w:val="clear" w:color="auto" w:fill="FFFFFF"/>
              <w:jc w:val="center"/>
              <w:rPr>
                <w:snapToGrid/>
                <w14:ligatures w14:val="standardContextual"/>
              </w:rPr>
            </w:pPr>
            <w:r w:rsidRPr="00230313">
              <w:t xml:space="preserve">     </w:t>
            </w:r>
          </w:p>
        </w:tc>
        <w:tc>
          <w:tcPr>
            <w:tcW w:w="1890" w:type="dxa"/>
            <w:tcBorders>
              <w:top w:val="nil"/>
              <w:left w:val="nil"/>
              <w:bottom w:val="nil"/>
              <w:right w:val="nil"/>
            </w:tcBorders>
            <w:shd w:val="clear" w:color="auto" w:fill="auto"/>
            <w:noWrap/>
            <w:vAlign w:val="center"/>
          </w:tcPr>
          <w:p w14:paraId="25B795BC" w14:textId="77777777" w:rsidR="00B55729" w:rsidRPr="00D5037C" w:rsidRDefault="00B55729" w:rsidP="00AE127C">
            <w:pPr>
              <w:widowControl/>
              <w:shd w:val="clear" w:color="auto" w:fill="FFFFFF"/>
              <w:jc w:val="center"/>
              <w:rPr>
                <w:snapToGrid/>
                <w14:ligatures w14:val="standardContextual"/>
              </w:rPr>
            </w:pPr>
          </w:p>
        </w:tc>
      </w:tr>
      <w:tr w:rsidR="00B55729" w:rsidRPr="00D5037C" w14:paraId="51E6AC43" w14:textId="77777777" w:rsidTr="00AE127C">
        <w:trPr>
          <w:trHeight w:val="290"/>
        </w:trPr>
        <w:tc>
          <w:tcPr>
            <w:tcW w:w="1998" w:type="dxa"/>
            <w:tcBorders>
              <w:top w:val="nil"/>
              <w:left w:val="nil"/>
              <w:bottom w:val="nil"/>
              <w:right w:val="nil"/>
            </w:tcBorders>
            <w:shd w:val="clear" w:color="auto" w:fill="auto"/>
            <w:noWrap/>
            <w:vAlign w:val="center"/>
            <w:hideMark/>
          </w:tcPr>
          <w:p w14:paraId="5BE0967D" w14:textId="77777777" w:rsidR="00B55729" w:rsidRPr="00D5037C" w:rsidRDefault="00B55729" w:rsidP="00AE127C">
            <w:pPr>
              <w:widowControl/>
              <w:shd w:val="clear" w:color="auto" w:fill="FFFFFF"/>
              <w:rPr>
                <w:snapToGrid/>
                <w14:ligatures w14:val="standardContextual"/>
              </w:rPr>
            </w:pPr>
            <w:r w:rsidRPr="00D5037C">
              <w:rPr>
                <w:snapToGrid/>
                <w14:ligatures w14:val="standardContextual"/>
              </w:rPr>
              <w:t>Selection %</w:t>
            </w:r>
          </w:p>
        </w:tc>
        <w:tc>
          <w:tcPr>
            <w:tcW w:w="1080" w:type="dxa"/>
            <w:tcBorders>
              <w:top w:val="nil"/>
              <w:left w:val="nil"/>
              <w:bottom w:val="nil"/>
              <w:right w:val="nil"/>
            </w:tcBorders>
            <w:shd w:val="clear" w:color="auto" w:fill="auto"/>
            <w:noWrap/>
            <w:hideMark/>
          </w:tcPr>
          <w:p w14:paraId="51FA1652" w14:textId="77777777" w:rsidR="00B55729" w:rsidRPr="00D5037C" w:rsidRDefault="00B55729" w:rsidP="00AE127C">
            <w:pPr>
              <w:widowControl/>
              <w:shd w:val="clear" w:color="auto" w:fill="FFFFFF"/>
              <w:jc w:val="center"/>
              <w:rPr>
                <w:snapToGrid/>
                <w14:ligatures w14:val="standardContextual"/>
              </w:rPr>
            </w:pPr>
            <w:r w:rsidRPr="00230313">
              <w:t xml:space="preserve">0.3  </w:t>
            </w:r>
          </w:p>
        </w:tc>
        <w:tc>
          <w:tcPr>
            <w:tcW w:w="900" w:type="dxa"/>
            <w:tcBorders>
              <w:top w:val="nil"/>
              <w:left w:val="nil"/>
              <w:bottom w:val="nil"/>
              <w:right w:val="nil"/>
            </w:tcBorders>
            <w:shd w:val="clear" w:color="auto" w:fill="auto"/>
            <w:noWrap/>
            <w:hideMark/>
          </w:tcPr>
          <w:p w14:paraId="02372AA0" w14:textId="77777777" w:rsidR="00B55729" w:rsidRPr="00D5037C" w:rsidRDefault="00B55729" w:rsidP="00AE127C">
            <w:pPr>
              <w:widowControl/>
              <w:shd w:val="clear" w:color="auto" w:fill="FFFFFF"/>
              <w:jc w:val="center"/>
              <w:rPr>
                <w:snapToGrid/>
                <w14:ligatures w14:val="standardContextual"/>
              </w:rPr>
            </w:pPr>
            <w:r w:rsidRPr="00230313">
              <w:t xml:space="preserve">22.4 </w:t>
            </w:r>
          </w:p>
        </w:tc>
        <w:tc>
          <w:tcPr>
            <w:tcW w:w="1080" w:type="dxa"/>
            <w:tcBorders>
              <w:top w:val="nil"/>
              <w:left w:val="nil"/>
              <w:bottom w:val="nil"/>
              <w:right w:val="nil"/>
            </w:tcBorders>
            <w:shd w:val="clear" w:color="auto" w:fill="auto"/>
            <w:noWrap/>
            <w:hideMark/>
          </w:tcPr>
          <w:p w14:paraId="196ADFA5" w14:textId="77777777" w:rsidR="00B55729" w:rsidRPr="00D5037C" w:rsidRDefault="00B55729" w:rsidP="00AE127C">
            <w:pPr>
              <w:widowControl/>
              <w:shd w:val="clear" w:color="auto" w:fill="FFFFFF"/>
              <w:jc w:val="center"/>
              <w:rPr>
                <w:snapToGrid/>
                <w14:ligatures w14:val="standardContextual"/>
              </w:rPr>
            </w:pPr>
            <w:r w:rsidRPr="00230313">
              <w:t xml:space="preserve">66.7 </w:t>
            </w:r>
          </w:p>
        </w:tc>
        <w:tc>
          <w:tcPr>
            <w:tcW w:w="900" w:type="dxa"/>
            <w:tcBorders>
              <w:top w:val="nil"/>
              <w:left w:val="nil"/>
              <w:bottom w:val="nil"/>
              <w:right w:val="nil"/>
            </w:tcBorders>
            <w:shd w:val="clear" w:color="auto" w:fill="auto"/>
            <w:noWrap/>
            <w:hideMark/>
          </w:tcPr>
          <w:p w14:paraId="3412742B" w14:textId="77777777" w:rsidR="00B55729" w:rsidRPr="00D5037C" w:rsidRDefault="00B55729" w:rsidP="00AE127C">
            <w:pPr>
              <w:widowControl/>
              <w:shd w:val="clear" w:color="auto" w:fill="FFFFFF"/>
              <w:jc w:val="center"/>
              <w:rPr>
                <w:snapToGrid/>
                <w14:ligatures w14:val="standardContextual"/>
              </w:rPr>
            </w:pPr>
            <w:r w:rsidRPr="00230313">
              <w:t xml:space="preserve">10.6 </w:t>
            </w:r>
          </w:p>
        </w:tc>
        <w:tc>
          <w:tcPr>
            <w:tcW w:w="1170" w:type="dxa"/>
            <w:tcBorders>
              <w:top w:val="nil"/>
              <w:left w:val="nil"/>
              <w:bottom w:val="nil"/>
              <w:right w:val="nil"/>
            </w:tcBorders>
            <w:shd w:val="clear" w:color="auto" w:fill="auto"/>
            <w:noWrap/>
            <w:hideMark/>
          </w:tcPr>
          <w:p w14:paraId="42FF5B14" w14:textId="77777777" w:rsidR="00B55729" w:rsidRPr="00D5037C" w:rsidRDefault="00B55729" w:rsidP="00AE127C">
            <w:pPr>
              <w:widowControl/>
              <w:shd w:val="clear" w:color="auto" w:fill="FFFFFF"/>
              <w:jc w:val="center"/>
              <w:rPr>
                <w:snapToGrid/>
                <w14:ligatures w14:val="standardContextual"/>
              </w:rPr>
            </w:pPr>
            <w:r w:rsidRPr="00230313">
              <w:t xml:space="preserve">     </w:t>
            </w:r>
          </w:p>
        </w:tc>
        <w:tc>
          <w:tcPr>
            <w:tcW w:w="1890" w:type="dxa"/>
            <w:tcBorders>
              <w:top w:val="nil"/>
              <w:left w:val="nil"/>
              <w:bottom w:val="nil"/>
              <w:right w:val="nil"/>
            </w:tcBorders>
            <w:shd w:val="clear" w:color="auto" w:fill="auto"/>
            <w:noWrap/>
            <w:vAlign w:val="center"/>
            <w:hideMark/>
          </w:tcPr>
          <w:p w14:paraId="5955F6B7" w14:textId="77777777" w:rsidR="00B55729" w:rsidRPr="00D5037C" w:rsidRDefault="00B55729" w:rsidP="00AE127C">
            <w:pPr>
              <w:widowControl/>
              <w:shd w:val="clear" w:color="auto" w:fill="FFFFFF"/>
              <w:jc w:val="center"/>
              <w:rPr>
                <w:snapToGrid/>
                <w14:ligatures w14:val="standardContextual"/>
              </w:rPr>
            </w:pPr>
            <w:r w:rsidRPr="00D5037C">
              <w:rPr>
                <w:rFonts w:eastAsia="DengXian"/>
                <w:snapToGrid/>
                <w:color w:val="auto"/>
                <w:kern w:val="2"/>
                <w:lang w:eastAsia="zh-CN"/>
                <w14:ligatures w14:val="standardContextual"/>
              </w:rPr>
              <w:t>0</w:t>
            </w:r>
          </w:p>
        </w:tc>
      </w:tr>
      <w:tr w:rsidR="00B55729" w:rsidRPr="00D5037C" w14:paraId="2FB67291" w14:textId="77777777" w:rsidTr="00AE127C">
        <w:trPr>
          <w:trHeight w:val="290"/>
        </w:trPr>
        <w:tc>
          <w:tcPr>
            <w:tcW w:w="1998" w:type="dxa"/>
            <w:tcBorders>
              <w:top w:val="nil"/>
              <w:left w:val="nil"/>
              <w:bottom w:val="single" w:sz="4" w:space="0" w:color="auto"/>
              <w:right w:val="nil"/>
            </w:tcBorders>
            <w:shd w:val="clear" w:color="auto" w:fill="auto"/>
            <w:noWrap/>
            <w:vAlign w:val="center"/>
            <w:hideMark/>
          </w:tcPr>
          <w:p w14:paraId="196B61C1" w14:textId="77777777" w:rsidR="00B55729" w:rsidRPr="00D5037C" w:rsidRDefault="00B55729" w:rsidP="00AE127C">
            <w:pPr>
              <w:widowControl/>
              <w:shd w:val="clear" w:color="auto" w:fill="FFFFFF"/>
              <w:rPr>
                <w:snapToGrid/>
                <w14:ligatures w14:val="standardContextual"/>
              </w:rPr>
            </w:pPr>
            <w:r w:rsidRPr="00D5037C">
              <w:rPr>
                <w:snapToGrid/>
                <w14:ligatures w14:val="standardContextual"/>
              </w:rPr>
              <w:t>% Pts Treated</w:t>
            </w:r>
          </w:p>
        </w:tc>
        <w:tc>
          <w:tcPr>
            <w:tcW w:w="1080" w:type="dxa"/>
            <w:tcBorders>
              <w:top w:val="nil"/>
              <w:left w:val="nil"/>
              <w:bottom w:val="single" w:sz="4" w:space="0" w:color="auto"/>
              <w:right w:val="nil"/>
            </w:tcBorders>
            <w:shd w:val="clear" w:color="auto" w:fill="auto"/>
            <w:noWrap/>
            <w:hideMark/>
          </w:tcPr>
          <w:p w14:paraId="4791F3AB" w14:textId="77777777" w:rsidR="00B55729" w:rsidRPr="00D5037C" w:rsidRDefault="00B55729" w:rsidP="00AE127C">
            <w:pPr>
              <w:widowControl/>
              <w:shd w:val="clear" w:color="auto" w:fill="FFFFFF"/>
              <w:jc w:val="center"/>
              <w:rPr>
                <w:snapToGrid/>
                <w14:ligatures w14:val="standardContextual"/>
              </w:rPr>
            </w:pPr>
            <w:r w:rsidRPr="00230313">
              <w:t>16.33</w:t>
            </w:r>
          </w:p>
        </w:tc>
        <w:tc>
          <w:tcPr>
            <w:tcW w:w="900" w:type="dxa"/>
            <w:tcBorders>
              <w:top w:val="nil"/>
              <w:left w:val="nil"/>
              <w:bottom w:val="single" w:sz="4" w:space="0" w:color="auto"/>
              <w:right w:val="nil"/>
            </w:tcBorders>
            <w:shd w:val="clear" w:color="auto" w:fill="auto"/>
            <w:noWrap/>
            <w:hideMark/>
          </w:tcPr>
          <w:p w14:paraId="453DB6B2" w14:textId="77777777" w:rsidR="00B55729" w:rsidRPr="00D5037C" w:rsidRDefault="00B55729" w:rsidP="00AE127C">
            <w:pPr>
              <w:widowControl/>
              <w:shd w:val="clear" w:color="auto" w:fill="FFFFFF"/>
              <w:jc w:val="center"/>
              <w:rPr>
                <w:snapToGrid/>
                <w14:ligatures w14:val="standardContextual"/>
              </w:rPr>
            </w:pPr>
            <w:r w:rsidRPr="00230313">
              <w:t>35.71</w:t>
            </w:r>
          </w:p>
        </w:tc>
        <w:tc>
          <w:tcPr>
            <w:tcW w:w="1080" w:type="dxa"/>
            <w:tcBorders>
              <w:top w:val="nil"/>
              <w:left w:val="nil"/>
              <w:bottom w:val="single" w:sz="4" w:space="0" w:color="auto"/>
              <w:right w:val="nil"/>
            </w:tcBorders>
            <w:shd w:val="clear" w:color="auto" w:fill="auto"/>
            <w:noWrap/>
            <w:hideMark/>
          </w:tcPr>
          <w:p w14:paraId="6B96A0C1" w14:textId="77777777" w:rsidR="00B55729" w:rsidRPr="00D5037C" w:rsidRDefault="00B55729" w:rsidP="00AE127C">
            <w:pPr>
              <w:widowControl/>
              <w:shd w:val="clear" w:color="auto" w:fill="FFFFFF"/>
              <w:jc w:val="center"/>
              <w:rPr>
                <w:snapToGrid/>
                <w14:ligatures w14:val="standardContextual"/>
              </w:rPr>
            </w:pPr>
            <w:r w:rsidRPr="00230313">
              <w:t>35.61</w:t>
            </w:r>
          </w:p>
        </w:tc>
        <w:tc>
          <w:tcPr>
            <w:tcW w:w="900" w:type="dxa"/>
            <w:tcBorders>
              <w:top w:val="nil"/>
              <w:left w:val="nil"/>
              <w:bottom w:val="single" w:sz="4" w:space="0" w:color="auto"/>
              <w:right w:val="nil"/>
            </w:tcBorders>
            <w:shd w:val="clear" w:color="auto" w:fill="auto"/>
            <w:noWrap/>
            <w:hideMark/>
          </w:tcPr>
          <w:p w14:paraId="0CA20101" w14:textId="77777777" w:rsidR="00B55729" w:rsidRPr="00D5037C" w:rsidRDefault="00B55729" w:rsidP="00AE127C">
            <w:pPr>
              <w:widowControl/>
              <w:shd w:val="clear" w:color="auto" w:fill="FFFFFF"/>
              <w:jc w:val="center"/>
              <w:rPr>
                <w:snapToGrid/>
                <w14:ligatures w14:val="standardContextual"/>
              </w:rPr>
            </w:pPr>
            <w:r w:rsidRPr="00230313">
              <w:t>12.35</w:t>
            </w:r>
          </w:p>
        </w:tc>
        <w:tc>
          <w:tcPr>
            <w:tcW w:w="1170" w:type="dxa"/>
            <w:tcBorders>
              <w:top w:val="nil"/>
              <w:left w:val="nil"/>
              <w:bottom w:val="single" w:sz="4" w:space="0" w:color="auto"/>
              <w:right w:val="nil"/>
            </w:tcBorders>
            <w:shd w:val="clear" w:color="auto" w:fill="auto"/>
            <w:noWrap/>
          </w:tcPr>
          <w:p w14:paraId="3E0D44A0" w14:textId="77777777" w:rsidR="00B55729" w:rsidRPr="00D5037C" w:rsidRDefault="00B55729" w:rsidP="00AE127C">
            <w:pPr>
              <w:widowControl/>
              <w:shd w:val="clear" w:color="auto" w:fill="FFFFFF"/>
              <w:jc w:val="center"/>
              <w:rPr>
                <w:snapToGrid/>
                <w14:ligatures w14:val="standardContextual"/>
              </w:rPr>
            </w:pPr>
            <w:r w:rsidRPr="00230313">
              <w:t>31.34</w:t>
            </w:r>
          </w:p>
        </w:tc>
        <w:tc>
          <w:tcPr>
            <w:tcW w:w="1890" w:type="dxa"/>
            <w:tcBorders>
              <w:top w:val="nil"/>
              <w:left w:val="nil"/>
              <w:bottom w:val="single" w:sz="4" w:space="0" w:color="auto"/>
              <w:right w:val="nil"/>
            </w:tcBorders>
            <w:shd w:val="clear" w:color="auto" w:fill="auto"/>
            <w:noWrap/>
            <w:vAlign w:val="center"/>
            <w:hideMark/>
          </w:tcPr>
          <w:p w14:paraId="1E0E8FFC" w14:textId="77777777" w:rsidR="00B55729" w:rsidRPr="00D5037C" w:rsidRDefault="00B55729" w:rsidP="00AE127C">
            <w:pPr>
              <w:widowControl/>
              <w:shd w:val="clear" w:color="auto" w:fill="FFFFFF"/>
              <w:jc w:val="center"/>
              <w:rPr>
                <w:snapToGrid/>
                <w14:ligatures w14:val="standardContextual"/>
              </w:rPr>
            </w:pPr>
          </w:p>
        </w:tc>
      </w:tr>
      <w:tr w:rsidR="00B55729" w:rsidRPr="00D5037C" w14:paraId="48ACD726" w14:textId="77777777" w:rsidTr="00AE127C">
        <w:trPr>
          <w:trHeight w:val="290"/>
        </w:trPr>
        <w:tc>
          <w:tcPr>
            <w:tcW w:w="1998" w:type="dxa"/>
            <w:tcBorders>
              <w:top w:val="single" w:sz="4" w:space="0" w:color="auto"/>
              <w:left w:val="nil"/>
              <w:bottom w:val="nil"/>
              <w:right w:val="nil"/>
            </w:tcBorders>
            <w:shd w:val="clear" w:color="auto" w:fill="auto"/>
            <w:noWrap/>
            <w:vAlign w:val="center"/>
            <w:hideMark/>
          </w:tcPr>
          <w:p w14:paraId="0555EB1D" w14:textId="77777777" w:rsidR="00B55729" w:rsidRPr="00D5037C" w:rsidRDefault="00B55729" w:rsidP="00AE127C">
            <w:pPr>
              <w:widowControl/>
              <w:shd w:val="clear" w:color="auto" w:fill="FFFFFF"/>
              <w:rPr>
                <w:snapToGrid/>
                <w14:ligatures w14:val="standardContextual"/>
              </w:rPr>
            </w:pPr>
            <w:r w:rsidRPr="00D5037C">
              <w:rPr>
                <w:snapToGrid/>
                <w14:ligatures w14:val="standardContextual"/>
              </w:rPr>
              <w:t>Scenario 4</w:t>
            </w:r>
          </w:p>
        </w:tc>
        <w:tc>
          <w:tcPr>
            <w:tcW w:w="1080" w:type="dxa"/>
            <w:tcBorders>
              <w:top w:val="single" w:sz="4" w:space="0" w:color="auto"/>
              <w:left w:val="nil"/>
              <w:bottom w:val="nil"/>
              <w:right w:val="nil"/>
            </w:tcBorders>
            <w:shd w:val="clear" w:color="auto" w:fill="auto"/>
            <w:noWrap/>
            <w:vAlign w:val="center"/>
            <w:hideMark/>
          </w:tcPr>
          <w:p w14:paraId="4C29611F" w14:textId="77777777" w:rsidR="00B55729" w:rsidRPr="00D5037C" w:rsidRDefault="00B55729" w:rsidP="00AE127C">
            <w:pPr>
              <w:widowControl/>
              <w:shd w:val="clear" w:color="auto" w:fill="FFFFFF"/>
              <w:jc w:val="center"/>
              <w:rPr>
                <w:snapToGrid/>
                <w14:ligatures w14:val="standardContextual"/>
              </w:rPr>
            </w:pPr>
          </w:p>
        </w:tc>
        <w:tc>
          <w:tcPr>
            <w:tcW w:w="900" w:type="dxa"/>
            <w:tcBorders>
              <w:top w:val="single" w:sz="4" w:space="0" w:color="auto"/>
              <w:left w:val="nil"/>
              <w:bottom w:val="nil"/>
              <w:right w:val="nil"/>
            </w:tcBorders>
            <w:shd w:val="clear" w:color="auto" w:fill="auto"/>
            <w:noWrap/>
            <w:vAlign w:val="center"/>
            <w:hideMark/>
          </w:tcPr>
          <w:p w14:paraId="6A7FB4D5" w14:textId="77777777" w:rsidR="00B55729" w:rsidRPr="00D5037C" w:rsidRDefault="00B55729" w:rsidP="00AE127C">
            <w:pPr>
              <w:widowControl/>
              <w:shd w:val="clear" w:color="auto" w:fill="FFFFFF"/>
              <w:jc w:val="center"/>
              <w:rPr>
                <w:snapToGrid/>
                <w14:ligatures w14:val="standardContextual"/>
              </w:rPr>
            </w:pPr>
          </w:p>
        </w:tc>
        <w:tc>
          <w:tcPr>
            <w:tcW w:w="1080" w:type="dxa"/>
            <w:tcBorders>
              <w:top w:val="single" w:sz="4" w:space="0" w:color="auto"/>
              <w:left w:val="nil"/>
              <w:bottom w:val="nil"/>
              <w:right w:val="nil"/>
            </w:tcBorders>
            <w:shd w:val="clear" w:color="auto" w:fill="auto"/>
            <w:noWrap/>
            <w:vAlign w:val="center"/>
            <w:hideMark/>
          </w:tcPr>
          <w:p w14:paraId="40492FA9" w14:textId="77777777" w:rsidR="00B55729" w:rsidRPr="00D5037C" w:rsidRDefault="00B55729" w:rsidP="00AE127C">
            <w:pPr>
              <w:widowControl/>
              <w:shd w:val="clear" w:color="auto" w:fill="FFFFFF"/>
              <w:jc w:val="center"/>
              <w:rPr>
                <w:snapToGrid/>
                <w14:ligatures w14:val="standardContextual"/>
              </w:rPr>
            </w:pPr>
          </w:p>
        </w:tc>
        <w:tc>
          <w:tcPr>
            <w:tcW w:w="900" w:type="dxa"/>
            <w:tcBorders>
              <w:top w:val="single" w:sz="4" w:space="0" w:color="auto"/>
              <w:left w:val="nil"/>
              <w:bottom w:val="nil"/>
              <w:right w:val="nil"/>
            </w:tcBorders>
            <w:shd w:val="clear" w:color="auto" w:fill="auto"/>
            <w:noWrap/>
            <w:vAlign w:val="center"/>
            <w:hideMark/>
          </w:tcPr>
          <w:p w14:paraId="52B64FE5" w14:textId="77777777" w:rsidR="00B55729" w:rsidRPr="00D5037C" w:rsidRDefault="00B55729" w:rsidP="00AE127C">
            <w:pPr>
              <w:widowControl/>
              <w:shd w:val="clear" w:color="auto" w:fill="FFFFFF"/>
              <w:jc w:val="center"/>
              <w:rPr>
                <w:snapToGrid/>
                <w14:ligatures w14:val="standardContextual"/>
              </w:rPr>
            </w:pPr>
          </w:p>
        </w:tc>
        <w:tc>
          <w:tcPr>
            <w:tcW w:w="1170" w:type="dxa"/>
            <w:tcBorders>
              <w:top w:val="single" w:sz="4" w:space="0" w:color="auto"/>
              <w:left w:val="nil"/>
              <w:bottom w:val="nil"/>
              <w:right w:val="nil"/>
            </w:tcBorders>
            <w:shd w:val="clear" w:color="auto" w:fill="auto"/>
            <w:noWrap/>
            <w:vAlign w:val="center"/>
            <w:hideMark/>
          </w:tcPr>
          <w:p w14:paraId="3723D471" w14:textId="77777777" w:rsidR="00B55729" w:rsidRPr="00D5037C" w:rsidRDefault="00B55729" w:rsidP="00AE127C">
            <w:pPr>
              <w:widowControl/>
              <w:shd w:val="clear" w:color="auto" w:fill="FFFFFF"/>
              <w:jc w:val="center"/>
              <w:rPr>
                <w:snapToGrid/>
                <w14:ligatures w14:val="standardContextual"/>
              </w:rPr>
            </w:pPr>
          </w:p>
        </w:tc>
        <w:tc>
          <w:tcPr>
            <w:tcW w:w="1890" w:type="dxa"/>
            <w:tcBorders>
              <w:top w:val="single" w:sz="4" w:space="0" w:color="auto"/>
              <w:left w:val="nil"/>
              <w:bottom w:val="nil"/>
              <w:right w:val="nil"/>
            </w:tcBorders>
            <w:shd w:val="clear" w:color="auto" w:fill="auto"/>
            <w:noWrap/>
            <w:vAlign w:val="center"/>
            <w:hideMark/>
          </w:tcPr>
          <w:p w14:paraId="7499BB21" w14:textId="77777777" w:rsidR="00B55729" w:rsidRPr="00D5037C" w:rsidRDefault="00B55729" w:rsidP="00AE127C">
            <w:pPr>
              <w:widowControl/>
              <w:shd w:val="clear" w:color="auto" w:fill="FFFFFF"/>
              <w:jc w:val="center"/>
              <w:rPr>
                <w:snapToGrid/>
                <w14:ligatures w14:val="standardContextual"/>
              </w:rPr>
            </w:pPr>
          </w:p>
        </w:tc>
      </w:tr>
      <w:tr w:rsidR="00B55729" w:rsidRPr="00D5037C" w14:paraId="4AD6C0A9" w14:textId="77777777" w:rsidTr="00AE127C">
        <w:trPr>
          <w:trHeight w:val="290"/>
        </w:trPr>
        <w:tc>
          <w:tcPr>
            <w:tcW w:w="1998" w:type="dxa"/>
            <w:tcBorders>
              <w:top w:val="nil"/>
              <w:left w:val="nil"/>
              <w:bottom w:val="nil"/>
              <w:right w:val="nil"/>
            </w:tcBorders>
            <w:shd w:val="clear" w:color="auto" w:fill="auto"/>
            <w:noWrap/>
            <w:vAlign w:val="center"/>
            <w:hideMark/>
          </w:tcPr>
          <w:p w14:paraId="29C6B7E1" w14:textId="77777777" w:rsidR="00B55729" w:rsidRPr="00D5037C" w:rsidRDefault="00B55729" w:rsidP="00AE127C">
            <w:pPr>
              <w:widowControl/>
              <w:shd w:val="clear" w:color="auto" w:fill="FFFFFF"/>
              <w:rPr>
                <w:snapToGrid/>
                <w14:ligatures w14:val="standardContextual"/>
              </w:rPr>
            </w:pPr>
            <w:r w:rsidRPr="00D5037C">
              <w:rPr>
                <w:snapToGrid/>
                <w14:ligatures w14:val="standardContextual"/>
              </w:rPr>
              <w:t>True DLT rate</w:t>
            </w:r>
          </w:p>
        </w:tc>
        <w:tc>
          <w:tcPr>
            <w:tcW w:w="1080" w:type="dxa"/>
            <w:tcBorders>
              <w:top w:val="nil"/>
              <w:left w:val="nil"/>
              <w:bottom w:val="nil"/>
              <w:right w:val="nil"/>
            </w:tcBorders>
            <w:shd w:val="clear" w:color="auto" w:fill="auto"/>
            <w:noWrap/>
            <w:hideMark/>
          </w:tcPr>
          <w:p w14:paraId="4788FBDE" w14:textId="77777777" w:rsidR="00B55729" w:rsidRPr="00D5037C" w:rsidRDefault="00B55729" w:rsidP="00AE127C">
            <w:pPr>
              <w:widowControl/>
              <w:shd w:val="clear" w:color="auto" w:fill="FFFFFF"/>
              <w:jc w:val="center"/>
              <w:rPr>
                <w:snapToGrid/>
                <w14:ligatures w14:val="standardContextual"/>
              </w:rPr>
            </w:pPr>
            <w:r w:rsidRPr="00A47B05">
              <w:t xml:space="preserve">0.05 </w:t>
            </w:r>
          </w:p>
        </w:tc>
        <w:tc>
          <w:tcPr>
            <w:tcW w:w="900" w:type="dxa"/>
            <w:tcBorders>
              <w:top w:val="nil"/>
              <w:left w:val="nil"/>
              <w:bottom w:val="nil"/>
              <w:right w:val="nil"/>
            </w:tcBorders>
            <w:shd w:val="clear" w:color="auto" w:fill="auto"/>
            <w:noWrap/>
            <w:hideMark/>
          </w:tcPr>
          <w:p w14:paraId="6D335846" w14:textId="77777777" w:rsidR="00B55729" w:rsidRPr="00D5037C" w:rsidRDefault="00B55729" w:rsidP="00AE127C">
            <w:pPr>
              <w:widowControl/>
              <w:shd w:val="clear" w:color="auto" w:fill="FFFFFF"/>
              <w:jc w:val="center"/>
              <w:rPr>
                <w:snapToGrid/>
                <w14:ligatures w14:val="standardContextual"/>
              </w:rPr>
            </w:pPr>
            <w:r w:rsidRPr="00A47B05">
              <w:t xml:space="preserve">0.08 </w:t>
            </w:r>
          </w:p>
        </w:tc>
        <w:tc>
          <w:tcPr>
            <w:tcW w:w="1080" w:type="dxa"/>
            <w:tcBorders>
              <w:top w:val="nil"/>
              <w:left w:val="nil"/>
              <w:bottom w:val="nil"/>
              <w:right w:val="nil"/>
            </w:tcBorders>
            <w:shd w:val="clear" w:color="auto" w:fill="auto"/>
            <w:noWrap/>
            <w:hideMark/>
          </w:tcPr>
          <w:p w14:paraId="65CE7375" w14:textId="77777777" w:rsidR="00B55729" w:rsidRPr="00D5037C" w:rsidRDefault="00B55729" w:rsidP="00AE127C">
            <w:pPr>
              <w:widowControl/>
              <w:shd w:val="clear" w:color="auto" w:fill="FFFFFF"/>
              <w:jc w:val="center"/>
              <w:rPr>
                <w:snapToGrid/>
                <w14:ligatures w14:val="standardContextual"/>
              </w:rPr>
            </w:pPr>
            <w:r w:rsidRPr="00A47B05">
              <w:t xml:space="preserve">0.12 </w:t>
            </w:r>
          </w:p>
        </w:tc>
        <w:tc>
          <w:tcPr>
            <w:tcW w:w="900" w:type="dxa"/>
            <w:tcBorders>
              <w:top w:val="nil"/>
              <w:left w:val="nil"/>
              <w:bottom w:val="nil"/>
              <w:right w:val="nil"/>
            </w:tcBorders>
            <w:shd w:val="clear" w:color="auto" w:fill="auto"/>
            <w:noWrap/>
            <w:hideMark/>
          </w:tcPr>
          <w:p w14:paraId="3C303D6D" w14:textId="77777777" w:rsidR="00B55729" w:rsidRPr="0061129C" w:rsidRDefault="00B55729" w:rsidP="00AE127C">
            <w:pPr>
              <w:widowControl/>
              <w:shd w:val="clear" w:color="auto" w:fill="FFFFFF"/>
              <w:jc w:val="center"/>
              <w:rPr>
                <w:b/>
                <w:bCs/>
                <w:snapToGrid/>
                <w14:ligatures w14:val="standardContextual"/>
              </w:rPr>
            </w:pPr>
            <w:r w:rsidRPr="00A25922">
              <w:rPr>
                <w:b/>
                <w:bCs/>
              </w:rPr>
              <w:t xml:space="preserve">0.25 </w:t>
            </w:r>
          </w:p>
        </w:tc>
        <w:tc>
          <w:tcPr>
            <w:tcW w:w="1170" w:type="dxa"/>
            <w:tcBorders>
              <w:top w:val="nil"/>
              <w:left w:val="nil"/>
              <w:bottom w:val="nil"/>
              <w:right w:val="nil"/>
            </w:tcBorders>
            <w:shd w:val="clear" w:color="auto" w:fill="auto"/>
            <w:noWrap/>
            <w:hideMark/>
          </w:tcPr>
          <w:p w14:paraId="21B143FC" w14:textId="77777777" w:rsidR="00B55729" w:rsidRPr="00D5037C" w:rsidRDefault="00B55729" w:rsidP="00AE127C">
            <w:pPr>
              <w:widowControl/>
              <w:shd w:val="clear" w:color="auto" w:fill="FFFFFF"/>
              <w:jc w:val="center"/>
              <w:rPr>
                <w:snapToGrid/>
                <w14:ligatures w14:val="standardContextual"/>
              </w:rPr>
            </w:pPr>
            <w:r w:rsidRPr="00A47B05">
              <w:t xml:space="preserve">     </w:t>
            </w:r>
          </w:p>
        </w:tc>
        <w:tc>
          <w:tcPr>
            <w:tcW w:w="1890" w:type="dxa"/>
            <w:tcBorders>
              <w:top w:val="nil"/>
              <w:left w:val="nil"/>
              <w:bottom w:val="nil"/>
              <w:right w:val="nil"/>
            </w:tcBorders>
            <w:shd w:val="clear" w:color="auto" w:fill="auto"/>
            <w:noWrap/>
            <w:vAlign w:val="center"/>
            <w:hideMark/>
          </w:tcPr>
          <w:p w14:paraId="2889D5AB" w14:textId="77777777" w:rsidR="00B55729" w:rsidRPr="00D5037C" w:rsidRDefault="00B55729" w:rsidP="00AE127C">
            <w:pPr>
              <w:widowControl/>
              <w:shd w:val="clear" w:color="auto" w:fill="FFFFFF"/>
              <w:jc w:val="center"/>
              <w:rPr>
                <w:snapToGrid/>
                <w14:ligatures w14:val="standardContextual"/>
              </w:rPr>
            </w:pPr>
          </w:p>
        </w:tc>
      </w:tr>
      <w:tr w:rsidR="00B55729" w:rsidRPr="00D5037C" w14:paraId="385A3FDC" w14:textId="77777777" w:rsidTr="00AE127C">
        <w:trPr>
          <w:trHeight w:val="290"/>
        </w:trPr>
        <w:tc>
          <w:tcPr>
            <w:tcW w:w="1998" w:type="dxa"/>
            <w:tcBorders>
              <w:top w:val="nil"/>
              <w:left w:val="nil"/>
              <w:bottom w:val="nil"/>
              <w:right w:val="nil"/>
            </w:tcBorders>
            <w:shd w:val="clear" w:color="auto" w:fill="auto"/>
            <w:noWrap/>
            <w:vAlign w:val="center"/>
          </w:tcPr>
          <w:p w14:paraId="2BA9EE6F" w14:textId="77777777" w:rsidR="00B55729" w:rsidRPr="00D5037C" w:rsidRDefault="00B55729" w:rsidP="00AE127C">
            <w:pPr>
              <w:widowControl/>
              <w:shd w:val="clear" w:color="auto" w:fill="FFFFFF"/>
              <w:rPr>
                <w:snapToGrid/>
                <w14:ligatures w14:val="standardContextual"/>
              </w:rPr>
            </w:pPr>
            <w:r w:rsidRPr="002A168B">
              <w:t>Response Rate</w:t>
            </w:r>
          </w:p>
        </w:tc>
        <w:tc>
          <w:tcPr>
            <w:tcW w:w="1080" w:type="dxa"/>
            <w:tcBorders>
              <w:top w:val="nil"/>
              <w:left w:val="nil"/>
              <w:bottom w:val="nil"/>
              <w:right w:val="nil"/>
            </w:tcBorders>
            <w:shd w:val="clear" w:color="auto" w:fill="auto"/>
            <w:noWrap/>
          </w:tcPr>
          <w:p w14:paraId="312CE667" w14:textId="77777777" w:rsidR="00B55729" w:rsidRPr="00D5037C" w:rsidRDefault="00B55729" w:rsidP="00AE127C">
            <w:pPr>
              <w:widowControl/>
              <w:shd w:val="clear" w:color="auto" w:fill="FFFFFF"/>
              <w:jc w:val="center"/>
              <w:rPr>
                <w:rFonts w:eastAsia="DengXian"/>
                <w:snapToGrid/>
                <w:color w:val="auto"/>
                <w:kern w:val="2"/>
                <w:lang w:eastAsia="zh-CN"/>
                <w14:ligatures w14:val="standardContextual"/>
              </w:rPr>
            </w:pPr>
            <w:r w:rsidRPr="00A47B05">
              <w:t xml:space="preserve">0.05 </w:t>
            </w:r>
          </w:p>
        </w:tc>
        <w:tc>
          <w:tcPr>
            <w:tcW w:w="900" w:type="dxa"/>
            <w:tcBorders>
              <w:top w:val="nil"/>
              <w:left w:val="nil"/>
              <w:bottom w:val="nil"/>
              <w:right w:val="nil"/>
            </w:tcBorders>
            <w:shd w:val="clear" w:color="auto" w:fill="auto"/>
            <w:noWrap/>
          </w:tcPr>
          <w:p w14:paraId="228FBB3C" w14:textId="77777777" w:rsidR="00B55729" w:rsidRPr="00D5037C" w:rsidRDefault="00B55729" w:rsidP="00AE127C">
            <w:pPr>
              <w:widowControl/>
              <w:shd w:val="clear" w:color="auto" w:fill="FFFFFF"/>
              <w:jc w:val="center"/>
              <w:rPr>
                <w:rFonts w:eastAsia="DengXian"/>
                <w:snapToGrid/>
                <w:color w:val="auto"/>
                <w:kern w:val="2"/>
                <w:lang w:eastAsia="zh-CN"/>
                <w14:ligatures w14:val="standardContextual"/>
              </w:rPr>
            </w:pPr>
            <w:r w:rsidRPr="00A47B05">
              <w:t xml:space="preserve">0.08 </w:t>
            </w:r>
          </w:p>
        </w:tc>
        <w:tc>
          <w:tcPr>
            <w:tcW w:w="1080" w:type="dxa"/>
            <w:tcBorders>
              <w:top w:val="nil"/>
              <w:left w:val="nil"/>
              <w:bottom w:val="nil"/>
              <w:right w:val="nil"/>
            </w:tcBorders>
            <w:shd w:val="clear" w:color="auto" w:fill="auto"/>
            <w:noWrap/>
          </w:tcPr>
          <w:p w14:paraId="7F0EC103" w14:textId="77777777" w:rsidR="00B55729" w:rsidRPr="00D5037C" w:rsidRDefault="00B55729" w:rsidP="00AE127C">
            <w:pPr>
              <w:widowControl/>
              <w:shd w:val="clear" w:color="auto" w:fill="FFFFFF"/>
              <w:jc w:val="center"/>
              <w:rPr>
                <w:rFonts w:eastAsia="DengXian"/>
                <w:snapToGrid/>
                <w:color w:val="auto"/>
                <w:kern w:val="2"/>
                <w:lang w:eastAsia="zh-CN"/>
                <w14:ligatures w14:val="standardContextual"/>
              </w:rPr>
            </w:pPr>
            <w:r w:rsidRPr="00A47B05">
              <w:t xml:space="preserve">0.12 </w:t>
            </w:r>
          </w:p>
        </w:tc>
        <w:tc>
          <w:tcPr>
            <w:tcW w:w="900" w:type="dxa"/>
            <w:tcBorders>
              <w:top w:val="nil"/>
              <w:left w:val="nil"/>
              <w:bottom w:val="nil"/>
              <w:right w:val="nil"/>
            </w:tcBorders>
            <w:shd w:val="clear" w:color="auto" w:fill="auto"/>
            <w:noWrap/>
          </w:tcPr>
          <w:p w14:paraId="740F9695" w14:textId="77777777" w:rsidR="00B55729" w:rsidRPr="00D5037C" w:rsidRDefault="00B55729" w:rsidP="00AE127C">
            <w:pPr>
              <w:widowControl/>
              <w:shd w:val="clear" w:color="auto" w:fill="FFFFFF"/>
              <w:jc w:val="center"/>
              <w:rPr>
                <w:rFonts w:eastAsia="DengXian"/>
                <w:b/>
                <w:bCs/>
                <w:snapToGrid/>
                <w:color w:val="auto"/>
                <w:kern w:val="2"/>
                <w:lang w:eastAsia="zh-CN"/>
                <w14:ligatures w14:val="standardContextual"/>
              </w:rPr>
            </w:pPr>
            <w:r w:rsidRPr="00A47B05">
              <w:t xml:space="preserve">0.25 </w:t>
            </w:r>
          </w:p>
        </w:tc>
        <w:tc>
          <w:tcPr>
            <w:tcW w:w="1170" w:type="dxa"/>
            <w:tcBorders>
              <w:top w:val="nil"/>
              <w:left w:val="nil"/>
              <w:bottom w:val="nil"/>
              <w:right w:val="nil"/>
            </w:tcBorders>
            <w:shd w:val="clear" w:color="auto" w:fill="auto"/>
            <w:noWrap/>
          </w:tcPr>
          <w:p w14:paraId="1510D422" w14:textId="77777777" w:rsidR="00B55729" w:rsidRPr="00D5037C" w:rsidRDefault="00B55729" w:rsidP="00AE127C">
            <w:pPr>
              <w:widowControl/>
              <w:shd w:val="clear" w:color="auto" w:fill="FFFFFF"/>
              <w:jc w:val="center"/>
              <w:rPr>
                <w:snapToGrid/>
                <w14:ligatures w14:val="standardContextual"/>
              </w:rPr>
            </w:pPr>
            <w:r w:rsidRPr="00A47B05">
              <w:t xml:space="preserve">     </w:t>
            </w:r>
          </w:p>
        </w:tc>
        <w:tc>
          <w:tcPr>
            <w:tcW w:w="1890" w:type="dxa"/>
            <w:tcBorders>
              <w:top w:val="nil"/>
              <w:left w:val="nil"/>
              <w:bottom w:val="nil"/>
              <w:right w:val="nil"/>
            </w:tcBorders>
            <w:shd w:val="clear" w:color="auto" w:fill="auto"/>
            <w:noWrap/>
            <w:vAlign w:val="center"/>
          </w:tcPr>
          <w:p w14:paraId="41A6D586" w14:textId="77777777" w:rsidR="00B55729" w:rsidRPr="00D5037C" w:rsidRDefault="00B55729" w:rsidP="00AE127C">
            <w:pPr>
              <w:widowControl/>
              <w:shd w:val="clear" w:color="auto" w:fill="FFFFFF"/>
              <w:jc w:val="center"/>
              <w:rPr>
                <w:snapToGrid/>
                <w14:ligatures w14:val="standardContextual"/>
              </w:rPr>
            </w:pPr>
          </w:p>
        </w:tc>
      </w:tr>
      <w:tr w:rsidR="00B55729" w:rsidRPr="00D5037C" w14:paraId="6E546352" w14:textId="77777777" w:rsidTr="00AE127C">
        <w:trPr>
          <w:trHeight w:val="290"/>
        </w:trPr>
        <w:tc>
          <w:tcPr>
            <w:tcW w:w="1998" w:type="dxa"/>
            <w:tcBorders>
              <w:top w:val="nil"/>
              <w:left w:val="nil"/>
              <w:bottom w:val="nil"/>
              <w:right w:val="nil"/>
            </w:tcBorders>
            <w:shd w:val="clear" w:color="auto" w:fill="auto"/>
            <w:noWrap/>
            <w:vAlign w:val="center"/>
            <w:hideMark/>
          </w:tcPr>
          <w:p w14:paraId="7950AE04" w14:textId="77777777" w:rsidR="00B55729" w:rsidRPr="00D5037C" w:rsidRDefault="00B55729" w:rsidP="00AE127C">
            <w:pPr>
              <w:widowControl/>
              <w:shd w:val="clear" w:color="auto" w:fill="FFFFFF"/>
              <w:rPr>
                <w:snapToGrid/>
                <w14:ligatures w14:val="standardContextual"/>
              </w:rPr>
            </w:pPr>
            <w:r w:rsidRPr="00D5037C">
              <w:rPr>
                <w:snapToGrid/>
                <w14:ligatures w14:val="standardContextual"/>
              </w:rPr>
              <w:t>Selection %</w:t>
            </w:r>
          </w:p>
        </w:tc>
        <w:tc>
          <w:tcPr>
            <w:tcW w:w="1080" w:type="dxa"/>
            <w:tcBorders>
              <w:top w:val="nil"/>
              <w:left w:val="nil"/>
              <w:bottom w:val="nil"/>
              <w:right w:val="nil"/>
            </w:tcBorders>
            <w:shd w:val="clear" w:color="auto" w:fill="auto"/>
            <w:noWrap/>
            <w:hideMark/>
          </w:tcPr>
          <w:p w14:paraId="2730BA27" w14:textId="77777777" w:rsidR="00B55729" w:rsidRPr="00D5037C" w:rsidRDefault="00B55729" w:rsidP="00AE127C">
            <w:pPr>
              <w:widowControl/>
              <w:shd w:val="clear" w:color="auto" w:fill="FFFFFF"/>
              <w:jc w:val="center"/>
              <w:rPr>
                <w:snapToGrid/>
                <w14:ligatures w14:val="standardContextual"/>
              </w:rPr>
            </w:pPr>
            <w:r w:rsidRPr="00A47B05">
              <w:t xml:space="preserve">1.4  </w:t>
            </w:r>
          </w:p>
        </w:tc>
        <w:tc>
          <w:tcPr>
            <w:tcW w:w="900" w:type="dxa"/>
            <w:tcBorders>
              <w:top w:val="nil"/>
              <w:left w:val="nil"/>
              <w:bottom w:val="nil"/>
              <w:right w:val="nil"/>
            </w:tcBorders>
            <w:shd w:val="clear" w:color="auto" w:fill="auto"/>
            <w:noWrap/>
            <w:hideMark/>
          </w:tcPr>
          <w:p w14:paraId="136236D3" w14:textId="77777777" w:rsidR="00B55729" w:rsidRPr="00D5037C" w:rsidRDefault="00B55729" w:rsidP="00AE127C">
            <w:pPr>
              <w:widowControl/>
              <w:shd w:val="clear" w:color="auto" w:fill="FFFFFF"/>
              <w:jc w:val="center"/>
              <w:rPr>
                <w:snapToGrid/>
                <w14:ligatures w14:val="standardContextual"/>
              </w:rPr>
            </w:pPr>
            <w:r w:rsidRPr="00A47B05">
              <w:t xml:space="preserve">6.1  </w:t>
            </w:r>
          </w:p>
        </w:tc>
        <w:tc>
          <w:tcPr>
            <w:tcW w:w="1080" w:type="dxa"/>
            <w:tcBorders>
              <w:top w:val="nil"/>
              <w:left w:val="nil"/>
              <w:bottom w:val="nil"/>
              <w:right w:val="nil"/>
            </w:tcBorders>
            <w:shd w:val="clear" w:color="auto" w:fill="auto"/>
            <w:noWrap/>
            <w:hideMark/>
          </w:tcPr>
          <w:p w14:paraId="39DDE929" w14:textId="77777777" w:rsidR="00B55729" w:rsidRPr="00D5037C" w:rsidRDefault="00B55729" w:rsidP="00AE127C">
            <w:pPr>
              <w:widowControl/>
              <w:shd w:val="clear" w:color="auto" w:fill="FFFFFF"/>
              <w:jc w:val="center"/>
              <w:rPr>
                <w:snapToGrid/>
                <w14:ligatures w14:val="standardContextual"/>
              </w:rPr>
            </w:pPr>
            <w:r w:rsidRPr="00A47B05">
              <w:t xml:space="preserve">29   </w:t>
            </w:r>
          </w:p>
        </w:tc>
        <w:tc>
          <w:tcPr>
            <w:tcW w:w="900" w:type="dxa"/>
            <w:tcBorders>
              <w:top w:val="nil"/>
              <w:left w:val="nil"/>
              <w:bottom w:val="nil"/>
              <w:right w:val="nil"/>
            </w:tcBorders>
            <w:shd w:val="clear" w:color="auto" w:fill="auto"/>
            <w:noWrap/>
            <w:hideMark/>
          </w:tcPr>
          <w:p w14:paraId="11469FB1" w14:textId="77777777" w:rsidR="00B55729" w:rsidRPr="00D5037C" w:rsidRDefault="00B55729" w:rsidP="00AE127C">
            <w:pPr>
              <w:widowControl/>
              <w:shd w:val="clear" w:color="auto" w:fill="FFFFFF"/>
              <w:jc w:val="center"/>
              <w:rPr>
                <w:snapToGrid/>
                <w14:ligatures w14:val="standardContextual"/>
              </w:rPr>
            </w:pPr>
            <w:r w:rsidRPr="00A47B05">
              <w:t xml:space="preserve">63.4 </w:t>
            </w:r>
          </w:p>
        </w:tc>
        <w:tc>
          <w:tcPr>
            <w:tcW w:w="1170" w:type="dxa"/>
            <w:tcBorders>
              <w:top w:val="nil"/>
              <w:left w:val="nil"/>
              <w:bottom w:val="nil"/>
              <w:right w:val="nil"/>
            </w:tcBorders>
            <w:shd w:val="clear" w:color="auto" w:fill="auto"/>
            <w:noWrap/>
            <w:hideMark/>
          </w:tcPr>
          <w:p w14:paraId="5D68FBF3" w14:textId="77777777" w:rsidR="00B55729" w:rsidRPr="00D5037C" w:rsidRDefault="00B55729" w:rsidP="00AE127C">
            <w:pPr>
              <w:widowControl/>
              <w:shd w:val="clear" w:color="auto" w:fill="FFFFFF"/>
              <w:jc w:val="center"/>
              <w:rPr>
                <w:snapToGrid/>
                <w14:ligatures w14:val="standardContextual"/>
              </w:rPr>
            </w:pPr>
            <w:r w:rsidRPr="00A47B05">
              <w:t xml:space="preserve">     </w:t>
            </w:r>
          </w:p>
        </w:tc>
        <w:tc>
          <w:tcPr>
            <w:tcW w:w="1890" w:type="dxa"/>
            <w:tcBorders>
              <w:top w:val="nil"/>
              <w:left w:val="nil"/>
              <w:bottom w:val="nil"/>
              <w:right w:val="nil"/>
            </w:tcBorders>
            <w:shd w:val="clear" w:color="auto" w:fill="auto"/>
            <w:noWrap/>
            <w:vAlign w:val="center"/>
            <w:hideMark/>
          </w:tcPr>
          <w:p w14:paraId="1F969164" w14:textId="77777777" w:rsidR="00B55729" w:rsidRPr="00D5037C" w:rsidRDefault="00B55729" w:rsidP="00AE127C">
            <w:pPr>
              <w:widowControl/>
              <w:shd w:val="clear" w:color="auto" w:fill="FFFFFF"/>
              <w:jc w:val="center"/>
              <w:rPr>
                <w:snapToGrid/>
                <w14:ligatures w14:val="standardContextual"/>
              </w:rPr>
            </w:pPr>
            <w:r w:rsidRPr="00D5037C">
              <w:rPr>
                <w:rFonts w:eastAsia="DengXian"/>
                <w:snapToGrid/>
                <w:color w:val="auto"/>
                <w:kern w:val="2"/>
                <w:lang w:eastAsia="zh-CN"/>
                <w14:ligatures w14:val="standardContextual"/>
              </w:rPr>
              <w:t>0</w:t>
            </w:r>
            <w:r>
              <w:rPr>
                <w:rFonts w:eastAsia="DengXian"/>
                <w:snapToGrid/>
                <w:color w:val="auto"/>
                <w:kern w:val="2"/>
                <w:lang w:eastAsia="zh-CN"/>
                <w14:ligatures w14:val="standardContextual"/>
              </w:rPr>
              <w:t>.1</w:t>
            </w:r>
          </w:p>
        </w:tc>
      </w:tr>
      <w:tr w:rsidR="00B55729" w:rsidRPr="00D5037C" w14:paraId="77AEAA6A" w14:textId="77777777" w:rsidTr="00AE127C">
        <w:trPr>
          <w:trHeight w:val="290"/>
        </w:trPr>
        <w:tc>
          <w:tcPr>
            <w:tcW w:w="1998" w:type="dxa"/>
            <w:tcBorders>
              <w:top w:val="nil"/>
              <w:left w:val="nil"/>
              <w:bottom w:val="single" w:sz="4" w:space="0" w:color="auto"/>
              <w:right w:val="nil"/>
            </w:tcBorders>
            <w:shd w:val="clear" w:color="auto" w:fill="auto"/>
            <w:noWrap/>
            <w:vAlign w:val="center"/>
            <w:hideMark/>
          </w:tcPr>
          <w:p w14:paraId="36733142" w14:textId="77777777" w:rsidR="00B55729" w:rsidRPr="00D5037C" w:rsidRDefault="00B55729" w:rsidP="00AE127C">
            <w:pPr>
              <w:widowControl/>
              <w:shd w:val="clear" w:color="auto" w:fill="FFFFFF"/>
              <w:rPr>
                <w:snapToGrid/>
                <w14:ligatures w14:val="standardContextual"/>
              </w:rPr>
            </w:pPr>
            <w:r w:rsidRPr="00D5037C">
              <w:rPr>
                <w:snapToGrid/>
                <w14:ligatures w14:val="standardContextual"/>
              </w:rPr>
              <w:t>% Pts Treated</w:t>
            </w:r>
          </w:p>
        </w:tc>
        <w:tc>
          <w:tcPr>
            <w:tcW w:w="1080" w:type="dxa"/>
            <w:tcBorders>
              <w:top w:val="nil"/>
              <w:left w:val="nil"/>
              <w:bottom w:val="single" w:sz="4" w:space="0" w:color="auto"/>
              <w:right w:val="nil"/>
            </w:tcBorders>
            <w:shd w:val="clear" w:color="auto" w:fill="auto"/>
            <w:noWrap/>
            <w:hideMark/>
          </w:tcPr>
          <w:p w14:paraId="7C357D2D" w14:textId="77777777" w:rsidR="00B55729" w:rsidRPr="00D5037C" w:rsidRDefault="00B55729" w:rsidP="00AE127C">
            <w:pPr>
              <w:widowControl/>
              <w:shd w:val="clear" w:color="auto" w:fill="FFFFFF"/>
              <w:jc w:val="center"/>
              <w:rPr>
                <w:snapToGrid/>
                <w14:ligatures w14:val="standardContextual"/>
              </w:rPr>
            </w:pPr>
            <w:r w:rsidRPr="00A47B05">
              <w:t>17.06</w:t>
            </w:r>
          </w:p>
        </w:tc>
        <w:tc>
          <w:tcPr>
            <w:tcW w:w="900" w:type="dxa"/>
            <w:tcBorders>
              <w:top w:val="nil"/>
              <w:left w:val="nil"/>
              <w:bottom w:val="single" w:sz="4" w:space="0" w:color="auto"/>
              <w:right w:val="nil"/>
            </w:tcBorders>
            <w:shd w:val="clear" w:color="auto" w:fill="auto"/>
            <w:noWrap/>
            <w:hideMark/>
          </w:tcPr>
          <w:p w14:paraId="2B101D23" w14:textId="77777777" w:rsidR="00B55729" w:rsidRPr="00D5037C" w:rsidRDefault="00B55729" w:rsidP="00AE127C">
            <w:pPr>
              <w:widowControl/>
              <w:shd w:val="clear" w:color="auto" w:fill="FFFFFF"/>
              <w:jc w:val="center"/>
              <w:rPr>
                <w:snapToGrid/>
                <w14:ligatures w14:val="standardContextual"/>
              </w:rPr>
            </w:pPr>
            <w:r w:rsidRPr="00A47B05">
              <w:t>24.45</w:t>
            </w:r>
          </w:p>
        </w:tc>
        <w:tc>
          <w:tcPr>
            <w:tcW w:w="1080" w:type="dxa"/>
            <w:tcBorders>
              <w:top w:val="nil"/>
              <w:left w:val="nil"/>
              <w:bottom w:val="single" w:sz="4" w:space="0" w:color="auto"/>
              <w:right w:val="nil"/>
            </w:tcBorders>
            <w:shd w:val="clear" w:color="auto" w:fill="auto"/>
            <w:noWrap/>
            <w:hideMark/>
          </w:tcPr>
          <w:p w14:paraId="243A8FDF" w14:textId="77777777" w:rsidR="00B55729" w:rsidRPr="00D5037C" w:rsidRDefault="00B55729" w:rsidP="00AE127C">
            <w:pPr>
              <w:widowControl/>
              <w:shd w:val="clear" w:color="auto" w:fill="FFFFFF"/>
              <w:jc w:val="center"/>
              <w:rPr>
                <w:snapToGrid/>
                <w14:ligatures w14:val="standardContextual"/>
              </w:rPr>
            </w:pPr>
            <w:r w:rsidRPr="00A47B05">
              <w:t>32.55</w:t>
            </w:r>
          </w:p>
        </w:tc>
        <w:tc>
          <w:tcPr>
            <w:tcW w:w="900" w:type="dxa"/>
            <w:tcBorders>
              <w:top w:val="nil"/>
              <w:left w:val="nil"/>
              <w:bottom w:val="single" w:sz="4" w:space="0" w:color="auto"/>
              <w:right w:val="nil"/>
            </w:tcBorders>
            <w:shd w:val="clear" w:color="auto" w:fill="auto"/>
            <w:noWrap/>
            <w:hideMark/>
          </w:tcPr>
          <w:p w14:paraId="75AE34C7" w14:textId="77777777" w:rsidR="00B55729" w:rsidRPr="00D5037C" w:rsidRDefault="00B55729" w:rsidP="00AE127C">
            <w:pPr>
              <w:widowControl/>
              <w:shd w:val="clear" w:color="auto" w:fill="FFFFFF"/>
              <w:jc w:val="center"/>
              <w:rPr>
                <w:snapToGrid/>
                <w14:ligatures w14:val="standardContextual"/>
              </w:rPr>
            </w:pPr>
            <w:r w:rsidRPr="00A47B05">
              <w:t>25.94</w:t>
            </w:r>
          </w:p>
        </w:tc>
        <w:tc>
          <w:tcPr>
            <w:tcW w:w="1170" w:type="dxa"/>
            <w:tcBorders>
              <w:top w:val="nil"/>
              <w:left w:val="nil"/>
              <w:bottom w:val="single" w:sz="4" w:space="0" w:color="auto"/>
              <w:right w:val="nil"/>
            </w:tcBorders>
            <w:shd w:val="clear" w:color="auto" w:fill="auto"/>
            <w:noWrap/>
          </w:tcPr>
          <w:p w14:paraId="372B9D2C" w14:textId="77777777" w:rsidR="00B55729" w:rsidRPr="00D5037C" w:rsidRDefault="00B55729" w:rsidP="00AE127C">
            <w:pPr>
              <w:widowControl/>
              <w:shd w:val="clear" w:color="auto" w:fill="FFFFFF"/>
              <w:jc w:val="center"/>
              <w:rPr>
                <w:snapToGrid/>
                <w14:ligatures w14:val="standardContextual"/>
              </w:rPr>
            </w:pPr>
            <w:r w:rsidRPr="00A47B05">
              <w:t>32.66</w:t>
            </w:r>
          </w:p>
        </w:tc>
        <w:tc>
          <w:tcPr>
            <w:tcW w:w="1890" w:type="dxa"/>
            <w:tcBorders>
              <w:top w:val="nil"/>
              <w:left w:val="nil"/>
              <w:bottom w:val="single" w:sz="4" w:space="0" w:color="auto"/>
              <w:right w:val="nil"/>
            </w:tcBorders>
            <w:shd w:val="clear" w:color="auto" w:fill="auto"/>
            <w:noWrap/>
            <w:vAlign w:val="center"/>
            <w:hideMark/>
          </w:tcPr>
          <w:p w14:paraId="1F396399" w14:textId="77777777" w:rsidR="00B55729" w:rsidRPr="00D5037C" w:rsidRDefault="00B55729" w:rsidP="00AE127C">
            <w:pPr>
              <w:widowControl/>
              <w:shd w:val="clear" w:color="auto" w:fill="FFFFFF"/>
              <w:jc w:val="center"/>
              <w:rPr>
                <w:snapToGrid/>
                <w14:ligatures w14:val="standardContextual"/>
              </w:rPr>
            </w:pPr>
          </w:p>
        </w:tc>
      </w:tr>
    </w:tbl>
    <w:p w14:paraId="3AFC9FA9" w14:textId="77777777" w:rsidR="00EA7201" w:rsidRPr="00EC147A" w:rsidRDefault="00EA7201" w:rsidP="00EA7201">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sidRPr="00EC147A">
        <w:rPr>
          <w:iCs/>
          <w:color w:val="auto"/>
        </w:rPr>
        <w:t>Note: “% Early Stopping” refers to early stopping due to excessive DLT.</w:t>
      </w:r>
    </w:p>
    <w:p w14:paraId="145831FA" w14:textId="77777777" w:rsidR="00C715F3" w:rsidRDefault="00C715F3" w:rsidP="00C715F3"/>
    <w:p w14:paraId="7DCD2652" w14:textId="68C8B117" w:rsidR="00390E81" w:rsidRPr="00EC147A" w:rsidRDefault="00E44566" w:rsidP="00E44566">
      <w:pPr>
        <w:pStyle w:val="Level3Heading"/>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color w:val="auto"/>
        </w:rPr>
      </w:pPr>
      <w:r w:rsidRPr="00EC147A">
        <w:rPr>
          <w:color w:val="auto"/>
        </w:rPr>
        <w:t>Analysis of Safety Endpoint</w:t>
      </w:r>
    </w:p>
    <w:p w14:paraId="0E8D9639" w14:textId="77777777" w:rsidR="00E44566" w:rsidRPr="00EC147A" w:rsidRDefault="00E44566" w:rsidP="00C479A8">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color w:val="auto"/>
        </w:rPr>
      </w:pPr>
    </w:p>
    <w:p w14:paraId="03192ED1" w14:textId="0B81D180" w:rsidR="00E44566" w:rsidRDefault="00773939" w:rsidP="00C479A8">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eastAsia="Arial Unicode MS"/>
          <w:color w:val="auto"/>
        </w:rPr>
      </w:pPr>
      <w:r w:rsidRPr="00EC147A">
        <w:rPr>
          <w:rFonts w:eastAsia="Arial Unicode MS"/>
          <w:color w:val="auto"/>
        </w:rPr>
        <w:t xml:space="preserve">Frequency and severity of adverse events and tolerability of the regimen will be collected and summarized with descriptive statistics. The maximum grade for each type of toxicity will be recorded for each patient and frequency tables will be reviewed to determine toxicity patterns. All patients who received at least one dose of the triapine will be </w:t>
      </w:r>
      <w:proofErr w:type="gramStart"/>
      <w:r w:rsidRPr="00EC147A">
        <w:rPr>
          <w:rFonts w:eastAsia="Arial Unicode MS"/>
          <w:color w:val="auto"/>
        </w:rPr>
        <w:t>evaluable</w:t>
      </w:r>
      <w:proofErr w:type="gramEnd"/>
      <w:r w:rsidRPr="00EC147A">
        <w:rPr>
          <w:rFonts w:eastAsia="Arial Unicode MS"/>
          <w:color w:val="auto"/>
        </w:rPr>
        <w:t xml:space="preserve"> for toxicity and tolerability.</w:t>
      </w:r>
    </w:p>
    <w:p w14:paraId="45EDF470" w14:textId="77777777" w:rsidR="00390E81" w:rsidRPr="007300F3" w:rsidRDefault="00390E81" w:rsidP="00C479A8">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pPr>
    </w:p>
    <w:p w14:paraId="0DF61D94" w14:textId="77777777" w:rsidR="00C479A8" w:rsidRDefault="00C479A8" w:rsidP="00C94562">
      <w:pPr>
        <w:pStyle w:val="Heading2"/>
      </w:pPr>
      <w:bookmarkStart w:id="107" w:name="_Toc176419925"/>
      <w:r w:rsidRPr="007300F3">
        <w:t>Sample Size/Accrual Rate</w:t>
      </w:r>
      <w:bookmarkEnd w:id="107"/>
    </w:p>
    <w:p w14:paraId="476FA05E" w14:textId="77777777" w:rsidR="00C479A8" w:rsidRDefault="00C479A8" w:rsidP="00C479A8">
      <w:pPr>
        <w:rPr>
          <w:i/>
          <w:color w:val="auto"/>
        </w:rPr>
      </w:pPr>
    </w:p>
    <w:p w14:paraId="20681349" w14:textId="38F34714" w:rsidR="00C479A8" w:rsidRPr="00D66924" w:rsidRDefault="00C479A8" w:rsidP="00C479A8">
      <w:pPr>
        <w:keepNext/>
        <w:spacing w:after="120"/>
        <w:jc w:val="center"/>
        <w:rPr>
          <w:rFonts w:ascii="Arial" w:hAnsi="Arial" w:cs="Arial"/>
          <w:b/>
          <w:bCs/>
          <w:iCs/>
        </w:rPr>
      </w:pPr>
      <w:r w:rsidRPr="00D66924">
        <w:rPr>
          <w:rFonts w:ascii="Arial" w:hAnsi="Arial" w:cs="Arial"/>
          <w:b/>
          <w:bCs/>
          <w:iCs/>
        </w:rPr>
        <w:t>PLANNED ENROLLMENT REPORT</w:t>
      </w:r>
    </w:p>
    <w:p w14:paraId="449F414C" w14:textId="77777777" w:rsidR="00F05C23" w:rsidRPr="008864D9" w:rsidRDefault="00F05C23" w:rsidP="00F05C23">
      <w:pPr>
        <w:tabs>
          <w:tab w:val="left" w:pos="8894"/>
        </w:tabs>
        <w:rPr>
          <w:rFonts w:ascii="Arial" w:hAnsi="Arial" w:cs="Arial"/>
          <w:sz w:val="16"/>
          <w:szCs w:val="16"/>
        </w:rPr>
      </w:pPr>
      <w:r w:rsidRPr="008864D9">
        <w:rPr>
          <w:rFonts w:ascii="Arial" w:hAnsi="Arial" w:cs="Arial"/>
          <w:sz w:val="16"/>
          <w:szCs w:val="16"/>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f Domestic Planned Enrollment Report"/>
        <w:tblDescription w:val="This is a table for investigators to enter the planned number of domestic subjects broken down into race, ethnicity and gender."/>
      </w:tblPr>
      <w:tblGrid>
        <w:gridCol w:w="1637"/>
        <w:gridCol w:w="1570"/>
        <w:gridCol w:w="1522"/>
        <w:gridCol w:w="1570"/>
        <w:gridCol w:w="1522"/>
        <w:gridCol w:w="1529"/>
      </w:tblGrid>
      <w:tr w:rsidR="00F05C23" w:rsidRPr="008864D9" w14:paraId="7CFBD6B9" w14:textId="77777777" w:rsidTr="00F05C23">
        <w:trPr>
          <w:cantSplit/>
          <w:tblHeader/>
          <w:jc w:val="center"/>
        </w:trPr>
        <w:tc>
          <w:tcPr>
            <w:tcW w:w="10975" w:type="dxa"/>
            <w:gridSpan w:val="6"/>
            <w:tcBorders>
              <w:top w:val="single" w:sz="4" w:space="0" w:color="auto"/>
              <w:left w:val="single" w:sz="4" w:space="0" w:color="auto"/>
              <w:bottom w:val="single" w:sz="4" w:space="0" w:color="auto"/>
              <w:right w:val="single" w:sz="4" w:space="0" w:color="auto"/>
            </w:tcBorders>
          </w:tcPr>
          <w:p w14:paraId="2C98CCF6" w14:textId="77777777" w:rsidR="00F05C23" w:rsidRPr="008864D9" w:rsidRDefault="00F05C23" w:rsidP="008C3318">
            <w:pPr>
              <w:tabs>
                <w:tab w:val="left" w:pos="2826"/>
              </w:tabs>
              <w:jc w:val="center"/>
              <w:rPr>
                <w:rFonts w:ascii="Arial" w:hAnsi="Arial" w:cs="Arial"/>
                <w:sz w:val="16"/>
                <w:szCs w:val="16"/>
              </w:rPr>
            </w:pPr>
            <w:r w:rsidRPr="008864D9">
              <w:rPr>
                <w:rFonts w:ascii="Arial" w:hAnsi="Arial" w:cs="Arial"/>
                <w:b/>
                <w:bCs/>
                <w:iCs/>
                <w:sz w:val="16"/>
                <w:szCs w:val="16"/>
                <w:u w:val="single"/>
              </w:rPr>
              <w:t>DOMESTIC</w:t>
            </w:r>
            <w:r w:rsidRPr="008864D9">
              <w:rPr>
                <w:rFonts w:ascii="Arial" w:hAnsi="Arial" w:cs="Arial"/>
                <w:b/>
                <w:bCs/>
                <w:iCs/>
                <w:sz w:val="16"/>
                <w:szCs w:val="16"/>
              </w:rPr>
              <w:t xml:space="preserve"> PLANNED ENROLLMENT REPORT (TREATMENT)</w:t>
            </w:r>
          </w:p>
        </w:tc>
      </w:tr>
      <w:tr w:rsidR="00F05C23" w:rsidRPr="008864D9" w14:paraId="1AD40434" w14:textId="77777777" w:rsidTr="00F05C23">
        <w:trPr>
          <w:cantSplit/>
          <w:trHeight w:val="28"/>
          <w:tblHeader/>
          <w:jc w:val="center"/>
        </w:trPr>
        <w:tc>
          <w:tcPr>
            <w:tcW w:w="1829" w:type="dxa"/>
            <w:vMerge w:val="restart"/>
            <w:tcBorders>
              <w:top w:val="single" w:sz="4" w:space="0" w:color="auto"/>
              <w:left w:val="single" w:sz="4" w:space="0" w:color="auto"/>
              <w:bottom w:val="single" w:sz="4" w:space="0" w:color="auto"/>
              <w:right w:val="single" w:sz="4" w:space="0" w:color="auto"/>
            </w:tcBorders>
            <w:vAlign w:val="center"/>
          </w:tcPr>
          <w:p w14:paraId="646983D8" w14:textId="77777777" w:rsidR="00F05C23" w:rsidRPr="008864D9" w:rsidRDefault="00F05C23" w:rsidP="008C3318">
            <w:pPr>
              <w:tabs>
                <w:tab w:val="left" w:pos="2826"/>
              </w:tabs>
              <w:jc w:val="center"/>
              <w:rPr>
                <w:rFonts w:ascii="Arial" w:hAnsi="Arial" w:cs="Arial"/>
                <w:b/>
                <w:sz w:val="16"/>
                <w:szCs w:val="16"/>
              </w:rPr>
            </w:pPr>
            <w:r w:rsidRPr="008864D9">
              <w:rPr>
                <w:rFonts w:ascii="Arial" w:hAnsi="Arial" w:cs="Arial"/>
                <w:b/>
                <w:sz w:val="16"/>
                <w:szCs w:val="16"/>
              </w:rPr>
              <w:t>Racial Categories</w:t>
            </w:r>
          </w:p>
        </w:tc>
        <w:tc>
          <w:tcPr>
            <w:tcW w:w="7316" w:type="dxa"/>
            <w:gridSpan w:val="4"/>
            <w:tcBorders>
              <w:top w:val="single" w:sz="4" w:space="0" w:color="auto"/>
              <w:left w:val="single" w:sz="4" w:space="0" w:color="auto"/>
              <w:bottom w:val="single" w:sz="4" w:space="0" w:color="auto"/>
              <w:right w:val="single" w:sz="4" w:space="0" w:color="auto"/>
            </w:tcBorders>
            <w:vAlign w:val="center"/>
          </w:tcPr>
          <w:p w14:paraId="3EF3F36C" w14:textId="77777777" w:rsidR="00F05C23" w:rsidRPr="008864D9" w:rsidRDefault="00F05C23" w:rsidP="008C3318">
            <w:pPr>
              <w:tabs>
                <w:tab w:val="left" w:pos="2826"/>
              </w:tabs>
              <w:jc w:val="center"/>
              <w:rPr>
                <w:rFonts w:ascii="Arial" w:hAnsi="Arial" w:cs="Arial"/>
                <w:b/>
                <w:sz w:val="16"/>
                <w:szCs w:val="16"/>
              </w:rPr>
            </w:pPr>
            <w:r w:rsidRPr="008864D9">
              <w:rPr>
                <w:rFonts w:ascii="Arial" w:hAnsi="Arial" w:cs="Arial"/>
                <w:b/>
                <w:sz w:val="16"/>
                <w:szCs w:val="16"/>
              </w:rPr>
              <w:t>Ethnic Categories</w:t>
            </w:r>
          </w:p>
        </w:tc>
        <w:tc>
          <w:tcPr>
            <w:tcW w:w="1830" w:type="dxa"/>
            <w:vMerge w:val="restart"/>
            <w:tcBorders>
              <w:top w:val="single" w:sz="4" w:space="0" w:color="auto"/>
              <w:left w:val="single" w:sz="4" w:space="0" w:color="auto"/>
              <w:bottom w:val="single" w:sz="4" w:space="0" w:color="auto"/>
              <w:right w:val="single" w:sz="4" w:space="0" w:color="auto"/>
            </w:tcBorders>
            <w:vAlign w:val="center"/>
          </w:tcPr>
          <w:p w14:paraId="2FCE5D0A" w14:textId="77777777" w:rsidR="00F05C23" w:rsidRPr="008864D9" w:rsidRDefault="00F05C23" w:rsidP="008C3318">
            <w:pPr>
              <w:tabs>
                <w:tab w:val="left" w:pos="2826"/>
              </w:tabs>
              <w:jc w:val="center"/>
              <w:rPr>
                <w:rFonts w:ascii="Arial" w:hAnsi="Arial" w:cs="Arial"/>
                <w:b/>
                <w:sz w:val="16"/>
                <w:szCs w:val="16"/>
              </w:rPr>
            </w:pPr>
            <w:r w:rsidRPr="008864D9">
              <w:rPr>
                <w:rFonts w:ascii="Arial" w:hAnsi="Arial" w:cs="Arial"/>
                <w:b/>
                <w:sz w:val="16"/>
                <w:szCs w:val="16"/>
              </w:rPr>
              <w:t>Total</w:t>
            </w:r>
          </w:p>
        </w:tc>
      </w:tr>
      <w:tr w:rsidR="00F05C23" w:rsidRPr="008864D9" w14:paraId="62ED24E5" w14:textId="77777777" w:rsidTr="00F05C23">
        <w:trPr>
          <w:cantSplit/>
          <w:trHeight w:val="21"/>
          <w:tblHeader/>
          <w:jc w:val="center"/>
        </w:trPr>
        <w:tc>
          <w:tcPr>
            <w:tcW w:w="1829" w:type="dxa"/>
            <w:vMerge/>
            <w:tcBorders>
              <w:top w:val="single" w:sz="4" w:space="0" w:color="auto"/>
              <w:left w:val="single" w:sz="4" w:space="0" w:color="auto"/>
              <w:bottom w:val="single" w:sz="4" w:space="0" w:color="auto"/>
              <w:right w:val="single" w:sz="4" w:space="0" w:color="auto"/>
            </w:tcBorders>
            <w:vAlign w:val="center"/>
          </w:tcPr>
          <w:p w14:paraId="52B201E0" w14:textId="77777777" w:rsidR="00F05C23" w:rsidRPr="008864D9" w:rsidRDefault="00F05C23" w:rsidP="008C3318">
            <w:pPr>
              <w:tabs>
                <w:tab w:val="left" w:pos="2826"/>
              </w:tabs>
              <w:jc w:val="center"/>
              <w:rPr>
                <w:rFonts w:ascii="Arial" w:hAnsi="Arial" w:cs="Arial"/>
                <w:b/>
                <w:sz w:val="16"/>
                <w:szCs w:val="16"/>
              </w:rPr>
            </w:pPr>
          </w:p>
        </w:tc>
        <w:tc>
          <w:tcPr>
            <w:tcW w:w="3658" w:type="dxa"/>
            <w:gridSpan w:val="2"/>
            <w:tcBorders>
              <w:top w:val="single" w:sz="4" w:space="0" w:color="auto"/>
              <w:left w:val="single" w:sz="4" w:space="0" w:color="auto"/>
              <w:bottom w:val="single" w:sz="4" w:space="0" w:color="auto"/>
              <w:right w:val="single" w:sz="4" w:space="0" w:color="auto"/>
            </w:tcBorders>
            <w:vAlign w:val="center"/>
          </w:tcPr>
          <w:p w14:paraId="11FED70E" w14:textId="77777777" w:rsidR="00F05C23" w:rsidRPr="008864D9" w:rsidRDefault="00F05C23" w:rsidP="008C3318">
            <w:pPr>
              <w:tabs>
                <w:tab w:val="left" w:pos="2826"/>
              </w:tabs>
              <w:jc w:val="center"/>
              <w:rPr>
                <w:rFonts w:ascii="Arial" w:hAnsi="Arial" w:cs="Arial"/>
                <w:b/>
                <w:sz w:val="16"/>
                <w:szCs w:val="16"/>
              </w:rPr>
            </w:pPr>
            <w:r w:rsidRPr="008864D9">
              <w:rPr>
                <w:rFonts w:ascii="Arial" w:hAnsi="Arial" w:cs="Arial"/>
                <w:b/>
                <w:sz w:val="16"/>
                <w:szCs w:val="16"/>
              </w:rPr>
              <w:t>Not Hispanic or Latino</w:t>
            </w:r>
          </w:p>
        </w:tc>
        <w:tc>
          <w:tcPr>
            <w:tcW w:w="3658" w:type="dxa"/>
            <w:gridSpan w:val="2"/>
            <w:tcBorders>
              <w:top w:val="single" w:sz="4" w:space="0" w:color="auto"/>
              <w:left w:val="single" w:sz="4" w:space="0" w:color="auto"/>
              <w:bottom w:val="single" w:sz="4" w:space="0" w:color="auto"/>
              <w:right w:val="single" w:sz="4" w:space="0" w:color="auto"/>
            </w:tcBorders>
            <w:vAlign w:val="center"/>
          </w:tcPr>
          <w:p w14:paraId="788CDE0B" w14:textId="77777777" w:rsidR="00F05C23" w:rsidRPr="008864D9" w:rsidRDefault="00F05C23" w:rsidP="008C3318">
            <w:pPr>
              <w:tabs>
                <w:tab w:val="left" w:pos="2826"/>
              </w:tabs>
              <w:jc w:val="center"/>
              <w:rPr>
                <w:rFonts w:ascii="Arial" w:hAnsi="Arial" w:cs="Arial"/>
                <w:b/>
                <w:sz w:val="16"/>
                <w:szCs w:val="16"/>
              </w:rPr>
            </w:pPr>
            <w:r w:rsidRPr="008864D9">
              <w:rPr>
                <w:rFonts w:ascii="Arial" w:hAnsi="Arial" w:cs="Arial"/>
                <w:b/>
                <w:sz w:val="16"/>
                <w:szCs w:val="16"/>
              </w:rPr>
              <w:t>Hispanic or Latino</w:t>
            </w:r>
          </w:p>
        </w:tc>
        <w:tc>
          <w:tcPr>
            <w:tcW w:w="1830" w:type="dxa"/>
            <w:vMerge/>
            <w:tcBorders>
              <w:top w:val="single" w:sz="4" w:space="0" w:color="auto"/>
              <w:left w:val="single" w:sz="4" w:space="0" w:color="auto"/>
              <w:bottom w:val="single" w:sz="4" w:space="0" w:color="auto"/>
              <w:right w:val="single" w:sz="4" w:space="0" w:color="auto"/>
            </w:tcBorders>
            <w:vAlign w:val="center"/>
          </w:tcPr>
          <w:p w14:paraId="4F2F4168" w14:textId="77777777" w:rsidR="00F05C23" w:rsidRPr="008864D9" w:rsidRDefault="00F05C23" w:rsidP="008C3318">
            <w:pPr>
              <w:tabs>
                <w:tab w:val="left" w:pos="2826"/>
              </w:tabs>
              <w:jc w:val="center"/>
              <w:rPr>
                <w:rFonts w:ascii="Arial" w:hAnsi="Arial" w:cs="Arial"/>
                <w:sz w:val="16"/>
                <w:szCs w:val="16"/>
              </w:rPr>
            </w:pPr>
          </w:p>
        </w:tc>
      </w:tr>
      <w:tr w:rsidR="00F05C23" w:rsidRPr="008864D9" w14:paraId="52E76C4B" w14:textId="77777777" w:rsidTr="00F05C23">
        <w:trPr>
          <w:cantSplit/>
          <w:trHeight w:val="21"/>
          <w:tblHeader/>
          <w:jc w:val="center"/>
        </w:trPr>
        <w:tc>
          <w:tcPr>
            <w:tcW w:w="1829" w:type="dxa"/>
            <w:vMerge/>
            <w:tcBorders>
              <w:top w:val="single" w:sz="4" w:space="0" w:color="auto"/>
              <w:left w:val="single" w:sz="4" w:space="0" w:color="auto"/>
              <w:bottom w:val="single" w:sz="4" w:space="0" w:color="auto"/>
              <w:right w:val="single" w:sz="4" w:space="0" w:color="auto"/>
            </w:tcBorders>
            <w:vAlign w:val="center"/>
          </w:tcPr>
          <w:p w14:paraId="3EAD5788" w14:textId="77777777" w:rsidR="00F05C23" w:rsidRPr="008864D9" w:rsidRDefault="00F05C23" w:rsidP="008C3318">
            <w:pPr>
              <w:tabs>
                <w:tab w:val="left" w:pos="2826"/>
              </w:tabs>
              <w:jc w:val="center"/>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vAlign w:val="center"/>
          </w:tcPr>
          <w:p w14:paraId="1B03DD4B" w14:textId="77777777" w:rsidR="00F05C23" w:rsidRPr="008864D9" w:rsidRDefault="00F05C23" w:rsidP="008C3318">
            <w:pPr>
              <w:tabs>
                <w:tab w:val="left" w:pos="2826"/>
              </w:tabs>
              <w:jc w:val="center"/>
              <w:rPr>
                <w:rFonts w:ascii="Arial" w:hAnsi="Arial" w:cs="Arial"/>
                <w:b/>
                <w:sz w:val="16"/>
                <w:szCs w:val="16"/>
              </w:rPr>
            </w:pPr>
            <w:r w:rsidRPr="008864D9">
              <w:rPr>
                <w:rFonts w:ascii="Arial" w:hAnsi="Arial" w:cs="Arial"/>
                <w:b/>
                <w:sz w:val="16"/>
                <w:szCs w:val="16"/>
              </w:rPr>
              <w:t>Female</w:t>
            </w:r>
          </w:p>
        </w:tc>
        <w:tc>
          <w:tcPr>
            <w:tcW w:w="1829" w:type="dxa"/>
            <w:tcBorders>
              <w:top w:val="single" w:sz="4" w:space="0" w:color="auto"/>
              <w:left w:val="single" w:sz="4" w:space="0" w:color="auto"/>
              <w:bottom w:val="single" w:sz="4" w:space="0" w:color="auto"/>
              <w:right w:val="single" w:sz="4" w:space="0" w:color="auto"/>
            </w:tcBorders>
            <w:vAlign w:val="center"/>
          </w:tcPr>
          <w:p w14:paraId="7E4D3466" w14:textId="77777777" w:rsidR="00F05C23" w:rsidRPr="008864D9" w:rsidRDefault="00F05C23" w:rsidP="008C3318">
            <w:pPr>
              <w:tabs>
                <w:tab w:val="left" w:pos="2826"/>
              </w:tabs>
              <w:jc w:val="center"/>
              <w:rPr>
                <w:rFonts w:ascii="Arial" w:hAnsi="Arial" w:cs="Arial"/>
                <w:b/>
                <w:sz w:val="16"/>
                <w:szCs w:val="16"/>
              </w:rPr>
            </w:pPr>
            <w:r w:rsidRPr="008864D9">
              <w:rPr>
                <w:rFonts w:ascii="Arial" w:hAnsi="Arial" w:cs="Arial"/>
                <w:b/>
                <w:sz w:val="16"/>
                <w:szCs w:val="16"/>
              </w:rPr>
              <w:t>Male</w:t>
            </w:r>
          </w:p>
        </w:tc>
        <w:tc>
          <w:tcPr>
            <w:tcW w:w="1829" w:type="dxa"/>
            <w:tcBorders>
              <w:top w:val="single" w:sz="4" w:space="0" w:color="auto"/>
              <w:left w:val="single" w:sz="4" w:space="0" w:color="auto"/>
              <w:bottom w:val="single" w:sz="4" w:space="0" w:color="auto"/>
              <w:right w:val="single" w:sz="4" w:space="0" w:color="auto"/>
            </w:tcBorders>
            <w:vAlign w:val="center"/>
          </w:tcPr>
          <w:p w14:paraId="72E0290F" w14:textId="77777777" w:rsidR="00F05C23" w:rsidRPr="008864D9" w:rsidRDefault="00F05C23" w:rsidP="008C3318">
            <w:pPr>
              <w:tabs>
                <w:tab w:val="left" w:pos="2826"/>
              </w:tabs>
              <w:jc w:val="center"/>
              <w:rPr>
                <w:rFonts w:ascii="Arial" w:hAnsi="Arial" w:cs="Arial"/>
                <w:sz w:val="16"/>
                <w:szCs w:val="16"/>
              </w:rPr>
            </w:pPr>
            <w:r w:rsidRPr="008864D9">
              <w:rPr>
                <w:rFonts w:ascii="Arial" w:hAnsi="Arial" w:cs="Arial"/>
                <w:b/>
                <w:sz w:val="16"/>
                <w:szCs w:val="16"/>
              </w:rPr>
              <w:t>Female</w:t>
            </w:r>
          </w:p>
        </w:tc>
        <w:tc>
          <w:tcPr>
            <w:tcW w:w="1829" w:type="dxa"/>
            <w:tcBorders>
              <w:top w:val="single" w:sz="4" w:space="0" w:color="auto"/>
              <w:left w:val="single" w:sz="4" w:space="0" w:color="auto"/>
              <w:bottom w:val="single" w:sz="4" w:space="0" w:color="auto"/>
              <w:right w:val="single" w:sz="4" w:space="0" w:color="auto"/>
            </w:tcBorders>
            <w:vAlign w:val="center"/>
          </w:tcPr>
          <w:p w14:paraId="1C9415F8" w14:textId="77777777" w:rsidR="00F05C23" w:rsidRPr="008864D9" w:rsidRDefault="00F05C23" w:rsidP="008C3318">
            <w:pPr>
              <w:tabs>
                <w:tab w:val="left" w:pos="2826"/>
              </w:tabs>
              <w:jc w:val="center"/>
              <w:rPr>
                <w:rFonts w:ascii="Arial" w:hAnsi="Arial" w:cs="Arial"/>
                <w:sz w:val="16"/>
                <w:szCs w:val="16"/>
              </w:rPr>
            </w:pPr>
            <w:r w:rsidRPr="008864D9">
              <w:rPr>
                <w:rFonts w:ascii="Arial" w:hAnsi="Arial" w:cs="Arial"/>
                <w:b/>
                <w:sz w:val="16"/>
                <w:szCs w:val="16"/>
              </w:rPr>
              <w:t>Male</w:t>
            </w:r>
          </w:p>
        </w:tc>
        <w:tc>
          <w:tcPr>
            <w:tcW w:w="1830" w:type="dxa"/>
            <w:vMerge/>
            <w:tcBorders>
              <w:top w:val="single" w:sz="4" w:space="0" w:color="auto"/>
              <w:left w:val="single" w:sz="4" w:space="0" w:color="auto"/>
              <w:bottom w:val="single" w:sz="4" w:space="0" w:color="auto"/>
              <w:right w:val="single" w:sz="4" w:space="0" w:color="auto"/>
            </w:tcBorders>
            <w:vAlign w:val="center"/>
          </w:tcPr>
          <w:p w14:paraId="781B85C2" w14:textId="77777777" w:rsidR="00F05C23" w:rsidRPr="008864D9" w:rsidRDefault="00F05C23" w:rsidP="008C3318">
            <w:pPr>
              <w:tabs>
                <w:tab w:val="left" w:pos="2826"/>
              </w:tabs>
              <w:jc w:val="center"/>
              <w:rPr>
                <w:rFonts w:ascii="Arial" w:hAnsi="Arial" w:cs="Arial"/>
                <w:sz w:val="16"/>
                <w:szCs w:val="16"/>
              </w:rPr>
            </w:pPr>
          </w:p>
        </w:tc>
      </w:tr>
      <w:tr w:rsidR="00F05C23" w:rsidRPr="008864D9" w14:paraId="71E23B24" w14:textId="77777777" w:rsidTr="00F05C23">
        <w:trPr>
          <w:cantSplit/>
          <w:trHeight w:val="21"/>
          <w:jc w:val="center"/>
        </w:trPr>
        <w:tc>
          <w:tcPr>
            <w:tcW w:w="1829" w:type="dxa"/>
            <w:tcBorders>
              <w:top w:val="single" w:sz="4" w:space="0" w:color="auto"/>
              <w:left w:val="single" w:sz="4" w:space="0" w:color="auto"/>
              <w:bottom w:val="single" w:sz="4" w:space="0" w:color="auto"/>
              <w:right w:val="single" w:sz="4" w:space="0" w:color="auto"/>
            </w:tcBorders>
          </w:tcPr>
          <w:p w14:paraId="13326D2A" w14:textId="77777777" w:rsidR="00F05C23" w:rsidRPr="008864D9" w:rsidRDefault="00F05C23" w:rsidP="008C3318">
            <w:pPr>
              <w:tabs>
                <w:tab w:val="left" w:pos="2826"/>
              </w:tabs>
              <w:rPr>
                <w:rFonts w:ascii="Arial" w:hAnsi="Arial" w:cs="Arial"/>
                <w:sz w:val="16"/>
                <w:szCs w:val="16"/>
              </w:rPr>
            </w:pPr>
            <w:r w:rsidRPr="008864D9">
              <w:rPr>
                <w:rFonts w:ascii="Arial" w:hAnsi="Arial" w:cs="Arial"/>
                <w:sz w:val="16"/>
                <w:szCs w:val="16"/>
              </w:rPr>
              <w:t>American Indian/ Alaska Native</w:t>
            </w:r>
          </w:p>
        </w:tc>
        <w:tc>
          <w:tcPr>
            <w:tcW w:w="1829" w:type="dxa"/>
            <w:tcBorders>
              <w:top w:val="single" w:sz="4" w:space="0" w:color="auto"/>
              <w:left w:val="single" w:sz="4" w:space="0" w:color="auto"/>
              <w:bottom w:val="single" w:sz="4" w:space="0" w:color="auto"/>
              <w:right w:val="single" w:sz="4" w:space="0" w:color="auto"/>
            </w:tcBorders>
            <w:vAlign w:val="center"/>
          </w:tcPr>
          <w:p w14:paraId="109297A9" w14:textId="0DAE736B" w:rsidR="00F05C23" w:rsidRPr="008864D9" w:rsidRDefault="0084106D" w:rsidP="00F05C23">
            <w:pPr>
              <w:tabs>
                <w:tab w:val="left" w:pos="2826"/>
              </w:tabs>
              <w:jc w:val="center"/>
              <w:rPr>
                <w:rFonts w:ascii="Arial" w:hAnsi="Arial" w:cs="Arial"/>
                <w:sz w:val="16"/>
                <w:szCs w:val="16"/>
              </w:rPr>
            </w:pPr>
            <w:r>
              <w:rPr>
                <w:rFonts w:ascii="Arial" w:hAnsi="Arial" w:cs="Arial"/>
                <w:sz w:val="16"/>
                <w:szCs w:val="16"/>
              </w:rPr>
              <w:t>0</w:t>
            </w:r>
          </w:p>
        </w:tc>
        <w:tc>
          <w:tcPr>
            <w:tcW w:w="1829" w:type="dxa"/>
            <w:tcBorders>
              <w:top w:val="single" w:sz="4" w:space="0" w:color="auto"/>
              <w:left w:val="single" w:sz="4" w:space="0" w:color="auto"/>
              <w:bottom w:val="single" w:sz="4" w:space="0" w:color="auto"/>
              <w:right w:val="single" w:sz="4" w:space="0" w:color="auto"/>
            </w:tcBorders>
            <w:vAlign w:val="center"/>
          </w:tcPr>
          <w:p w14:paraId="62D0F919" w14:textId="788E8990" w:rsidR="00F05C23" w:rsidRPr="008864D9" w:rsidRDefault="0084106D" w:rsidP="00F05C23">
            <w:pPr>
              <w:tabs>
                <w:tab w:val="left" w:pos="2826"/>
              </w:tabs>
              <w:jc w:val="center"/>
              <w:rPr>
                <w:rFonts w:ascii="Arial" w:hAnsi="Arial" w:cs="Arial"/>
                <w:sz w:val="16"/>
                <w:szCs w:val="16"/>
              </w:rPr>
            </w:pPr>
            <w:r>
              <w:rPr>
                <w:rFonts w:ascii="Arial" w:hAnsi="Arial" w:cs="Arial"/>
                <w:sz w:val="16"/>
                <w:szCs w:val="16"/>
              </w:rPr>
              <w:t>0</w:t>
            </w:r>
          </w:p>
        </w:tc>
        <w:tc>
          <w:tcPr>
            <w:tcW w:w="1829" w:type="dxa"/>
            <w:tcBorders>
              <w:top w:val="single" w:sz="4" w:space="0" w:color="auto"/>
              <w:left w:val="single" w:sz="4" w:space="0" w:color="auto"/>
              <w:bottom w:val="single" w:sz="4" w:space="0" w:color="auto"/>
              <w:right w:val="single" w:sz="4" w:space="0" w:color="auto"/>
            </w:tcBorders>
            <w:vAlign w:val="center"/>
          </w:tcPr>
          <w:p w14:paraId="05F11199" w14:textId="0F405446" w:rsidR="00F05C23" w:rsidRPr="008864D9" w:rsidRDefault="0084106D" w:rsidP="00F05C23">
            <w:pPr>
              <w:tabs>
                <w:tab w:val="left" w:pos="2826"/>
              </w:tabs>
              <w:jc w:val="center"/>
              <w:rPr>
                <w:rFonts w:ascii="Arial" w:hAnsi="Arial" w:cs="Arial"/>
                <w:sz w:val="16"/>
                <w:szCs w:val="16"/>
              </w:rPr>
            </w:pPr>
            <w:r>
              <w:rPr>
                <w:rFonts w:ascii="Arial" w:hAnsi="Arial" w:cs="Arial"/>
                <w:sz w:val="16"/>
                <w:szCs w:val="16"/>
              </w:rPr>
              <w:t>0</w:t>
            </w:r>
          </w:p>
        </w:tc>
        <w:tc>
          <w:tcPr>
            <w:tcW w:w="1829" w:type="dxa"/>
            <w:tcBorders>
              <w:top w:val="single" w:sz="4" w:space="0" w:color="auto"/>
              <w:left w:val="single" w:sz="4" w:space="0" w:color="auto"/>
              <w:bottom w:val="single" w:sz="4" w:space="0" w:color="auto"/>
              <w:right w:val="single" w:sz="4" w:space="0" w:color="auto"/>
            </w:tcBorders>
            <w:vAlign w:val="center"/>
          </w:tcPr>
          <w:p w14:paraId="0C3CC213" w14:textId="31EDB7C1" w:rsidR="00F05C23" w:rsidRPr="008864D9" w:rsidRDefault="0084106D" w:rsidP="00F05C23">
            <w:pPr>
              <w:tabs>
                <w:tab w:val="left" w:pos="2826"/>
              </w:tabs>
              <w:jc w:val="center"/>
              <w:rPr>
                <w:rFonts w:ascii="Arial" w:hAnsi="Arial" w:cs="Arial"/>
                <w:sz w:val="16"/>
                <w:szCs w:val="16"/>
              </w:rPr>
            </w:pPr>
            <w:r>
              <w:rPr>
                <w:rFonts w:ascii="Arial" w:hAnsi="Arial" w:cs="Arial"/>
                <w:sz w:val="16"/>
                <w:szCs w:val="16"/>
              </w:rPr>
              <w:t>0</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EDFBD1" w14:textId="07AF350B" w:rsidR="00F05C23" w:rsidRPr="008864D9" w:rsidRDefault="0084106D" w:rsidP="00F05C23">
            <w:pPr>
              <w:tabs>
                <w:tab w:val="left" w:pos="2826"/>
              </w:tabs>
              <w:jc w:val="center"/>
              <w:rPr>
                <w:rFonts w:ascii="Arial" w:hAnsi="Arial" w:cs="Arial"/>
                <w:sz w:val="16"/>
                <w:szCs w:val="16"/>
              </w:rPr>
            </w:pPr>
            <w:r>
              <w:rPr>
                <w:rFonts w:ascii="Arial" w:hAnsi="Arial" w:cs="Arial"/>
                <w:sz w:val="16"/>
                <w:szCs w:val="16"/>
              </w:rPr>
              <w:t>0</w:t>
            </w:r>
          </w:p>
        </w:tc>
      </w:tr>
      <w:tr w:rsidR="00F05C23" w:rsidRPr="008864D9" w14:paraId="03F377D4" w14:textId="77777777" w:rsidTr="00F05C23">
        <w:trPr>
          <w:cantSplit/>
          <w:trHeight w:val="21"/>
          <w:jc w:val="center"/>
        </w:trPr>
        <w:tc>
          <w:tcPr>
            <w:tcW w:w="1829" w:type="dxa"/>
            <w:tcBorders>
              <w:top w:val="single" w:sz="4" w:space="0" w:color="auto"/>
              <w:left w:val="single" w:sz="4" w:space="0" w:color="auto"/>
              <w:bottom w:val="single" w:sz="4" w:space="0" w:color="auto"/>
              <w:right w:val="single" w:sz="4" w:space="0" w:color="auto"/>
            </w:tcBorders>
          </w:tcPr>
          <w:p w14:paraId="0F03D974" w14:textId="77777777" w:rsidR="00F05C23" w:rsidRPr="008864D9" w:rsidRDefault="00F05C23" w:rsidP="008C3318">
            <w:pPr>
              <w:tabs>
                <w:tab w:val="left" w:pos="2826"/>
              </w:tabs>
              <w:rPr>
                <w:rFonts w:ascii="Arial" w:hAnsi="Arial" w:cs="Arial"/>
                <w:sz w:val="16"/>
                <w:szCs w:val="16"/>
              </w:rPr>
            </w:pPr>
            <w:r w:rsidRPr="008864D9">
              <w:rPr>
                <w:rFonts w:ascii="Arial" w:hAnsi="Arial" w:cs="Arial"/>
                <w:sz w:val="16"/>
                <w:szCs w:val="16"/>
              </w:rPr>
              <w:t>Asian</w:t>
            </w:r>
          </w:p>
        </w:tc>
        <w:tc>
          <w:tcPr>
            <w:tcW w:w="1829" w:type="dxa"/>
            <w:tcBorders>
              <w:top w:val="single" w:sz="4" w:space="0" w:color="auto"/>
              <w:left w:val="single" w:sz="4" w:space="0" w:color="auto"/>
              <w:bottom w:val="single" w:sz="4" w:space="0" w:color="auto"/>
              <w:right w:val="single" w:sz="4" w:space="0" w:color="auto"/>
            </w:tcBorders>
            <w:vAlign w:val="center"/>
          </w:tcPr>
          <w:p w14:paraId="21B9F6E8" w14:textId="679296E0" w:rsidR="00F05C23" w:rsidRPr="008864D9" w:rsidRDefault="0084106D" w:rsidP="00F05C23">
            <w:pPr>
              <w:tabs>
                <w:tab w:val="left" w:pos="2826"/>
              </w:tabs>
              <w:jc w:val="center"/>
              <w:rPr>
                <w:rFonts w:ascii="Arial" w:hAnsi="Arial" w:cs="Arial"/>
                <w:sz w:val="16"/>
                <w:szCs w:val="16"/>
              </w:rPr>
            </w:pPr>
            <w:r>
              <w:rPr>
                <w:rFonts w:ascii="Arial" w:hAnsi="Arial" w:cs="Arial"/>
                <w:sz w:val="16"/>
                <w:szCs w:val="16"/>
              </w:rPr>
              <w:t>1</w:t>
            </w:r>
          </w:p>
        </w:tc>
        <w:tc>
          <w:tcPr>
            <w:tcW w:w="1829" w:type="dxa"/>
            <w:tcBorders>
              <w:top w:val="single" w:sz="4" w:space="0" w:color="auto"/>
              <w:left w:val="single" w:sz="4" w:space="0" w:color="auto"/>
              <w:bottom w:val="single" w:sz="4" w:space="0" w:color="auto"/>
              <w:right w:val="single" w:sz="4" w:space="0" w:color="auto"/>
            </w:tcBorders>
            <w:vAlign w:val="center"/>
          </w:tcPr>
          <w:p w14:paraId="7641EBDC" w14:textId="7DB2EBD5" w:rsidR="00F05C23" w:rsidRPr="008864D9" w:rsidRDefault="0084106D" w:rsidP="00F05C23">
            <w:pPr>
              <w:tabs>
                <w:tab w:val="left" w:pos="2826"/>
              </w:tabs>
              <w:jc w:val="center"/>
              <w:rPr>
                <w:rFonts w:ascii="Arial" w:hAnsi="Arial" w:cs="Arial"/>
                <w:sz w:val="16"/>
                <w:szCs w:val="16"/>
              </w:rPr>
            </w:pPr>
            <w:r>
              <w:rPr>
                <w:rFonts w:ascii="Arial" w:hAnsi="Arial" w:cs="Arial"/>
                <w:sz w:val="16"/>
                <w:szCs w:val="16"/>
              </w:rPr>
              <w:t>1</w:t>
            </w:r>
          </w:p>
        </w:tc>
        <w:tc>
          <w:tcPr>
            <w:tcW w:w="1829" w:type="dxa"/>
            <w:tcBorders>
              <w:top w:val="single" w:sz="4" w:space="0" w:color="auto"/>
              <w:left w:val="single" w:sz="4" w:space="0" w:color="auto"/>
              <w:bottom w:val="single" w:sz="4" w:space="0" w:color="auto"/>
              <w:right w:val="single" w:sz="4" w:space="0" w:color="auto"/>
            </w:tcBorders>
            <w:vAlign w:val="center"/>
          </w:tcPr>
          <w:p w14:paraId="5A023EFF" w14:textId="540E5020" w:rsidR="00F05C23" w:rsidRPr="008864D9" w:rsidRDefault="0084106D" w:rsidP="00F05C23">
            <w:pPr>
              <w:tabs>
                <w:tab w:val="left" w:pos="2826"/>
              </w:tabs>
              <w:jc w:val="center"/>
              <w:rPr>
                <w:rFonts w:ascii="Arial" w:hAnsi="Arial" w:cs="Arial"/>
                <w:sz w:val="16"/>
                <w:szCs w:val="16"/>
              </w:rPr>
            </w:pPr>
            <w:r>
              <w:rPr>
                <w:rFonts w:ascii="Arial" w:hAnsi="Arial" w:cs="Arial"/>
                <w:sz w:val="16"/>
                <w:szCs w:val="16"/>
              </w:rPr>
              <w:t>0</w:t>
            </w:r>
          </w:p>
        </w:tc>
        <w:tc>
          <w:tcPr>
            <w:tcW w:w="1829" w:type="dxa"/>
            <w:tcBorders>
              <w:top w:val="single" w:sz="4" w:space="0" w:color="auto"/>
              <w:left w:val="single" w:sz="4" w:space="0" w:color="auto"/>
              <w:bottom w:val="single" w:sz="4" w:space="0" w:color="auto"/>
              <w:right w:val="single" w:sz="4" w:space="0" w:color="auto"/>
            </w:tcBorders>
            <w:vAlign w:val="center"/>
          </w:tcPr>
          <w:p w14:paraId="2337A204" w14:textId="4424BE4E" w:rsidR="00F05C23" w:rsidRPr="008864D9" w:rsidRDefault="0084106D" w:rsidP="00F05C23">
            <w:pPr>
              <w:tabs>
                <w:tab w:val="left" w:pos="2826"/>
              </w:tabs>
              <w:jc w:val="center"/>
              <w:rPr>
                <w:rFonts w:ascii="Arial" w:hAnsi="Arial" w:cs="Arial"/>
                <w:sz w:val="16"/>
                <w:szCs w:val="16"/>
              </w:rPr>
            </w:pPr>
            <w:r>
              <w:rPr>
                <w:rFonts w:ascii="Arial" w:hAnsi="Arial" w:cs="Arial"/>
                <w:sz w:val="16"/>
                <w:szCs w:val="16"/>
              </w:rPr>
              <w:t>0</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4F4414" w14:textId="50A598A4" w:rsidR="00F05C23" w:rsidRPr="008864D9" w:rsidRDefault="0084106D" w:rsidP="00F05C23">
            <w:pPr>
              <w:tabs>
                <w:tab w:val="left" w:pos="2826"/>
              </w:tabs>
              <w:jc w:val="center"/>
              <w:rPr>
                <w:rFonts w:ascii="Arial" w:hAnsi="Arial" w:cs="Arial"/>
                <w:sz w:val="16"/>
                <w:szCs w:val="16"/>
              </w:rPr>
            </w:pPr>
            <w:r>
              <w:rPr>
                <w:rFonts w:ascii="Arial" w:hAnsi="Arial" w:cs="Arial"/>
                <w:sz w:val="16"/>
                <w:szCs w:val="16"/>
              </w:rPr>
              <w:t>2</w:t>
            </w:r>
          </w:p>
        </w:tc>
      </w:tr>
      <w:tr w:rsidR="00F05C23" w:rsidRPr="008864D9" w14:paraId="70923F75" w14:textId="77777777" w:rsidTr="00F05C23">
        <w:trPr>
          <w:cantSplit/>
          <w:trHeight w:val="21"/>
          <w:jc w:val="center"/>
        </w:trPr>
        <w:tc>
          <w:tcPr>
            <w:tcW w:w="1829" w:type="dxa"/>
            <w:tcBorders>
              <w:top w:val="single" w:sz="4" w:space="0" w:color="auto"/>
              <w:left w:val="single" w:sz="4" w:space="0" w:color="auto"/>
              <w:bottom w:val="single" w:sz="4" w:space="0" w:color="auto"/>
              <w:right w:val="single" w:sz="4" w:space="0" w:color="auto"/>
            </w:tcBorders>
          </w:tcPr>
          <w:p w14:paraId="2E48BB36" w14:textId="77777777" w:rsidR="00F05C23" w:rsidRPr="008864D9" w:rsidRDefault="00F05C23" w:rsidP="008C3318">
            <w:pPr>
              <w:tabs>
                <w:tab w:val="left" w:pos="2826"/>
              </w:tabs>
              <w:rPr>
                <w:rFonts w:ascii="Arial" w:hAnsi="Arial" w:cs="Arial"/>
                <w:sz w:val="16"/>
                <w:szCs w:val="16"/>
              </w:rPr>
            </w:pPr>
            <w:r w:rsidRPr="008864D9">
              <w:rPr>
                <w:rFonts w:ascii="Arial" w:hAnsi="Arial" w:cs="Arial"/>
                <w:sz w:val="16"/>
                <w:szCs w:val="16"/>
              </w:rPr>
              <w:t>Native Hawaiian or Other Pacific Islander</w:t>
            </w:r>
          </w:p>
        </w:tc>
        <w:tc>
          <w:tcPr>
            <w:tcW w:w="1829" w:type="dxa"/>
            <w:tcBorders>
              <w:top w:val="single" w:sz="4" w:space="0" w:color="auto"/>
              <w:left w:val="single" w:sz="4" w:space="0" w:color="auto"/>
              <w:bottom w:val="single" w:sz="4" w:space="0" w:color="auto"/>
              <w:right w:val="single" w:sz="4" w:space="0" w:color="auto"/>
            </w:tcBorders>
            <w:vAlign w:val="center"/>
          </w:tcPr>
          <w:p w14:paraId="3742CD20" w14:textId="7BDDB167" w:rsidR="00F05C23" w:rsidRPr="008864D9" w:rsidRDefault="0084106D" w:rsidP="00F05C23">
            <w:pPr>
              <w:tabs>
                <w:tab w:val="left" w:pos="2826"/>
              </w:tabs>
              <w:jc w:val="center"/>
              <w:rPr>
                <w:rFonts w:ascii="Arial" w:hAnsi="Arial" w:cs="Arial"/>
                <w:sz w:val="16"/>
                <w:szCs w:val="16"/>
              </w:rPr>
            </w:pPr>
            <w:r>
              <w:rPr>
                <w:rFonts w:ascii="Arial" w:hAnsi="Arial" w:cs="Arial"/>
                <w:sz w:val="16"/>
                <w:szCs w:val="16"/>
              </w:rPr>
              <w:t>0</w:t>
            </w:r>
          </w:p>
        </w:tc>
        <w:tc>
          <w:tcPr>
            <w:tcW w:w="1829" w:type="dxa"/>
            <w:tcBorders>
              <w:top w:val="single" w:sz="4" w:space="0" w:color="auto"/>
              <w:left w:val="single" w:sz="4" w:space="0" w:color="auto"/>
              <w:bottom w:val="single" w:sz="4" w:space="0" w:color="auto"/>
              <w:right w:val="single" w:sz="4" w:space="0" w:color="auto"/>
            </w:tcBorders>
            <w:vAlign w:val="center"/>
          </w:tcPr>
          <w:p w14:paraId="18C41B8B" w14:textId="02EBB6DB" w:rsidR="00F05C23" w:rsidRPr="008864D9" w:rsidRDefault="0084106D" w:rsidP="00F05C23">
            <w:pPr>
              <w:tabs>
                <w:tab w:val="left" w:pos="2826"/>
              </w:tabs>
              <w:jc w:val="center"/>
              <w:rPr>
                <w:rFonts w:ascii="Arial" w:hAnsi="Arial" w:cs="Arial"/>
                <w:sz w:val="16"/>
                <w:szCs w:val="16"/>
              </w:rPr>
            </w:pPr>
            <w:r>
              <w:rPr>
                <w:rFonts w:ascii="Arial" w:hAnsi="Arial" w:cs="Arial"/>
                <w:sz w:val="16"/>
                <w:szCs w:val="16"/>
              </w:rPr>
              <w:t>0</w:t>
            </w:r>
          </w:p>
        </w:tc>
        <w:tc>
          <w:tcPr>
            <w:tcW w:w="1829" w:type="dxa"/>
            <w:tcBorders>
              <w:top w:val="single" w:sz="4" w:space="0" w:color="auto"/>
              <w:left w:val="single" w:sz="4" w:space="0" w:color="auto"/>
              <w:bottom w:val="single" w:sz="4" w:space="0" w:color="auto"/>
              <w:right w:val="single" w:sz="4" w:space="0" w:color="auto"/>
            </w:tcBorders>
            <w:vAlign w:val="center"/>
          </w:tcPr>
          <w:p w14:paraId="366171F2" w14:textId="27D29B8B" w:rsidR="00F05C23" w:rsidRPr="008864D9" w:rsidRDefault="0084106D" w:rsidP="00F05C23">
            <w:pPr>
              <w:tabs>
                <w:tab w:val="left" w:pos="2826"/>
              </w:tabs>
              <w:jc w:val="center"/>
              <w:rPr>
                <w:rFonts w:ascii="Arial" w:hAnsi="Arial" w:cs="Arial"/>
                <w:sz w:val="16"/>
                <w:szCs w:val="16"/>
              </w:rPr>
            </w:pPr>
            <w:r>
              <w:rPr>
                <w:rFonts w:ascii="Arial" w:hAnsi="Arial" w:cs="Arial"/>
                <w:sz w:val="16"/>
                <w:szCs w:val="16"/>
              </w:rPr>
              <w:t>0</w:t>
            </w:r>
          </w:p>
        </w:tc>
        <w:tc>
          <w:tcPr>
            <w:tcW w:w="1829" w:type="dxa"/>
            <w:tcBorders>
              <w:top w:val="single" w:sz="4" w:space="0" w:color="auto"/>
              <w:left w:val="single" w:sz="4" w:space="0" w:color="auto"/>
              <w:bottom w:val="single" w:sz="4" w:space="0" w:color="auto"/>
              <w:right w:val="single" w:sz="4" w:space="0" w:color="auto"/>
            </w:tcBorders>
            <w:vAlign w:val="center"/>
          </w:tcPr>
          <w:p w14:paraId="535D3192" w14:textId="55A5EEE0" w:rsidR="00F05C23" w:rsidRPr="008864D9" w:rsidRDefault="0084106D" w:rsidP="00F05C23">
            <w:pPr>
              <w:tabs>
                <w:tab w:val="left" w:pos="2826"/>
              </w:tabs>
              <w:jc w:val="center"/>
              <w:rPr>
                <w:rFonts w:ascii="Arial" w:hAnsi="Arial" w:cs="Arial"/>
                <w:sz w:val="16"/>
                <w:szCs w:val="16"/>
              </w:rPr>
            </w:pPr>
            <w:r>
              <w:rPr>
                <w:rFonts w:ascii="Arial" w:hAnsi="Arial" w:cs="Arial"/>
                <w:sz w:val="16"/>
                <w:szCs w:val="16"/>
              </w:rPr>
              <w:t>0</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439404" w14:textId="59C9EDE0" w:rsidR="00F05C23" w:rsidRPr="008864D9" w:rsidRDefault="0084106D" w:rsidP="00F05C23">
            <w:pPr>
              <w:tabs>
                <w:tab w:val="left" w:pos="2826"/>
              </w:tabs>
              <w:jc w:val="center"/>
              <w:rPr>
                <w:rFonts w:ascii="Arial" w:hAnsi="Arial" w:cs="Arial"/>
                <w:sz w:val="16"/>
                <w:szCs w:val="16"/>
              </w:rPr>
            </w:pPr>
            <w:r>
              <w:rPr>
                <w:rFonts w:ascii="Arial" w:hAnsi="Arial" w:cs="Arial"/>
                <w:sz w:val="16"/>
                <w:szCs w:val="16"/>
              </w:rPr>
              <w:t>0</w:t>
            </w:r>
          </w:p>
        </w:tc>
      </w:tr>
      <w:tr w:rsidR="00F05C23" w:rsidRPr="008864D9" w14:paraId="1B91BF29" w14:textId="77777777" w:rsidTr="00F05C23">
        <w:trPr>
          <w:cantSplit/>
          <w:trHeight w:val="21"/>
          <w:jc w:val="center"/>
        </w:trPr>
        <w:tc>
          <w:tcPr>
            <w:tcW w:w="1829" w:type="dxa"/>
            <w:tcBorders>
              <w:top w:val="single" w:sz="4" w:space="0" w:color="auto"/>
              <w:left w:val="single" w:sz="4" w:space="0" w:color="auto"/>
              <w:bottom w:val="single" w:sz="4" w:space="0" w:color="auto"/>
              <w:right w:val="single" w:sz="4" w:space="0" w:color="auto"/>
            </w:tcBorders>
          </w:tcPr>
          <w:p w14:paraId="35995BD3" w14:textId="77777777" w:rsidR="00F05C23" w:rsidRPr="008864D9" w:rsidRDefault="00F05C23" w:rsidP="008C3318">
            <w:pPr>
              <w:tabs>
                <w:tab w:val="left" w:pos="2826"/>
              </w:tabs>
              <w:rPr>
                <w:rFonts w:ascii="Arial" w:hAnsi="Arial" w:cs="Arial"/>
                <w:sz w:val="16"/>
                <w:szCs w:val="16"/>
              </w:rPr>
            </w:pPr>
            <w:r w:rsidRPr="008864D9">
              <w:rPr>
                <w:rFonts w:ascii="Arial" w:hAnsi="Arial" w:cs="Arial"/>
                <w:sz w:val="16"/>
                <w:szCs w:val="16"/>
              </w:rPr>
              <w:t>Black or African American</w:t>
            </w:r>
          </w:p>
        </w:tc>
        <w:tc>
          <w:tcPr>
            <w:tcW w:w="1829" w:type="dxa"/>
            <w:tcBorders>
              <w:top w:val="single" w:sz="4" w:space="0" w:color="auto"/>
              <w:left w:val="single" w:sz="4" w:space="0" w:color="auto"/>
              <w:bottom w:val="single" w:sz="4" w:space="0" w:color="auto"/>
              <w:right w:val="single" w:sz="4" w:space="0" w:color="auto"/>
            </w:tcBorders>
            <w:vAlign w:val="center"/>
          </w:tcPr>
          <w:p w14:paraId="57646BEB" w14:textId="251D328F" w:rsidR="00F05C23" w:rsidRPr="008864D9" w:rsidRDefault="00DA0648" w:rsidP="00F05C23">
            <w:pPr>
              <w:tabs>
                <w:tab w:val="left" w:pos="2826"/>
              </w:tabs>
              <w:jc w:val="center"/>
              <w:rPr>
                <w:rFonts w:ascii="Arial" w:hAnsi="Arial" w:cs="Arial"/>
                <w:sz w:val="16"/>
                <w:szCs w:val="16"/>
              </w:rPr>
            </w:pPr>
            <w:r>
              <w:rPr>
                <w:rFonts w:ascii="Arial" w:hAnsi="Arial" w:cs="Arial"/>
                <w:sz w:val="16"/>
                <w:szCs w:val="16"/>
              </w:rPr>
              <w:t>1</w:t>
            </w:r>
          </w:p>
        </w:tc>
        <w:tc>
          <w:tcPr>
            <w:tcW w:w="1829" w:type="dxa"/>
            <w:tcBorders>
              <w:top w:val="single" w:sz="4" w:space="0" w:color="auto"/>
              <w:left w:val="single" w:sz="4" w:space="0" w:color="auto"/>
              <w:bottom w:val="single" w:sz="4" w:space="0" w:color="auto"/>
              <w:right w:val="single" w:sz="4" w:space="0" w:color="auto"/>
            </w:tcBorders>
            <w:vAlign w:val="center"/>
          </w:tcPr>
          <w:p w14:paraId="428CEE0A" w14:textId="6C294F3E" w:rsidR="00F05C23" w:rsidRPr="008864D9" w:rsidRDefault="00DA0648" w:rsidP="00F05C23">
            <w:pPr>
              <w:tabs>
                <w:tab w:val="left" w:pos="2826"/>
              </w:tabs>
              <w:jc w:val="center"/>
              <w:rPr>
                <w:rFonts w:ascii="Arial" w:hAnsi="Arial" w:cs="Arial"/>
                <w:sz w:val="16"/>
                <w:szCs w:val="16"/>
              </w:rPr>
            </w:pPr>
            <w:r>
              <w:rPr>
                <w:rFonts w:ascii="Arial" w:hAnsi="Arial" w:cs="Arial"/>
                <w:sz w:val="16"/>
                <w:szCs w:val="16"/>
              </w:rPr>
              <w:t>1</w:t>
            </w:r>
          </w:p>
        </w:tc>
        <w:tc>
          <w:tcPr>
            <w:tcW w:w="1829" w:type="dxa"/>
            <w:tcBorders>
              <w:top w:val="single" w:sz="4" w:space="0" w:color="auto"/>
              <w:left w:val="single" w:sz="4" w:space="0" w:color="auto"/>
              <w:bottom w:val="single" w:sz="4" w:space="0" w:color="auto"/>
              <w:right w:val="single" w:sz="4" w:space="0" w:color="auto"/>
            </w:tcBorders>
            <w:vAlign w:val="center"/>
          </w:tcPr>
          <w:p w14:paraId="3394BD0A" w14:textId="07D1FFAD" w:rsidR="00F05C23" w:rsidRPr="008864D9" w:rsidRDefault="00DA0648" w:rsidP="00F05C23">
            <w:pPr>
              <w:tabs>
                <w:tab w:val="left" w:pos="2826"/>
              </w:tabs>
              <w:jc w:val="center"/>
              <w:rPr>
                <w:rFonts w:ascii="Arial" w:hAnsi="Arial" w:cs="Arial"/>
                <w:sz w:val="16"/>
                <w:szCs w:val="16"/>
              </w:rPr>
            </w:pPr>
            <w:r>
              <w:rPr>
                <w:rFonts w:ascii="Arial" w:hAnsi="Arial" w:cs="Arial"/>
                <w:sz w:val="16"/>
                <w:szCs w:val="16"/>
              </w:rPr>
              <w:t>0</w:t>
            </w:r>
          </w:p>
        </w:tc>
        <w:tc>
          <w:tcPr>
            <w:tcW w:w="1829" w:type="dxa"/>
            <w:tcBorders>
              <w:top w:val="single" w:sz="4" w:space="0" w:color="auto"/>
              <w:left w:val="single" w:sz="4" w:space="0" w:color="auto"/>
              <w:bottom w:val="single" w:sz="4" w:space="0" w:color="auto"/>
              <w:right w:val="single" w:sz="4" w:space="0" w:color="auto"/>
            </w:tcBorders>
            <w:vAlign w:val="center"/>
          </w:tcPr>
          <w:p w14:paraId="6C250671" w14:textId="1E4A56F5" w:rsidR="00F05C23" w:rsidRPr="008864D9" w:rsidRDefault="00DA0648" w:rsidP="00F05C23">
            <w:pPr>
              <w:tabs>
                <w:tab w:val="left" w:pos="2826"/>
              </w:tabs>
              <w:jc w:val="center"/>
              <w:rPr>
                <w:rFonts w:ascii="Arial" w:hAnsi="Arial" w:cs="Arial"/>
                <w:sz w:val="16"/>
                <w:szCs w:val="16"/>
              </w:rPr>
            </w:pPr>
            <w:r>
              <w:rPr>
                <w:rFonts w:ascii="Arial" w:hAnsi="Arial" w:cs="Arial"/>
                <w:sz w:val="16"/>
                <w:szCs w:val="16"/>
              </w:rPr>
              <w:t>0</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7506C6" w14:textId="24F6B6F1" w:rsidR="00F05C23" w:rsidRPr="008864D9" w:rsidRDefault="00DA0648" w:rsidP="00F05C23">
            <w:pPr>
              <w:tabs>
                <w:tab w:val="left" w:pos="2826"/>
              </w:tabs>
              <w:jc w:val="center"/>
              <w:rPr>
                <w:rFonts w:ascii="Arial" w:hAnsi="Arial" w:cs="Arial"/>
                <w:sz w:val="16"/>
                <w:szCs w:val="16"/>
              </w:rPr>
            </w:pPr>
            <w:r>
              <w:rPr>
                <w:rFonts w:ascii="Arial" w:hAnsi="Arial" w:cs="Arial"/>
                <w:sz w:val="16"/>
                <w:szCs w:val="16"/>
              </w:rPr>
              <w:t>2</w:t>
            </w:r>
          </w:p>
        </w:tc>
      </w:tr>
      <w:tr w:rsidR="00F05C23" w:rsidRPr="008864D9" w14:paraId="142C63E1" w14:textId="77777777" w:rsidTr="00F05C23">
        <w:trPr>
          <w:cantSplit/>
          <w:trHeight w:val="21"/>
          <w:jc w:val="center"/>
        </w:trPr>
        <w:tc>
          <w:tcPr>
            <w:tcW w:w="1829" w:type="dxa"/>
            <w:tcBorders>
              <w:top w:val="single" w:sz="4" w:space="0" w:color="auto"/>
              <w:left w:val="single" w:sz="4" w:space="0" w:color="auto"/>
              <w:bottom w:val="single" w:sz="4" w:space="0" w:color="auto"/>
              <w:right w:val="single" w:sz="4" w:space="0" w:color="auto"/>
            </w:tcBorders>
          </w:tcPr>
          <w:p w14:paraId="415F4A95" w14:textId="77777777" w:rsidR="00F05C23" w:rsidRPr="008864D9" w:rsidRDefault="00F05C23" w:rsidP="008C3318">
            <w:pPr>
              <w:tabs>
                <w:tab w:val="left" w:pos="2826"/>
              </w:tabs>
              <w:rPr>
                <w:rFonts w:ascii="Arial" w:hAnsi="Arial" w:cs="Arial"/>
                <w:sz w:val="16"/>
                <w:szCs w:val="16"/>
              </w:rPr>
            </w:pPr>
            <w:r w:rsidRPr="008864D9">
              <w:rPr>
                <w:rFonts w:ascii="Arial" w:hAnsi="Arial" w:cs="Arial"/>
                <w:sz w:val="16"/>
                <w:szCs w:val="16"/>
              </w:rPr>
              <w:t>White</w:t>
            </w:r>
          </w:p>
        </w:tc>
        <w:tc>
          <w:tcPr>
            <w:tcW w:w="1829" w:type="dxa"/>
            <w:tcBorders>
              <w:top w:val="single" w:sz="4" w:space="0" w:color="auto"/>
              <w:left w:val="single" w:sz="4" w:space="0" w:color="auto"/>
              <w:bottom w:val="single" w:sz="4" w:space="0" w:color="auto"/>
              <w:right w:val="single" w:sz="4" w:space="0" w:color="auto"/>
            </w:tcBorders>
            <w:vAlign w:val="center"/>
          </w:tcPr>
          <w:p w14:paraId="7FBD02ED" w14:textId="60881522" w:rsidR="00F05C23" w:rsidRPr="008864D9" w:rsidRDefault="00DA0648" w:rsidP="00F05C23">
            <w:pPr>
              <w:tabs>
                <w:tab w:val="left" w:pos="2826"/>
              </w:tabs>
              <w:jc w:val="center"/>
              <w:rPr>
                <w:rFonts w:ascii="Arial" w:hAnsi="Arial" w:cs="Arial"/>
                <w:sz w:val="16"/>
                <w:szCs w:val="16"/>
              </w:rPr>
            </w:pPr>
            <w:r>
              <w:rPr>
                <w:rFonts w:ascii="Arial" w:hAnsi="Arial" w:cs="Arial"/>
                <w:sz w:val="16"/>
                <w:szCs w:val="16"/>
              </w:rPr>
              <w:t>7</w:t>
            </w:r>
          </w:p>
        </w:tc>
        <w:tc>
          <w:tcPr>
            <w:tcW w:w="1829" w:type="dxa"/>
            <w:tcBorders>
              <w:top w:val="single" w:sz="4" w:space="0" w:color="auto"/>
              <w:left w:val="single" w:sz="4" w:space="0" w:color="auto"/>
              <w:bottom w:val="single" w:sz="4" w:space="0" w:color="auto"/>
              <w:right w:val="single" w:sz="4" w:space="0" w:color="auto"/>
            </w:tcBorders>
            <w:vAlign w:val="center"/>
          </w:tcPr>
          <w:p w14:paraId="11264545" w14:textId="5F9FB655" w:rsidR="00F05C23" w:rsidRPr="008864D9" w:rsidRDefault="00DA0648" w:rsidP="00F05C23">
            <w:pPr>
              <w:tabs>
                <w:tab w:val="left" w:pos="2826"/>
              </w:tabs>
              <w:jc w:val="center"/>
              <w:rPr>
                <w:rFonts w:ascii="Arial" w:hAnsi="Arial" w:cs="Arial"/>
                <w:sz w:val="16"/>
                <w:szCs w:val="16"/>
              </w:rPr>
            </w:pPr>
            <w:r>
              <w:rPr>
                <w:rFonts w:ascii="Arial" w:hAnsi="Arial" w:cs="Arial"/>
                <w:sz w:val="16"/>
                <w:szCs w:val="16"/>
              </w:rPr>
              <w:t>9</w:t>
            </w:r>
          </w:p>
        </w:tc>
        <w:tc>
          <w:tcPr>
            <w:tcW w:w="1829" w:type="dxa"/>
            <w:tcBorders>
              <w:top w:val="single" w:sz="4" w:space="0" w:color="auto"/>
              <w:left w:val="single" w:sz="4" w:space="0" w:color="auto"/>
              <w:bottom w:val="single" w:sz="4" w:space="0" w:color="auto"/>
              <w:right w:val="single" w:sz="4" w:space="0" w:color="auto"/>
            </w:tcBorders>
            <w:vAlign w:val="center"/>
          </w:tcPr>
          <w:p w14:paraId="043C359F" w14:textId="0D22B3D2" w:rsidR="00F05C23" w:rsidRPr="008864D9" w:rsidRDefault="00DA0648" w:rsidP="00F05C23">
            <w:pPr>
              <w:tabs>
                <w:tab w:val="left" w:pos="2826"/>
              </w:tabs>
              <w:jc w:val="center"/>
              <w:rPr>
                <w:rFonts w:ascii="Arial" w:hAnsi="Arial" w:cs="Arial"/>
                <w:sz w:val="16"/>
                <w:szCs w:val="16"/>
              </w:rPr>
            </w:pPr>
            <w:r>
              <w:rPr>
                <w:rFonts w:ascii="Arial" w:hAnsi="Arial" w:cs="Arial"/>
                <w:sz w:val="16"/>
                <w:szCs w:val="16"/>
              </w:rPr>
              <w:t>3</w:t>
            </w:r>
          </w:p>
        </w:tc>
        <w:tc>
          <w:tcPr>
            <w:tcW w:w="1829" w:type="dxa"/>
            <w:tcBorders>
              <w:top w:val="single" w:sz="4" w:space="0" w:color="auto"/>
              <w:left w:val="single" w:sz="4" w:space="0" w:color="auto"/>
              <w:bottom w:val="single" w:sz="4" w:space="0" w:color="auto"/>
              <w:right w:val="single" w:sz="4" w:space="0" w:color="auto"/>
            </w:tcBorders>
            <w:vAlign w:val="center"/>
          </w:tcPr>
          <w:p w14:paraId="14E1C82A" w14:textId="07594A12" w:rsidR="00F05C23" w:rsidRPr="008864D9" w:rsidRDefault="00DA0648" w:rsidP="00F05C23">
            <w:pPr>
              <w:tabs>
                <w:tab w:val="left" w:pos="2826"/>
              </w:tabs>
              <w:jc w:val="center"/>
              <w:rPr>
                <w:rFonts w:ascii="Arial" w:hAnsi="Arial" w:cs="Arial"/>
                <w:sz w:val="16"/>
                <w:szCs w:val="16"/>
              </w:rPr>
            </w:pPr>
            <w:r>
              <w:rPr>
                <w:rFonts w:ascii="Arial" w:hAnsi="Arial" w:cs="Arial"/>
                <w:sz w:val="16"/>
                <w:szCs w:val="16"/>
              </w:rPr>
              <w:t>5</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C8BDF6" w14:textId="211EC0C3" w:rsidR="00F05C23" w:rsidRPr="008864D9" w:rsidRDefault="00DA0648" w:rsidP="00F05C23">
            <w:pPr>
              <w:tabs>
                <w:tab w:val="left" w:pos="2826"/>
              </w:tabs>
              <w:jc w:val="center"/>
              <w:rPr>
                <w:rFonts w:ascii="Arial" w:hAnsi="Arial" w:cs="Arial"/>
                <w:sz w:val="16"/>
                <w:szCs w:val="16"/>
              </w:rPr>
            </w:pPr>
            <w:r>
              <w:rPr>
                <w:rFonts w:ascii="Arial" w:hAnsi="Arial" w:cs="Arial"/>
                <w:sz w:val="16"/>
                <w:szCs w:val="16"/>
              </w:rPr>
              <w:t>24</w:t>
            </w:r>
          </w:p>
        </w:tc>
      </w:tr>
      <w:tr w:rsidR="00F05C23" w:rsidRPr="008864D9" w14:paraId="28C485FD" w14:textId="77777777" w:rsidTr="00F05C23">
        <w:trPr>
          <w:cantSplit/>
          <w:trHeight w:val="21"/>
          <w:jc w:val="center"/>
        </w:trPr>
        <w:tc>
          <w:tcPr>
            <w:tcW w:w="1829" w:type="dxa"/>
            <w:tcBorders>
              <w:top w:val="single" w:sz="4" w:space="0" w:color="auto"/>
              <w:left w:val="single" w:sz="4" w:space="0" w:color="auto"/>
              <w:bottom w:val="single" w:sz="4" w:space="0" w:color="auto"/>
              <w:right w:val="single" w:sz="4" w:space="0" w:color="auto"/>
            </w:tcBorders>
          </w:tcPr>
          <w:p w14:paraId="06007C98" w14:textId="77777777" w:rsidR="00F05C23" w:rsidRPr="008864D9" w:rsidRDefault="00F05C23" w:rsidP="008C3318">
            <w:pPr>
              <w:tabs>
                <w:tab w:val="left" w:pos="2826"/>
              </w:tabs>
              <w:rPr>
                <w:rFonts w:ascii="Arial" w:hAnsi="Arial" w:cs="Arial"/>
                <w:sz w:val="16"/>
                <w:szCs w:val="16"/>
              </w:rPr>
            </w:pPr>
            <w:r w:rsidRPr="008864D9">
              <w:rPr>
                <w:rFonts w:ascii="Arial" w:hAnsi="Arial" w:cs="Arial"/>
                <w:sz w:val="16"/>
                <w:szCs w:val="16"/>
              </w:rPr>
              <w:t>More Than One Race</w:t>
            </w:r>
          </w:p>
        </w:tc>
        <w:tc>
          <w:tcPr>
            <w:tcW w:w="1829" w:type="dxa"/>
            <w:tcBorders>
              <w:top w:val="single" w:sz="4" w:space="0" w:color="auto"/>
              <w:left w:val="single" w:sz="4" w:space="0" w:color="auto"/>
              <w:bottom w:val="single" w:sz="4" w:space="0" w:color="auto"/>
              <w:right w:val="single" w:sz="4" w:space="0" w:color="auto"/>
            </w:tcBorders>
            <w:vAlign w:val="center"/>
          </w:tcPr>
          <w:p w14:paraId="5BB87C21" w14:textId="77777777" w:rsidR="00F05C23" w:rsidRPr="008864D9" w:rsidRDefault="00F05C23" w:rsidP="00F05C23">
            <w:pPr>
              <w:tabs>
                <w:tab w:val="left" w:pos="2826"/>
              </w:tabs>
              <w:jc w:val="center"/>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vAlign w:val="center"/>
          </w:tcPr>
          <w:p w14:paraId="4F7EDE92" w14:textId="77777777" w:rsidR="00F05C23" w:rsidRPr="008864D9" w:rsidRDefault="00F05C23" w:rsidP="00F05C23">
            <w:pPr>
              <w:tabs>
                <w:tab w:val="left" w:pos="2826"/>
              </w:tabs>
              <w:jc w:val="center"/>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vAlign w:val="center"/>
          </w:tcPr>
          <w:p w14:paraId="512D660C" w14:textId="77777777" w:rsidR="00F05C23" w:rsidRPr="008864D9" w:rsidRDefault="00F05C23" w:rsidP="00F05C23">
            <w:pPr>
              <w:tabs>
                <w:tab w:val="left" w:pos="2826"/>
              </w:tabs>
              <w:jc w:val="center"/>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vAlign w:val="center"/>
          </w:tcPr>
          <w:p w14:paraId="55B0C07C" w14:textId="77777777" w:rsidR="00F05C23" w:rsidRPr="008864D9" w:rsidRDefault="00F05C23" w:rsidP="00F05C23">
            <w:pPr>
              <w:tabs>
                <w:tab w:val="left" w:pos="2826"/>
              </w:tabs>
              <w:jc w:val="center"/>
              <w:rPr>
                <w:rFonts w:ascii="Arial" w:hAnsi="Arial" w:cs="Arial"/>
                <w:sz w:val="16"/>
                <w:szCs w:val="16"/>
              </w:rPr>
            </w:pP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D544FD" w14:textId="0151F397" w:rsidR="00F05C23" w:rsidRPr="008864D9" w:rsidRDefault="00FA450B" w:rsidP="00F05C23">
            <w:pPr>
              <w:tabs>
                <w:tab w:val="left" w:pos="2826"/>
              </w:tabs>
              <w:jc w:val="center"/>
              <w:rPr>
                <w:rFonts w:ascii="Arial" w:hAnsi="Arial" w:cs="Arial"/>
                <w:sz w:val="16"/>
                <w:szCs w:val="16"/>
              </w:rPr>
            </w:pPr>
            <w:r>
              <w:rPr>
                <w:rFonts w:ascii="Arial" w:hAnsi="Arial" w:cs="Arial"/>
                <w:sz w:val="16"/>
                <w:szCs w:val="16"/>
              </w:rPr>
              <w:t>0</w:t>
            </w:r>
          </w:p>
        </w:tc>
      </w:tr>
      <w:tr w:rsidR="00F05C23" w:rsidRPr="008864D9" w14:paraId="23B957B4" w14:textId="77777777" w:rsidTr="00F05C23">
        <w:trPr>
          <w:cantSplit/>
          <w:trHeight w:val="21"/>
          <w:jc w:val="center"/>
        </w:trPr>
        <w:tc>
          <w:tcPr>
            <w:tcW w:w="1829" w:type="dxa"/>
            <w:tcBorders>
              <w:top w:val="single" w:sz="4" w:space="0" w:color="auto"/>
              <w:left w:val="single" w:sz="4" w:space="0" w:color="auto"/>
              <w:bottom w:val="single" w:sz="4" w:space="0" w:color="auto"/>
              <w:right w:val="single" w:sz="4" w:space="0" w:color="auto"/>
            </w:tcBorders>
          </w:tcPr>
          <w:p w14:paraId="1654F9ED" w14:textId="77777777" w:rsidR="00F05C23" w:rsidRPr="008864D9" w:rsidRDefault="00F05C23" w:rsidP="008C3318">
            <w:pPr>
              <w:tabs>
                <w:tab w:val="left" w:pos="2826"/>
              </w:tabs>
              <w:rPr>
                <w:rFonts w:ascii="Arial" w:hAnsi="Arial" w:cs="Arial"/>
                <w:b/>
                <w:sz w:val="16"/>
                <w:szCs w:val="16"/>
              </w:rPr>
            </w:pPr>
            <w:r w:rsidRPr="008864D9">
              <w:rPr>
                <w:rFonts w:ascii="Arial" w:hAnsi="Arial" w:cs="Arial"/>
                <w:b/>
                <w:sz w:val="16"/>
                <w:szCs w:val="16"/>
              </w:rPr>
              <w:t>Total</w:t>
            </w:r>
          </w:p>
        </w:tc>
        <w:tc>
          <w:tcPr>
            <w:tcW w:w="18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04C9B8" w14:textId="57164A72" w:rsidR="00F05C23" w:rsidRPr="008864D9" w:rsidRDefault="00FA450B" w:rsidP="00F05C23">
            <w:pPr>
              <w:tabs>
                <w:tab w:val="left" w:pos="2826"/>
              </w:tabs>
              <w:jc w:val="center"/>
              <w:rPr>
                <w:rFonts w:ascii="Arial" w:hAnsi="Arial" w:cs="Arial"/>
                <w:sz w:val="16"/>
                <w:szCs w:val="16"/>
              </w:rPr>
            </w:pPr>
            <w:r>
              <w:rPr>
                <w:rFonts w:ascii="Arial" w:hAnsi="Arial" w:cs="Arial"/>
                <w:sz w:val="16"/>
                <w:szCs w:val="16"/>
              </w:rPr>
              <w:t>9</w:t>
            </w:r>
          </w:p>
        </w:tc>
        <w:tc>
          <w:tcPr>
            <w:tcW w:w="18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BB82C4" w14:textId="744A1CFC" w:rsidR="00F05C23" w:rsidRPr="008864D9" w:rsidRDefault="00FA450B" w:rsidP="00F05C23">
            <w:pPr>
              <w:tabs>
                <w:tab w:val="left" w:pos="2826"/>
              </w:tabs>
              <w:jc w:val="center"/>
              <w:rPr>
                <w:rFonts w:ascii="Arial" w:hAnsi="Arial" w:cs="Arial"/>
                <w:sz w:val="16"/>
                <w:szCs w:val="16"/>
              </w:rPr>
            </w:pPr>
            <w:r>
              <w:rPr>
                <w:rFonts w:ascii="Arial" w:hAnsi="Arial" w:cs="Arial"/>
                <w:sz w:val="16"/>
                <w:szCs w:val="16"/>
              </w:rPr>
              <w:t>11</w:t>
            </w:r>
          </w:p>
        </w:tc>
        <w:tc>
          <w:tcPr>
            <w:tcW w:w="18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947AC3" w14:textId="5A46EF73" w:rsidR="00F05C23" w:rsidRPr="008864D9" w:rsidRDefault="00FA450B" w:rsidP="00F05C23">
            <w:pPr>
              <w:tabs>
                <w:tab w:val="left" w:pos="2826"/>
              </w:tabs>
              <w:jc w:val="center"/>
              <w:rPr>
                <w:rFonts w:ascii="Arial" w:hAnsi="Arial" w:cs="Arial"/>
                <w:sz w:val="16"/>
                <w:szCs w:val="16"/>
              </w:rPr>
            </w:pPr>
            <w:r>
              <w:rPr>
                <w:rFonts w:ascii="Arial" w:hAnsi="Arial" w:cs="Arial"/>
                <w:sz w:val="16"/>
                <w:szCs w:val="16"/>
              </w:rPr>
              <w:t>3</w:t>
            </w:r>
          </w:p>
        </w:tc>
        <w:tc>
          <w:tcPr>
            <w:tcW w:w="18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365159" w14:textId="6E5CEB03" w:rsidR="00F05C23" w:rsidRPr="008864D9" w:rsidRDefault="00FA450B" w:rsidP="00F05C23">
            <w:pPr>
              <w:tabs>
                <w:tab w:val="left" w:pos="2826"/>
              </w:tabs>
              <w:jc w:val="center"/>
              <w:rPr>
                <w:rFonts w:ascii="Arial" w:hAnsi="Arial" w:cs="Arial"/>
                <w:sz w:val="16"/>
                <w:szCs w:val="16"/>
              </w:rPr>
            </w:pPr>
            <w:r>
              <w:rPr>
                <w:rFonts w:ascii="Arial" w:hAnsi="Arial" w:cs="Arial"/>
                <w:sz w:val="16"/>
                <w:szCs w:val="16"/>
              </w:rPr>
              <w:t>5</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DB9A40" w14:textId="0AFAEB01" w:rsidR="00F05C23" w:rsidRPr="008864D9" w:rsidRDefault="00FA450B" w:rsidP="00F05C23">
            <w:pPr>
              <w:tabs>
                <w:tab w:val="left" w:pos="2826"/>
              </w:tabs>
              <w:jc w:val="center"/>
              <w:rPr>
                <w:rFonts w:ascii="Arial" w:hAnsi="Arial" w:cs="Arial"/>
                <w:sz w:val="16"/>
                <w:szCs w:val="16"/>
              </w:rPr>
            </w:pPr>
            <w:r>
              <w:rPr>
                <w:rFonts w:ascii="Arial" w:hAnsi="Arial" w:cs="Arial"/>
                <w:sz w:val="16"/>
                <w:szCs w:val="16"/>
              </w:rPr>
              <w:t>28</w:t>
            </w:r>
          </w:p>
        </w:tc>
      </w:tr>
    </w:tbl>
    <w:p w14:paraId="18664EB0" w14:textId="77777777" w:rsidR="00F05C23" w:rsidRDefault="00F05C23" w:rsidP="00F05C23">
      <w:pPr>
        <w:rPr>
          <w:rFonts w:ascii="Arial" w:hAnsi="Arial" w:cs="Arial"/>
          <w:sz w:val="16"/>
        </w:rPr>
      </w:pPr>
    </w:p>
    <w:p w14:paraId="507FD21F" w14:textId="77777777" w:rsidR="00751AB6" w:rsidRPr="008864D9" w:rsidRDefault="00751AB6" w:rsidP="00F05C23">
      <w:pPr>
        <w:rPr>
          <w:rFonts w:ascii="Arial" w:hAnsi="Arial" w:cs="Arial"/>
          <w:sz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f International Planned Enrollment Reports"/>
        <w:tblDescription w:val="This is a table for investigators to enter the planned number of international subjects broken down into race, ethnicity and gender."/>
      </w:tblPr>
      <w:tblGrid>
        <w:gridCol w:w="1637"/>
        <w:gridCol w:w="1570"/>
        <w:gridCol w:w="1522"/>
        <w:gridCol w:w="1570"/>
        <w:gridCol w:w="1522"/>
        <w:gridCol w:w="1529"/>
      </w:tblGrid>
      <w:tr w:rsidR="00F05C23" w:rsidRPr="008864D9" w14:paraId="28DB843B" w14:textId="77777777" w:rsidTr="00F05C23">
        <w:trPr>
          <w:cantSplit/>
          <w:trHeight w:val="206"/>
          <w:tblHeader/>
          <w:jc w:val="center"/>
        </w:trPr>
        <w:tc>
          <w:tcPr>
            <w:tcW w:w="10975" w:type="dxa"/>
            <w:gridSpan w:val="6"/>
            <w:tcBorders>
              <w:top w:val="single" w:sz="4" w:space="0" w:color="auto"/>
              <w:left w:val="single" w:sz="4" w:space="0" w:color="auto"/>
              <w:bottom w:val="single" w:sz="4" w:space="0" w:color="auto"/>
              <w:right w:val="single" w:sz="4" w:space="0" w:color="auto"/>
            </w:tcBorders>
          </w:tcPr>
          <w:p w14:paraId="27E5758E" w14:textId="77777777" w:rsidR="00F05C23" w:rsidRPr="008864D9" w:rsidRDefault="00F05C23" w:rsidP="008C3318">
            <w:pPr>
              <w:tabs>
                <w:tab w:val="left" w:pos="2826"/>
              </w:tabs>
              <w:jc w:val="center"/>
              <w:rPr>
                <w:rFonts w:ascii="Arial" w:hAnsi="Arial" w:cs="Arial"/>
                <w:sz w:val="16"/>
                <w:szCs w:val="16"/>
              </w:rPr>
            </w:pPr>
            <w:r w:rsidRPr="008864D9">
              <w:rPr>
                <w:rFonts w:ascii="Arial" w:hAnsi="Arial" w:cs="Arial"/>
                <w:b/>
                <w:bCs/>
                <w:iCs/>
                <w:sz w:val="16"/>
                <w:szCs w:val="16"/>
                <w:u w:val="single"/>
              </w:rPr>
              <w:t>INTERNATIONAL</w:t>
            </w:r>
            <w:r w:rsidRPr="008864D9">
              <w:rPr>
                <w:rFonts w:ascii="Arial" w:hAnsi="Arial" w:cs="Arial"/>
                <w:b/>
                <w:bCs/>
                <w:iCs/>
                <w:sz w:val="16"/>
                <w:szCs w:val="16"/>
              </w:rPr>
              <w:t xml:space="preserve"> (including Canadian participants) PLANNED ENROLLMENT REPORT (TREATMENT)</w:t>
            </w:r>
          </w:p>
        </w:tc>
      </w:tr>
      <w:tr w:rsidR="00F05C23" w:rsidRPr="008864D9" w14:paraId="26EABAFC" w14:textId="77777777" w:rsidTr="00F05C23">
        <w:trPr>
          <w:cantSplit/>
          <w:trHeight w:val="28"/>
          <w:tblHeader/>
          <w:jc w:val="center"/>
        </w:trPr>
        <w:tc>
          <w:tcPr>
            <w:tcW w:w="1829" w:type="dxa"/>
            <w:vMerge w:val="restart"/>
            <w:tcBorders>
              <w:top w:val="single" w:sz="4" w:space="0" w:color="auto"/>
              <w:left w:val="single" w:sz="4" w:space="0" w:color="auto"/>
              <w:bottom w:val="single" w:sz="4" w:space="0" w:color="auto"/>
              <w:right w:val="single" w:sz="4" w:space="0" w:color="auto"/>
            </w:tcBorders>
            <w:vAlign w:val="center"/>
          </w:tcPr>
          <w:p w14:paraId="086C9564" w14:textId="77777777" w:rsidR="00F05C23" w:rsidRPr="008864D9" w:rsidRDefault="00F05C23" w:rsidP="008C3318">
            <w:pPr>
              <w:tabs>
                <w:tab w:val="left" w:pos="2826"/>
              </w:tabs>
              <w:jc w:val="center"/>
              <w:rPr>
                <w:rFonts w:ascii="Arial" w:hAnsi="Arial" w:cs="Arial"/>
                <w:b/>
                <w:sz w:val="16"/>
                <w:szCs w:val="16"/>
              </w:rPr>
            </w:pPr>
            <w:r w:rsidRPr="008864D9">
              <w:rPr>
                <w:rFonts w:ascii="Arial" w:hAnsi="Arial" w:cs="Arial"/>
                <w:b/>
                <w:sz w:val="16"/>
                <w:szCs w:val="16"/>
              </w:rPr>
              <w:t>Racial Categories</w:t>
            </w:r>
          </w:p>
        </w:tc>
        <w:tc>
          <w:tcPr>
            <w:tcW w:w="7316" w:type="dxa"/>
            <w:gridSpan w:val="4"/>
            <w:tcBorders>
              <w:top w:val="single" w:sz="4" w:space="0" w:color="auto"/>
              <w:left w:val="single" w:sz="4" w:space="0" w:color="auto"/>
              <w:bottom w:val="single" w:sz="4" w:space="0" w:color="auto"/>
              <w:right w:val="single" w:sz="4" w:space="0" w:color="auto"/>
            </w:tcBorders>
            <w:vAlign w:val="center"/>
          </w:tcPr>
          <w:p w14:paraId="48ABDB85" w14:textId="77777777" w:rsidR="00F05C23" w:rsidRPr="008864D9" w:rsidRDefault="00F05C23" w:rsidP="008C3318">
            <w:pPr>
              <w:tabs>
                <w:tab w:val="left" w:pos="2826"/>
              </w:tabs>
              <w:jc w:val="center"/>
              <w:rPr>
                <w:rFonts w:ascii="Arial" w:hAnsi="Arial" w:cs="Arial"/>
                <w:b/>
                <w:sz w:val="16"/>
                <w:szCs w:val="16"/>
              </w:rPr>
            </w:pPr>
            <w:r w:rsidRPr="008864D9">
              <w:rPr>
                <w:rFonts w:ascii="Arial" w:hAnsi="Arial" w:cs="Arial"/>
                <w:b/>
                <w:sz w:val="16"/>
                <w:szCs w:val="16"/>
              </w:rPr>
              <w:t>Ethnic Categories</w:t>
            </w:r>
          </w:p>
        </w:tc>
        <w:tc>
          <w:tcPr>
            <w:tcW w:w="1830" w:type="dxa"/>
            <w:vMerge w:val="restart"/>
            <w:tcBorders>
              <w:top w:val="single" w:sz="4" w:space="0" w:color="auto"/>
              <w:left w:val="single" w:sz="4" w:space="0" w:color="auto"/>
              <w:bottom w:val="single" w:sz="4" w:space="0" w:color="auto"/>
              <w:right w:val="single" w:sz="4" w:space="0" w:color="auto"/>
            </w:tcBorders>
            <w:vAlign w:val="center"/>
          </w:tcPr>
          <w:p w14:paraId="04114E05" w14:textId="77777777" w:rsidR="00F05C23" w:rsidRPr="008864D9" w:rsidRDefault="00F05C23" w:rsidP="008C3318">
            <w:pPr>
              <w:tabs>
                <w:tab w:val="left" w:pos="2826"/>
              </w:tabs>
              <w:jc w:val="center"/>
              <w:rPr>
                <w:rFonts w:ascii="Arial" w:hAnsi="Arial" w:cs="Arial"/>
                <w:b/>
                <w:sz w:val="16"/>
                <w:szCs w:val="16"/>
              </w:rPr>
            </w:pPr>
            <w:r w:rsidRPr="008864D9">
              <w:rPr>
                <w:rFonts w:ascii="Arial" w:hAnsi="Arial" w:cs="Arial"/>
                <w:b/>
                <w:sz w:val="16"/>
                <w:szCs w:val="16"/>
              </w:rPr>
              <w:t>Total</w:t>
            </w:r>
          </w:p>
        </w:tc>
      </w:tr>
      <w:tr w:rsidR="00F05C23" w:rsidRPr="008864D9" w14:paraId="2839784F" w14:textId="77777777" w:rsidTr="00F05C23">
        <w:trPr>
          <w:cantSplit/>
          <w:trHeight w:val="21"/>
          <w:tblHeader/>
          <w:jc w:val="center"/>
        </w:trPr>
        <w:tc>
          <w:tcPr>
            <w:tcW w:w="1829" w:type="dxa"/>
            <w:vMerge/>
            <w:tcBorders>
              <w:top w:val="single" w:sz="4" w:space="0" w:color="auto"/>
              <w:left w:val="single" w:sz="4" w:space="0" w:color="auto"/>
              <w:bottom w:val="single" w:sz="4" w:space="0" w:color="auto"/>
              <w:right w:val="single" w:sz="4" w:space="0" w:color="auto"/>
            </w:tcBorders>
            <w:vAlign w:val="center"/>
          </w:tcPr>
          <w:p w14:paraId="16140C9F" w14:textId="77777777" w:rsidR="00F05C23" w:rsidRPr="008864D9" w:rsidRDefault="00F05C23" w:rsidP="008C3318">
            <w:pPr>
              <w:tabs>
                <w:tab w:val="left" w:pos="2826"/>
              </w:tabs>
              <w:jc w:val="center"/>
              <w:rPr>
                <w:rFonts w:ascii="Arial" w:hAnsi="Arial" w:cs="Arial"/>
                <w:b/>
                <w:sz w:val="16"/>
                <w:szCs w:val="16"/>
              </w:rPr>
            </w:pPr>
          </w:p>
        </w:tc>
        <w:tc>
          <w:tcPr>
            <w:tcW w:w="3658" w:type="dxa"/>
            <w:gridSpan w:val="2"/>
            <w:tcBorders>
              <w:top w:val="single" w:sz="4" w:space="0" w:color="auto"/>
              <w:left w:val="single" w:sz="4" w:space="0" w:color="auto"/>
              <w:bottom w:val="single" w:sz="4" w:space="0" w:color="auto"/>
              <w:right w:val="single" w:sz="4" w:space="0" w:color="auto"/>
            </w:tcBorders>
            <w:vAlign w:val="center"/>
          </w:tcPr>
          <w:p w14:paraId="1A34F6A6" w14:textId="77777777" w:rsidR="00F05C23" w:rsidRPr="008864D9" w:rsidRDefault="00F05C23" w:rsidP="008C3318">
            <w:pPr>
              <w:tabs>
                <w:tab w:val="left" w:pos="2826"/>
              </w:tabs>
              <w:jc w:val="center"/>
              <w:rPr>
                <w:rFonts w:ascii="Arial" w:hAnsi="Arial" w:cs="Arial"/>
                <w:b/>
                <w:sz w:val="16"/>
                <w:szCs w:val="16"/>
              </w:rPr>
            </w:pPr>
            <w:r w:rsidRPr="008864D9">
              <w:rPr>
                <w:rFonts w:ascii="Arial" w:hAnsi="Arial" w:cs="Arial"/>
                <w:b/>
                <w:sz w:val="16"/>
                <w:szCs w:val="16"/>
              </w:rPr>
              <w:t>Not Hispanic or Latino</w:t>
            </w:r>
          </w:p>
        </w:tc>
        <w:tc>
          <w:tcPr>
            <w:tcW w:w="3658" w:type="dxa"/>
            <w:gridSpan w:val="2"/>
            <w:tcBorders>
              <w:top w:val="single" w:sz="4" w:space="0" w:color="auto"/>
              <w:left w:val="single" w:sz="4" w:space="0" w:color="auto"/>
              <w:bottom w:val="single" w:sz="4" w:space="0" w:color="auto"/>
              <w:right w:val="single" w:sz="4" w:space="0" w:color="auto"/>
            </w:tcBorders>
            <w:vAlign w:val="center"/>
          </w:tcPr>
          <w:p w14:paraId="7CE6EB55" w14:textId="77777777" w:rsidR="00F05C23" w:rsidRPr="008864D9" w:rsidRDefault="00F05C23" w:rsidP="008C3318">
            <w:pPr>
              <w:tabs>
                <w:tab w:val="left" w:pos="2826"/>
              </w:tabs>
              <w:jc w:val="center"/>
              <w:rPr>
                <w:rFonts w:ascii="Arial" w:hAnsi="Arial" w:cs="Arial"/>
                <w:b/>
                <w:sz w:val="16"/>
                <w:szCs w:val="16"/>
              </w:rPr>
            </w:pPr>
            <w:r w:rsidRPr="008864D9">
              <w:rPr>
                <w:rFonts w:ascii="Arial" w:hAnsi="Arial" w:cs="Arial"/>
                <w:b/>
                <w:sz w:val="16"/>
                <w:szCs w:val="16"/>
              </w:rPr>
              <w:t>Hispanic or Latino</w:t>
            </w:r>
          </w:p>
        </w:tc>
        <w:tc>
          <w:tcPr>
            <w:tcW w:w="1830" w:type="dxa"/>
            <w:vMerge/>
            <w:tcBorders>
              <w:top w:val="single" w:sz="4" w:space="0" w:color="auto"/>
              <w:left w:val="single" w:sz="4" w:space="0" w:color="auto"/>
              <w:bottom w:val="single" w:sz="4" w:space="0" w:color="auto"/>
              <w:right w:val="single" w:sz="4" w:space="0" w:color="auto"/>
            </w:tcBorders>
            <w:vAlign w:val="center"/>
          </w:tcPr>
          <w:p w14:paraId="41DF2273" w14:textId="77777777" w:rsidR="00F05C23" w:rsidRPr="008864D9" w:rsidRDefault="00F05C23" w:rsidP="008C3318">
            <w:pPr>
              <w:tabs>
                <w:tab w:val="left" w:pos="2826"/>
              </w:tabs>
              <w:jc w:val="center"/>
              <w:rPr>
                <w:rFonts w:ascii="Arial" w:hAnsi="Arial" w:cs="Arial"/>
                <w:sz w:val="16"/>
                <w:szCs w:val="16"/>
              </w:rPr>
            </w:pPr>
          </w:p>
        </w:tc>
      </w:tr>
      <w:tr w:rsidR="00F05C23" w:rsidRPr="008864D9" w14:paraId="00327273" w14:textId="77777777" w:rsidTr="00F05C23">
        <w:trPr>
          <w:cantSplit/>
          <w:trHeight w:val="21"/>
          <w:tblHeader/>
          <w:jc w:val="center"/>
        </w:trPr>
        <w:tc>
          <w:tcPr>
            <w:tcW w:w="1829" w:type="dxa"/>
            <w:vMerge/>
            <w:tcBorders>
              <w:top w:val="single" w:sz="4" w:space="0" w:color="auto"/>
              <w:left w:val="single" w:sz="4" w:space="0" w:color="auto"/>
              <w:bottom w:val="single" w:sz="4" w:space="0" w:color="auto"/>
              <w:right w:val="single" w:sz="4" w:space="0" w:color="auto"/>
            </w:tcBorders>
            <w:vAlign w:val="center"/>
          </w:tcPr>
          <w:p w14:paraId="3FC94312" w14:textId="77777777" w:rsidR="00F05C23" w:rsidRPr="008864D9" w:rsidRDefault="00F05C23" w:rsidP="008C3318">
            <w:pPr>
              <w:tabs>
                <w:tab w:val="left" w:pos="2826"/>
              </w:tabs>
              <w:jc w:val="center"/>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vAlign w:val="center"/>
          </w:tcPr>
          <w:p w14:paraId="271ED13F" w14:textId="77777777" w:rsidR="00F05C23" w:rsidRPr="008864D9" w:rsidRDefault="00F05C23" w:rsidP="008C3318">
            <w:pPr>
              <w:tabs>
                <w:tab w:val="left" w:pos="2826"/>
              </w:tabs>
              <w:jc w:val="center"/>
              <w:rPr>
                <w:rFonts w:ascii="Arial" w:hAnsi="Arial" w:cs="Arial"/>
                <w:b/>
                <w:sz w:val="16"/>
                <w:szCs w:val="16"/>
              </w:rPr>
            </w:pPr>
            <w:r w:rsidRPr="008864D9">
              <w:rPr>
                <w:rFonts w:ascii="Arial" w:hAnsi="Arial" w:cs="Arial"/>
                <w:b/>
                <w:sz w:val="16"/>
                <w:szCs w:val="16"/>
              </w:rPr>
              <w:t>Female</w:t>
            </w:r>
          </w:p>
        </w:tc>
        <w:tc>
          <w:tcPr>
            <w:tcW w:w="1829" w:type="dxa"/>
            <w:tcBorders>
              <w:top w:val="single" w:sz="4" w:space="0" w:color="auto"/>
              <w:left w:val="single" w:sz="4" w:space="0" w:color="auto"/>
              <w:bottom w:val="single" w:sz="4" w:space="0" w:color="auto"/>
              <w:right w:val="single" w:sz="4" w:space="0" w:color="auto"/>
            </w:tcBorders>
            <w:vAlign w:val="center"/>
          </w:tcPr>
          <w:p w14:paraId="644E3135" w14:textId="77777777" w:rsidR="00F05C23" w:rsidRPr="008864D9" w:rsidRDefault="00F05C23" w:rsidP="008C3318">
            <w:pPr>
              <w:tabs>
                <w:tab w:val="left" w:pos="2826"/>
              </w:tabs>
              <w:jc w:val="center"/>
              <w:rPr>
                <w:rFonts w:ascii="Arial" w:hAnsi="Arial" w:cs="Arial"/>
                <w:b/>
                <w:sz w:val="16"/>
                <w:szCs w:val="16"/>
              </w:rPr>
            </w:pPr>
            <w:r w:rsidRPr="008864D9">
              <w:rPr>
                <w:rFonts w:ascii="Arial" w:hAnsi="Arial" w:cs="Arial"/>
                <w:b/>
                <w:sz w:val="16"/>
                <w:szCs w:val="16"/>
              </w:rPr>
              <w:t>Male</w:t>
            </w:r>
          </w:p>
        </w:tc>
        <w:tc>
          <w:tcPr>
            <w:tcW w:w="1829" w:type="dxa"/>
            <w:tcBorders>
              <w:top w:val="single" w:sz="4" w:space="0" w:color="auto"/>
              <w:left w:val="single" w:sz="4" w:space="0" w:color="auto"/>
              <w:bottom w:val="single" w:sz="4" w:space="0" w:color="auto"/>
              <w:right w:val="single" w:sz="4" w:space="0" w:color="auto"/>
            </w:tcBorders>
            <w:vAlign w:val="center"/>
          </w:tcPr>
          <w:p w14:paraId="26C2977F" w14:textId="77777777" w:rsidR="00F05C23" w:rsidRPr="008864D9" w:rsidRDefault="00F05C23" w:rsidP="008C3318">
            <w:pPr>
              <w:tabs>
                <w:tab w:val="left" w:pos="2826"/>
              </w:tabs>
              <w:jc w:val="center"/>
              <w:rPr>
                <w:rFonts w:ascii="Arial" w:hAnsi="Arial" w:cs="Arial"/>
                <w:sz w:val="16"/>
                <w:szCs w:val="16"/>
              </w:rPr>
            </w:pPr>
            <w:r w:rsidRPr="008864D9">
              <w:rPr>
                <w:rFonts w:ascii="Arial" w:hAnsi="Arial" w:cs="Arial"/>
                <w:b/>
                <w:sz w:val="16"/>
                <w:szCs w:val="16"/>
              </w:rPr>
              <w:t>Female</w:t>
            </w:r>
          </w:p>
        </w:tc>
        <w:tc>
          <w:tcPr>
            <w:tcW w:w="1829" w:type="dxa"/>
            <w:tcBorders>
              <w:top w:val="single" w:sz="4" w:space="0" w:color="auto"/>
              <w:left w:val="single" w:sz="4" w:space="0" w:color="auto"/>
              <w:bottom w:val="single" w:sz="4" w:space="0" w:color="auto"/>
              <w:right w:val="single" w:sz="4" w:space="0" w:color="auto"/>
            </w:tcBorders>
            <w:vAlign w:val="center"/>
          </w:tcPr>
          <w:p w14:paraId="123AA36E" w14:textId="77777777" w:rsidR="00F05C23" w:rsidRPr="008864D9" w:rsidRDefault="00F05C23" w:rsidP="008C3318">
            <w:pPr>
              <w:tabs>
                <w:tab w:val="left" w:pos="2826"/>
              </w:tabs>
              <w:jc w:val="center"/>
              <w:rPr>
                <w:rFonts w:ascii="Arial" w:hAnsi="Arial" w:cs="Arial"/>
                <w:sz w:val="16"/>
                <w:szCs w:val="16"/>
              </w:rPr>
            </w:pPr>
            <w:r w:rsidRPr="008864D9">
              <w:rPr>
                <w:rFonts w:ascii="Arial" w:hAnsi="Arial" w:cs="Arial"/>
                <w:b/>
                <w:sz w:val="16"/>
                <w:szCs w:val="16"/>
              </w:rPr>
              <w:t>Male</w:t>
            </w:r>
          </w:p>
        </w:tc>
        <w:tc>
          <w:tcPr>
            <w:tcW w:w="1830" w:type="dxa"/>
            <w:vMerge/>
            <w:tcBorders>
              <w:top w:val="single" w:sz="4" w:space="0" w:color="auto"/>
              <w:left w:val="single" w:sz="4" w:space="0" w:color="auto"/>
              <w:bottom w:val="single" w:sz="4" w:space="0" w:color="auto"/>
              <w:right w:val="single" w:sz="4" w:space="0" w:color="auto"/>
            </w:tcBorders>
            <w:vAlign w:val="center"/>
          </w:tcPr>
          <w:p w14:paraId="6E9C6097" w14:textId="77777777" w:rsidR="00F05C23" w:rsidRPr="008864D9" w:rsidRDefault="00F05C23" w:rsidP="008C3318">
            <w:pPr>
              <w:tabs>
                <w:tab w:val="left" w:pos="2826"/>
              </w:tabs>
              <w:jc w:val="center"/>
              <w:rPr>
                <w:rFonts w:ascii="Arial" w:hAnsi="Arial" w:cs="Arial"/>
                <w:sz w:val="16"/>
                <w:szCs w:val="16"/>
              </w:rPr>
            </w:pPr>
          </w:p>
        </w:tc>
      </w:tr>
      <w:tr w:rsidR="00F05C23" w:rsidRPr="008864D9" w14:paraId="2E19337B" w14:textId="77777777" w:rsidTr="00F05C23">
        <w:trPr>
          <w:cantSplit/>
          <w:trHeight w:val="21"/>
          <w:jc w:val="center"/>
        </w:trPr>
        <w:tc>
          <w:tcPr>
            <w:tcW w:w="1829" w:type="dxa"/>
            <w:tcBorders>
              <w:top w:val="single" w:sz="4" w:space="0" w:color="auto"/>
              <w:left w:val="single" w:sz="4" w:space="0" w:color="auto"/>
              <w:bottom w:val="single" w:sz="4" w:space="0" w:color="auto"/>
              <w:right w:val="single" w:sz="4" w:space="0" w:color="auto"/>
            </w:tcBorders>
          </w:tcPr>
          <w:p w14:paraId="2A5D6757" w14:textId="77777777" w:rsidR="00F05C23" w:rsidRPr="008864D9" w:rsidRDefault="00F05C23" w:rsidP="008C3318">
            <w:pPr>
              <w:tabs>
                <w:tab w:val="left" w:pos="2826"/>
              </w:tabs>
              <w:rPr>
                <w:rFonts w:ascii="Arial" w:hAnsi="Arial" w:cs="Arial"/>
                <w:sz w:val="16"/>
                <w:szCs w:val="16"/>
              </w:rPr>
            </w:pPr>
            <w:r w:rsidRPr="008864D9">
              <w:rPr>
                <w:rFonts w:ascii="Arial" w:hAnsi="Arial" w:cs="Arial"/>
                <w:sz w:val="16"/>
                <w:szCs w:val="16"/>
              </w:rPr>
              <w:t>American Indian/ Alaska Native</w:t>
            </w:r>
          </w:p>
        </w:tc>
        <w:tc>
          <w:tcPr>
            <w:tcW w:w="1829" w:type="dxa"/>
            <w:tcBorders>
              <w:top w:val="single" w:sz="4" w:space="0" w:color="auto"/>
              <w:left w:val="single" w:sz="4" w:space="0" w:color="auto"/>
              <w:bottom w:val="single" w:sz="4" w:space="0" w:color="auto"/>
              <w:right w:val="single" w:sz="4" w:space="0" w:color="auto"/>
            </w:tcBorders>
            <w:vAlign w:val="center"/>
          </w:tcPr>
          <w:p w14:paraId="5C524BF9" w14:textId="56BFF33A" w:rsidR="00F05C23" w:rsidRPr="008864D9" w:rsidRDefault="00AA1D95" w:rsidP="00F05C23">
            <w:pPr>
              <w:tabs>
                <w:tab w:val="left" w:pos="2826"/>
              </w:tabs>
              <w:jc w:val="center"/>
              <w:rPr>
                <w:rFonts w:ascii="Arial" w:hAnsi="Arial" w:cs="Arial"/>
                <w:sz w:val="16"/>
                <w:szCs w:val="16"/>
              </w:rPr>
            </w:pPr>
            <w:r>
              <w:rPr>
                <w:rFonts w:ascii="Arial" w:hAnsi="Arial" w:cs="Arial"/>
                <w:sz w:val="16"/>
                <w:szCs w:val="16"/>
              </w:rPr>
              <w:t>0</w:t>
            </w:r>
          </w:p>
        </w:tc>
        <w:tc>
          <w:tcPr>
            <w:tcW w:w="1829" w:type="dxa"/>
            <w:tcBorders>
              <w:top w:val="single" w:sz="4" w:space="0" w:color="auto"/>
              <w:left w:val="single" w:sz="4" w:space="0" w:color="auto"/>
              <w:bottom w:val="single" w:sz="4" w:space="0" w:color="auto"/>
              <w:right w:val="single" w:sz="4" w:space="0" w:color="auto"/>
            </w:tcBorders>
            <w:vAlign w:val="center"/>
          </w:tcPr>
          <w:p w14:paraId="5C396FBD" w14:textId="28EAADBC" w:rsidR="00F05C23" w:rsidRPr="008864D9" w:rsidRDefault="00AA1D95" w:rsidP="00F05C23">
            <w:pPr>
              <w:tabs>
                <w:tab w:val="left" w:pos="2826"/>
              </w:tabs>
              <w:jc w:val="center"/>
              <w:rPr>
                <w:rFonts w:ascii="Arial" w:hAnsi="Arial" w:cs="Arial"/>
                <w:sz w:val="16"/>
                <w:szCs w:val="16"/>
              </w:rPr>
            </w:pPr>
            <w:r>
              <w:rPr>
                <w:rFonts w:ascii="Arial" w:hAnsi="Arial" w:cs="Arial"/>
                <w:sz w:val="16"/>
                <w:szCs w:val="16"/>
              </w:rPr>
              <w:t>0</w:t>
            </w:r>
          </w:p>
        </w:tc>
        <w:tc>
          <w:tcPr>
            <w:tcW w:w="1829" w:type="dxa"/>
            <w:tcBorders>
              <w:top w:val="single" w:sz="4" w:space="0" w:color="auto"/>
              <w:left w:val="single" w:sz="4" w:space="0" w:color="auto"/>
              <w:bottom w:val="single" w:sz="4" w:space="0" w:color="auto"/>
              <w:right w:val="single" w:sz="4" w:space="0" w:color="auto"/>
            </w:tcBorders>
            <w:vAlign w:val="center"/>
          </w:tcPr>
          <w:p w14:paraId="22808F29" w14:textId="49FC6B70" w:rsidR="00F05C23" w:rsidRPr="008864D9" w:rsidRDefault="0084106D" w:rsidP="00F05C23">
            <w:pPr>
              <w:tabs>
                <w:tab w:val="left" w:pos="2826"/>
              </w:tabs>
              <w:jc w:val="center"/>
              <w:rPr>
                <w:rFonts w:ascii="Arial" w:hAnsi="Arial" w:cs="Arial"/>
                <w:sz w:val="16"/>
                <w:szCs w:val="16"/>
              </w:rPr>
            </w:pPr>
            <w:r>
              <w:rPr>
                <w:rFonts w:ascii="Arial" w:hAnsi="Arial" w:cs="Arial"/>
                <w:sz w:val="16"/>
                <w:szCs w:val="16"/>
              </w:rPr>
              <w:t>0</w:t>
            </w:r>
          </w:p>
        </w:tc>
        <w:tc>
          <w:tcPr>
            <w:tcW w:w="1829" w:type="dxa"/>
            <w:tcBorders>
              <w:top w:val="single" w:sz="4" w:space="0" w:color="auto"/>
              <w:left w:val="single" w:sz="4" w:space="0" w:color="auto"/>
              <w:bottom w:val="single" w:sz="4" w:space="0" w:color="auto"/>
              <w:right w:val="single" w:sz="4" w:space="0" w:color="auto"/>
            </w:tcBorders>
            <w:vAlign w:val="center"/>
          </w:tcPr>
          <w:p w14:paraId="3900E825" w14:textId="46BCEC0B" w:rsidR="00F05C23" w:rsidRPr="008864D9" w:rsidRDefault="0084106D" w:rsidP="00F05C23">
            <w:pPr>
              <w:tabs>
                <w:tab w:val="left" w:pos="2826"/>
              </w:tabs>
              <w:jc w:val="center"/>
              <w:rPr>
                <w:rFonts w:ascii="Arial" w:hAnsi="Arial" w:cs="Arial"/>
                <w:sz w:val="16"/>
                <w:szCs w:val="16"/>
              </w:rPr>
            </w:pPr>
            <w:r>
              <w:rPr>
                <w:rFonts w:ascii="Arial" w:hAnsi="Arial" w:cs="Arial"/>
                <w:sz w:val="16"/>
                <w:szCs w:val="16"/>
              </w:rPr>
              <w:t>0</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D69B85" w14:textId="58B84068" w:rsidR="00F05C23" w:rsidRPr="008864D9" w:rsidRDefault="0084106D" w:rsidP="00F05C23">
            <w:pPr>
              <w:tabs>
                <w:tab w:val="left" w:pos="2826"/>
              </w:tabs>
              <w:jc w:val="center"/>
              <w:rPr>
                <w:rFonts w:ascii="Arial" w:hAnsi="Arial" w:cs="Arial"/>
                <w:sz w:val="16"/>
                <w:szCs w:val="16"/>
              </w:rPr>
            </w:pPr>
            <w:r>
              <w:rPr>
                <w:rFonts w:ascii="Arial" w:hAnsi="Arial" w:cs="Arial"/>
                <w:sz w:val="16"/>
                <w:szCs w:val="16"/>
              </w:rPr>
              <w:t>0</w:t>
            </w:r>
          </w:p>
        </w:tc>
      </w:tr>
      <w:tr w:rsidR="00F05C23" w:rsidRPr="008864D9" w14:paraId="2FAAD0FB" w14:textId="77777777" w:rsidTr="00F05C23">
        <w:trPr>
          <w:cantSplit/>
          <w:trHeight w:val="21"/>
          <w:jc w:val="center"/>
        </w:trPr>
        <w:tc>
          <w:tcPr>
            <w:tcW w:w="1829" w:type="dxa"/>
            <w:tcBorders>
              <w:top w:val="single" w:sz="4" w:space="0" w:color="auto"/>
              <w:left w:val="single" w:sz="4" w:space="0" w:color="auto"/>
              <w:bottom w:val="single" w:sz="4" w:space="0" w:color="auto"/>
              <w:right w:val="single" w:sz="4" w:space="0" w:color="auto"/>
            </w:tcBorders>
          </w:tcPr>
          <w:p w14:paraId="17D8BA65" w14:textId="77777777" w:rsidR="00F05C23" w:rsidRPr="008864D9" w:rsidRDefault="00F05C23" w:rsidP="008C3318">
            <w:pPr>
              <w:tabs>
                <w:tab w:val="left" w:pos="2826"/>
              </w:tabs>
              <w:rPr>
                <w:rFonts w:ascii="Arial" w:hAnsi="Arial" w:cs="Arial"/>
                <w:sz w:val="16"/>
                <w:szCs w:val="16"/>
              </w:rPr>
            </w:pPr>
            <w:r w:rsidRPr="008864D9">
              <w:rPr>
                <w:rFonts w:ascii="Arial" w:hAnsi="Arial" w:cs="Arial"/>
                <w:sz w:val="16"/>
                <w:szCs w:val="16"/>
              </w:rPr>
              <w:t>Asian</w:t>
            </w:r>
          </w:p>
        </w:tc>
        <w:tc>
          <w:tcPr>
            <w:tcW w:w="1829" w:type="dxa"/>
            <w:tcBorders>
              <w:top w:val="single" w:sz="4" w:space="0" w:color="auto"/>
              <w:left w:val="single" w:sz="4" w:space="0" w:color="auto"/>
              <w:bottom w:val="single" w:sz="4" w:space="0" w:color="auto"/>
              <w:right w:val="single" w:sz="4" w:space="0" w:color="auto"/>
            </w:tcBorders>
            <w:vAlign w:val="center"/>
          </w:tcPr>
          <w:p w14:paraId="70737DD2" w14:textId="1CE2CE04" w:rsidR="00F05C23" w:rsidRPr="008864D9" w:rsidRDefault="00AA1D95" w:rsidP="00F05C23">
            <w:pPr>
              <w:tabs>
                <w:tab w:val="left" w:pos="2826"/>
              </w:tabs>
              <w:jc w:val="center"/>
              <w:rPr>
                <w:rFonts w:ascii="Arial" w:hAnsi="Arial" w:cs="Arial"/>
                <w:sz w:val="16"/>
                <w:szCs w:val="16"/>
              </w:rPr>
            </w:pPr>
            <w:r>
              <w:rPr>
                <w:rFonts w:ascii="Arial" w:hAnsi="Arial" w:cs="Arial"/>
                <w:sz w:val="16"/>
                <w:szCs w:val="16"/>
              </w:rPr>
              <w:t>0</w:t>
            </w:r>
          </w:p>
        </w:tc>
        <w:tc>
          <w:tcPr>
            <w:tcW w:w="1829" w:type="dxa"/>
            <w:tcBorders>
              <w:top w:val="single" w:sz="4" w:space="0" w:color="auto"/>
              <w:left w:val="single" w:sz="4" w:space="0" w:color="auto"/>
              <w:bottom w:val="single" w:sz="4" w:space="0" w:color="auto"/>
              <w:right w:val="single" w:sz="4" w:space="0" w:color="auto"/>
            </w:tcBorders>
            <w:vAlign w:val="center"/>
          </w:tcPr>
          <w:p w14:paraId="19AEC5EC" w14:textId="4E17CE94" w:rsidR="00F05C23" w:rsidRPr="008864D9" w:rsidRDefault="00AA1D95" w:rsidP="00F05C23">
            <w:pPr>
              <w:tabs>
                <w:tab w:val="left" w:pos="2826"/>
              </w:tabs>
              <w:jc w:val="center"/>
              <w:rPr>
                <w:rFonts w:ascii="Arial" w:hAnsi="Arial" w:cs="Arial"/>
                <w:sz w:val="16"/>
                <w:szCs w:val="16"/>
              </w:rPr>
            </w:pPr>
            <w:r>
              <w:rPr>
                <w:rFonts w:ascii="Arial" w:hAnsi="Arial" w:cs="Arial"/>
                <w:sz w:val="16"/>
                <w:szCs w:val="16"/>
              </w:rPr>
              <w:t>0</w:t>
            </w:r>
          </w:p>
        </w:tc>
        <w:tc>
          <w:tcPr>
            <w:tcW w:w="1829" w:type="dxa"/>
            <w:tcBorders>
              <w:top w:val="single" w:sz="4" w:space="0" w:color="auto"/>
              <w:left w:val="single" w:sz="4" w:space="0" w:color="auto"/>
              <w:bottom w:val="single" w:sz="4" w:space="0" w:color="auto"/>
              <w:right w:val="single" w:sz="4" w:space="0" w:color="auto"/>
            </w:tcBorders>
            <w:vAlign w:val="center"/>
          </w:tcPr>
          <w:p w14:paraId="60EBA01C" w14:textId="73B2827F" w:rsidR="00F05C23" w:rsidRPr="008864D9" w:rsidRDefault="0084106D" w:rsidP="00F05C23">
            <w:pPr>
              <w:tabs>
                <w:tab w:val="left" w:pos="2826"/>
              </w:tabs>
              <w:jc w:val="center"/>
              <w:rPr>
                <w:rFonts w:ascii="Arial" w:hAnsi="Arial" w:cs="Arial"/>
                <w:sz w:val="16"/>
                <w:szCs w:val="16"/>
              </w:rPr>
            </w:pPr>
            <w:r>
              <w:rPr>
                <w:rFonts w:ascii="Arial" w:hAnsi="Arial" w:cs="Arial"/>
                <w:sz w:val="16"/>
                <w:szCs w:val="16"/>
              </w:rPr>
              <w:t>0</w:t>
            </w:r>
          </w:p>
        </w:tc>
        <w:tc>
          <w:tcPr>
            <w:tcW w:w="1829" w:type="dxa"/>
            <w:tcBorders>
              <w:top w:val="single" w:sz="4" w:space="0" w:color="auto"/>
              <w:left w:val="single" w:sz="4" w:space="0" w:color="auto"/>
              <w:bottom w:val="single" w:sz="4" w:space="0" w:color="auto"/>
              <w:right w:val="single" w:sz="4" w:space="0" w:color="auto"/>
            </w:tcBorders>
            <w:vAlign w:val="center"/>
          </w:tcPr>
          <w:p w14:paraId="4A6A46E9" w14:textId="04C64E77" w:rsidR="00F05C23" w:rsidRPr="008864D9" w:rsidRDefault="0084106D" w:rsidP="00F05C23">
            <w:pPr>
              <w:tabs>
                <w:tab w:val="left" w:pos="2826"/>
              </w:tabs>
              <w:jc w:val="center"/>
              <w:rPr>
                <w:rFonts w:ascii="Arial" w:hAnsi="Arial" w:cs="Arial"/>
                <w:sz w:val="16"/>
                <w:szCs w:val="16"/>
              </w:rPr>
            </w:pPr>
            <w:r>
              <w:rPr>
                <w:rFonts w:ascii="Arial" w:hAnsi="Arial" w:cs="Arial"/>
                <w:sz w:val="16"/>
                <w:szCs w:val="16"/>
              </w:rPr>
              <w:t>0</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2F3255" w14:textId="2F8BAA87" w:rsidR="00F05C23" w:rsidRPr="008864D9" w:rsidRDefault="0084106D" w:rsidP="00F05C23">
            <w:pPr>
              <w:tabs>
                <w:tab w:val="left" w:pos="2826"/>
              </w:tabs>
              <w:jc w:val="center"/>
              <w:rPr>
                <w:rFonts w:ascii="Arial" w:hAnsi="Arial" w:cs="Arial"/>
                <w:sz w:val="16"/>
                <w:szCs w:val="16"/>
              </w:rPr>
            </w:pPr>
            <w:r>
              <w:rPr>
                <w:rFonts w:ascii="Arial" w:hAnsi="Arial" w:cs="Arial"/>
                <w:sz w:val="16"/>
                <w:szCs w:val="16"/>
              </w:rPr>
              <w:t>0</w:t>
            </w:r>
          </w:p>
        </w:tc>
      </w:tr>
      <w:tr w:rsidR="00F05C23" w:rsidRPr="008864D9" w14:paraId="68B458F6" w14:textId="77777777" w:rsidTr="00F05C23">
        <w:trPr>
          <w:cantSplit/>
          <w:trHeight w:val="21"/>
          <w:jc w:val="center"/>
        </w:trPr>
        <w:tc>
          <w:tcPr>
            <w:tcW w:w="1829" w:type="dxa"/>
            <w:tcBorders>
              <w:top w:val="single" w:sz="4" w:space="0" w:color="auto"/>
              <w:left w:val="single" w:sz="4" w:space="0" w:color="auto"/>
              <w:bottom w:val="single" w:sz="4" w:space="0" w:color="auto"/>
              <w:right w:val="single" w:sz="4" w:space="0" w:color="auto"/>
            </w:tcBorders>
          </w:tcPr>
          <w:p w14:paraId="471FE874" w14:textId="77777777" w:rsidR="00F05C23" w:rsidRPr="008864D9" w:rsidRDefault="00F05C23" w:rsidP="008C3318">
            <w:pPr>
              <w:tabs>
                <w:tab w:val="left" w:pos="2826"/>
              </w:tabs>
              <w:rPr>
                <w:rFonts w:ascii="Arial" w:hAnsi="Arial" w:cs="Arial"/>
                <w:sz w:val="16"/>
                <w:szCs w:val="16"/>
              </w:rPr>
            </w:pPr>
            <w:r w:rsidRPr="008864D9">
              <w:rPr>
                <w:rFonts w:ascii="Arial" w:hAnsi="Arial" w:cs="Arial"/>
                <w:sz w:val="16"/>
                <w:szCs w:val="16"/>
              </w:rPr>
              <w:t>Native Hawaiian or Other Pacific Islander</w:t>
            </w:r>
          </w:p>
        </w:tc>
        <w:tc>
          <w:tcPr>
            <w:tcW w:w="1829" w:type="dxa"/>
            <w:tcBorders>
              <w:top w:val="single" w:sz="4" w:space="0" w:color="auto"/>
              <w:left w:val="single" w:sz="4" w:space="0" w:color="auto"/>
              <w:bottom w:val="single" w:sz="4" w:space="0" w:color="auto"/>
              <w:right w:val="single" w:sz="4" w:space="0" w:color="auto"/>
            </w:tcBorders>
            <w:vAlign w:val="center"/>
          </w:tcPr>
          <w:p w14:paraId="2E25779E" w14:textId="4406300B" w:rsidR="00F05C23" w:rsidRPr="008864D9" w:rsidRDefault="00AA1D95" w:rsidP="00F05C23">
            <w:pPr>
              <w:tabs>
                <w:tab w:val="left" w:pos="2826"/>
              </w:tabs>
              <w:jc w:val="center"/>
              <w:rPr>
                <w:rFonts w:ascii="Arial" w:hAnsi="Arial" w:cs="Arial"/>
                <w:sz w:val="16"/>
                <w:szCs w:val="16"/>
              </w:rPr>
            </w:pPr>
            <w:r>
              <w:rPr>
                <w:rFonts w:ascii="Arial" w:hAnsi="Arial" w:cs="Arial"/>
                <w:sz w:val="16"/>
                <w:szCs w:val="16"/>
              </w:rPr>
              <w:t>0</w:t>
            </w:r>
          </w:p>
        </w:tc>
        <w:tc>
          <w:tcPr>
            <w:tcW w:w="1829" w:type="dxa"/>
            <w:tcBorders>
              <w:top w:val="single" w:sz="4" w:space="0" w:color="auto"/>
              <w:left w:val="single" w:sz="4" w:space="0" w:color="auto"/>
              <w:bottom w:val="single" w:sz="4" w:space="0" w:color="auto"/>
              <w:right w:val="single" w:sz="4" w:space="0" w:color="auto"/>
            </w:tcBorders>
            <w:vAlign w:val="center"/>
          </w:tcPr>
          <w:p w14:paraId="6E6ABB31" w14:textId="025CCFF9" w:rsidR="00F05C23" w:rsidRPr="008864D9" w:rsidRDefault="00AA1D95" w:rsidP="00F05C23">
            <w:pPr>
              <w:tabs>
                <w:tab w:val="left" w:pos="2826"/>
              </w:tabs>
              <w:jc w:val="center"/>
              <w:rPr>
                <w:rFonts w:ascii="Arial" w:hAnsi="Arial" w:cs="Arial"/>
                <w:sz w:val="16"/>
                <w:szCs w:val="16"/>
              </w:rPr>
            </w:pPr>
            <w:r>
              <w:rPr>
                <w:rFonts w:ascii="Arial" w:hAnsi="Arial" w:cs="Arial"/>
                <w:sz w:val="16"/>
                <w:szCs w:val="16"/>
              </w:rPr>
              <w:t>0</w:t>
            </w:r>
          </w:p>
        </w:tc>
        <w:tc>
          <w:tcPr>
            <w:tcW w:w="1829" w:type="dxa"/>
            <w:tcBorders>
              <w:top w:val="single" w:sz="4" w:space="0" w:color="auto"/>
              <w:left w:val="single" w:sz="4" w:space="0" w:color="auto"/>
              <w:bottom w:val="single" w:sz="4" w:space="0" w:color="auto"/>
              <w:right w:val="single" w:sz="4" w:space="0" w:color="auto"/>
            </w:tcBorders>
            <w:vAlign w:val="center"/>
          </w:tcPr>
          <w:p w14:paraId="0F9C3BFE" w14:textId="22454809" w:rsidR="00F05C23" w:rsidRPr="008864D9" w:rsidRDefault="0084106D" w:rsidP="00F05C23">
            <w:pPr>
              <w:tabs>
                <w:tab w:val="left" w:pos="2826"/>
              </w:tabs>
              <w:jc w:val="center"/>
              <w:rPr>
                <w:rFonts w:ascii="Arial" w:hAnsi="Arial" w:cs="Arial"/>
                <w:sz w:val="16"/>
                <w:szCs w:val="16"/>
              </w:rPr>
            </w:pPr>
            <w:r>
              <w:rPr>
                <w:rFonts w:ascii="Arial" w:hAnsi="Arial" w:cs="Arial"/>
                <w:sz w:val="16"/>
                <w:szCs w:val="16"/>
              </w:rPr>
              <w:t>0</w:t>
            </w:r>
          </w:p>
        </w:tc>
        <w:tc>
          <w:tcPr>
            <w:tcW w:w="1829" w:type="dxa"/>
            <w:tcBorders>
              <w:top w:val="single" w:sz="4" w:space="0" w:color="auto"/>
              <w:left w:val="single" w:sz="4" w:space="0" w:color="auto"/>
              <w:bottom w:val="single" w:sz="4" w:space="0" w:color="auto"/>
              <w:right w:val="single" w:sz="4" w:space="0" w:color="auto"/>
            </w:tcBorders>
            <w:vAlign w:val="center"/>
          </w:tcPr>
          <w:p w14:paraId="77B6360B" w14:textId="40EDFB16" w:rsidR="00F05C23" w:rsidRPr="008864D9" w:rsidRDefault="0084106D" w:rsidP="00F05C23">
            <w:pPr>
              <w:tabs>
                <w:tab w:val="left" w:pos="2826"/>
              </w:tabs>
              <w:jc w:val="center"/>
              <w:rPr>
                <w:rFonts w:ascii="Arial" w:hAnsi="Arial" w:cs="Arial"/>
                <w:sz w:val="16"/>
                <w:szCs w:val="16"/>
              </w:rPr>
            </w:pPr>
            <w:r>
              <w:rPr>
                <w:rFonts w:ascii="Arial" w:hAnsi="Arial" w:cs="Arial"/>
                <w:sz w:val="16"/>
                <w:szCs w:val="16"/>
              </w:rPr>
              <w:t>0</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443BBC" w14:textId="1C19C13B" w:rsidR="00F05C23" w:rsidRPr="008864D9" w:rsidRDefault="0084106D" w:rsidP="00F05C23">
            <w:pPr>
              <w:tabs>
                <w:tab w:val="left" w:pos="2826"/>
              </w:tabs>
              <w:jc w:val="center"/>
              <w:rPr>
                <w:rFonts w:ascii="Arial" w:hAnsi="Arial" w:cs="Arial"/>
                <w:sz w:val="16"/>
                <w:szCs w:val="16"/>
              </w:rPr>
            </w:pPr>
            <w:r>
              <w:rPr>
                <w:rFonts w:ascii="Arial" w:hAnsi="Arial" w:cs="Arial"/>
                <w:sz w:val="16"/>
                <w:szCs w:val="16"/>
              </w:rPr>
              <w:t>0</w:t>
            </w:r>
          </w:p>
        </w:tc>
      </w:tr>
      <w:tr w:rsidR="00F05C23" w:rsidRPr="008864D9" w14:paraId="0E635B02" w14:textId="77777777" w:rsidTr="00F05C23">
        <w:trPr>
          <w:cantSplit/>
          <w:trHeight w:val="21"/>
          <w:jc w:val="center"/>
        </w:trPr>
        <w:tc>
          <w:tcPr>
            <w:tcW w:w="1829" w:type="dxa"/>
            <w:tcBorders>
              <w:top w:val="single" w:sz="4" w:space="0" w:color="auto"/>
              <w:left w:val="single" w:sz="4" w:space="0" w:color="auto"/>
              <w:bottom w:val="single" w:sz="4" w:space="0" w:color="auto"/>
              <w:right w:val="single" w:sz="4" w:space="0" w:color="auto"/>
            </w:tcBorders>
          </w:tcPr>
          <w:p w14:paraId="69C5C203" w14:textId="77777777" w:rsidR="00F05C23" w:rsidRPr="008864D9" w:rsidRDefault="00F05C23" w:rsidP="008C3318">
            <w:pPr>
              <w:tabs>
                <w:tab w:val="left" w:pos="2826"/>
              </w:tabs>
              <w:rPr>
                <w:rFonts w:ascii="Arial" w:hAnsi="Arial" w:cs="Arial"/>
                <w:sz w:val="16"/>
                <w:szCs w:val="16"/>
              </w:rPr>
            </w:pPr>
            <w:r w:rsidRPr="008864D9">
              <w:rPr>
                <w:rFonts w:ascii="Arial" w:hAnsi="Arial" w:cs="Arial"/>
                <w:sz w:val="16"/>
                <w:szCs w:val="16"/>
              </w:rPr>
              <w:lastRenderedPageBreak/>
              <w:t>Black or African American</w:t>
            </w:r>
          </w:p>
        </w:tc>
        <w:tc>
          <w:tcPr>
            <w:tcW w:w="1829" w:type="dxa"/>
            <w:tcBorders>
              <w:top w:val="single" w:sz="4" w:space="0" w:color="auto"/>
              <w:left w:val="single" w:sz="4" w:space="0" w:color="auto"/>
              <w:bottom w:val="single" w:sz="4" w:space="0" w:color="auto"/>
              <w:right w:val="single" w:sz="4" w:space="0" w:color="auto"/>
            </w:tcBorders>
            <w:vAlign w:val="center"/>
          </w:tcPr>
          <w:p w14:paraId="62B0D577" w14:textId="3C6DDF80" w:rsidR="00F05C23" w:rsidRPr="008864D9" w:rsidRDefault="00AA1D95" w:rsidP="00F05C23">
            <w:pPr>
              <w:tabs>
                <w:tab w:val="left" w:pos="2826"/>
              </w:tabs>
              <w:jc w:val="center"/>
              <w:rPr>
                <w:rFonts w:ascii="Arial" w:hAnsi="Arial" w:cs="Arial"/>
                <w:sz w:val="16"/>
                <w:szCs w:val="16"/>
              </w:rPr>
            </w:pPr>
            <w:r>
              <w:rPr>
                <w:rFonts w:ascii="Arial" w:hAnsi="Arial" w:cs="Arial"/>
                <w:sz w:val="16"/>
                <w:szCs w:val="16"/>
              </w:rPr>
              <w:t>0</w:t>
            </w:r>
          </w:p>
        </w:tc>
        <w:tc>
          <w:tcPr>
            <w:tcW w:w="1829" w:type="dxa"/>
            <w:tcBorders>
              <w:top w:val="single" w:sz="4" w:space="0" w:color="auto"/>
              <w:left w:val="single" w:sz="4" w:space="0" w:color="auto"/>
              <w:bottom w:val="single" w:sz="4" w:space="0" w:color="auto"/>
              <w:right w:val="single" w:sz="4" w:space="0" w:color="auto"/>
            </w:tcBorders>
            <w:vAlign w:val="center"/>
          </w:tcPr>
          <w:p w14:paraId="34FA110B" w14:textId="3DA32C85" w:rsidR="00F05C23" w:rsidRPr="008864D9" w:rsidRDefault="00AA1D95" w:rsidP="00F05C23">
            <w:pPr>
              <w:tabs>
                <w:tab w:val="left" w:pos="2826"/>
              </w:tabs>
              <w:jc w:val="center"/>
              <w:rPr>
                <w:rFonts w:ascii="Arial" w:hAnsi="Arial" w:cs="Arial"/>
                <w:sz w:val="16"/>
                <w:szCs w:val="16"/>
              </w:rPr>
            </w:pPr>
            <w:r>
              <w:rPr>
                <w:rFonts w:ascii="Arial" w:hAnsi="Arial" w:cs="Arial"/>
                <w:sz w:val="16"/>
                <w:szCs w:val="16"/>
              </w:rPr>
              <w:t>0</w:t>
            </w:r>
          </w:p>
        </w:tc>
        <w:tc>
          <w:tcPr>
            <w:tcW w:w="1829" w:type="dxa"/>
            <w:tcBorders>
              <w:top w:val="single" w:sz="4" w:space="0" w:color="auto"/>
              <w:left w:val="single" w:sz="4" w:space="0" w:color="auto"/>
              <w:bottom w:val="single" w:sz="4" w:space="0" w:color="auto"/>
              <w:right w:val="single" w:sz="4" w:space="0" w:color="auto"/>
            </w:tcBorders>
            <w:vAlign w:val="center"/>
          </w:tcPr>
          <w:p w14:paraId="786CB287" w14:textId="56E94B86" w:rsidR="00F05C23" w:rsidRPr="008864D9" w:rsidRDefault="0084106D" w:rsidP="00F05C23">
            <w:pPr>
              <w:tabs>
                <w:tab w:val="left" w:pos="2826"/>
              </w:tabs>
              <w:jc w:val="center"/>
              <w:rPr>
                <w:rFonts w:ascii="Arial" w:hAnsi="Arial" w:cs="Arial"/>
                <w:sz w:val="16"/>
                <w:szCs w:val="16"/>
              </w:rPr>
            </w:pPr>
            <w:r>
              <w:rPr>
                <w:rFonts w:ascii="Arial" w:hAnsi="Arial" w:cs="Arial"/>
                <w:sz w:val="16"/>
                <w:szCs w:val="16"/>
              </w:rPr>
              <w:t>0</w:t>
            </w:r>
          </w:p>
        </w:tc>
        <w:tc>
          <w:tcPr>
            <w:tcW w:w="1829" w:type="dxa"/>
            <w:tcBorders>
              <w:top w:val="single" w:sz="4" w:space="0" w:color="auto"/>
              <w:left w:val="single" w:sz="4" w:space="0" w:color="auto"/>
              <w:bottom w:val="single" w:sz="4" w:space="0" w:color="auto"/>
              <w:right w:val="single" w:sz="4" w:space="0" w:color="auto"/>
            </w:tcBorders>
            <w:vAlign w:val="center"/>
          </w:tcPr>
          <w:p w14:paraId="7D09D595" w14:textId="0B75CAB3" w:rsidR="00F05C23" w:rsidRPr="008864D9" w:rsidRDefault="0084106D" w:rsidP="00F05C23">
            <w:pPr>
              <w:tabs>
                <w:tab w:val="left" w:pos="2826"/>
              </w:tabs>
              <w:jc w:val="center"/>
              <w:rPr>
                <w:rFonts w:ascii="Arial" w:hAnsi="Arial" w:cs="Arial"/>
                <w:sz w:val="16"/>
                <w:szCs w:val="16"/>
              </w:rPr>
            </w:pPr>
            <w:r>
              <w:rPr>
                <w:rFonts w:ascii="Arial" w:hAnsi="Arial" w:cs="Arial"/>
                <w:sz w:val="16"/>
                <w:szCs w:val="16"/>
              </w:rPr>
              <w:t>0</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53AEBC" w14:textId="2316B327" w:rsidR="00F05C23" w:rsidRPr="008864D9" w:rsidRDefault="0084106D" w:rsidP="00F05C23">
            <w:pPr>
              <w:tabs>
                <w:tab w:val="left" w:pos="2826"/>
              </w:tabs>
              <w:jc w:val="center"/>
              <w:rPr>
                <w:rFonts w:ascii="Arial" w:hAnsi="Arial" w:cs="Arial"/>
                <w:sz w:val="16"/>
                <w:szCs w:val="16"/>
              </w:rPr>
            </w:pPr>
            <w:r>
              <w:rPr>
                <w:rFonts w:ascii="Arial" w:hAnsi="Arial" w:cs="Arial"/>
                <w:sz w:val="16"/>
                <w:szCs w:val="16"/>
              </w:rPr>
              <w:t>0</w:t>
            </w:r>
          </w:p>
        </w:tc>
      </w:tr>
      <w:tr w:rsidR="00F05C23" w:rsidRPr="008864D9" w14:paraId="1FBE45F4" w14:textId="77777777" w:rsidTr="00F05C23">
        <w:trPr>
          <w:cantSplit/>
          <w:trHeight w:val="21"/>
          <w:jc w:val="center"/>
        </w:trPr>
        <w:tc>
          <w:tcPr>
            <w:tcW w:w="1829" w:type="dxa"/>
            <w:tcBorders>
              <w:top w:val="single" w:sz="4" w:space="0" w:color="auto"/>
              <w:left w:val="single" w:sz="4" w:space="0" w:color="auto"/>
              <w:bottom w:val="single" w:sz="4" w:space="0" w:color="auto"/>
              <w:right w:val="single" w:sz="4" w:space="0" w:color="auto"/>
            </w:tcBorders>
          </w:tcPr>
          <w:p w14:paraId="14A7272F" w14:textId="77777777" w:rsidR="00F05C23" w:rsidRPr="008864D9" w:rsidRDefault="00F05C23" w:rsidP="008C3318">
            <w:pPr>
              <w:tabs>
                <w:tab w:val="left" w:pos="2826"/>
              </w:tabs>
              <w:rPr>
                <w:rFonts w:ascii="Arial" w:hAnsi="Arial" w:cs="Arial"/>
                <w:sz w:val="16"/>
                <w:szCs w:val="16"/>
              </w:rPr>
            </w:pPr>
            <w:r w:rsidRPr="008864D9">
              <w:rPr>
                <w:rFonts w:ascii="Arial" w:hAnsi="Arial" w:cs="Arial"/>
                <w:sz w:val="16"/>
                <w:szCs w:val="16"/>
              </w:rPr>
              <w:t>White</w:t>
            </w:r>
          </w:p>
        </w:tc>
        <w:tc>
          <w:tcPr>
            <w:tcW w:w="1829" w:type="dxa"/>
            <w:tcBorders>
              <w:top w:val="single" w:sz="4" w:space="0" w:color="auto"/>
              <w:left w:val="single" w:sz="4" w:space="0" w:color="auto"/>
              <w:bottom w:val="single" w:sz="4" w:space="0" w:color="auto"/>
              <w:right w:val="single" w:sz="4" w:space="0" w:color="auto"/>
            </w:tcBorders>
            <w:vAlign w:val="center"/>
          </w:tcPr>
          <w:p w14:paraId="6B96E62D" w14:textId="12F7A93A" w:rsidR="00F05C23" w:rsidRPr="008864D9" w:rsidRDefault="003454E4" w:rsidP="00F05C23">
            <w:pPr>
              <w:tabs>
                <w:tab w:val="left" w:pos="2826"/>
              </w:tabs>
              <w:jc w:val="center"/>
              <w:rPr>
                <w:rFonts w:ascii="Arial" w:hAnsi="Arial" w:cs="Arial"/>
                <w:sz w:val="16"/>
                <w:szCs w:val="16"/>
              </w:rPr>
            </w:pPr>
            <w:r>
              <w:rPr>
                <w:rFonts w:ascii="Arial" w:hAnsi="Arial" w:cs="Arial"/>
                <w:sz w:val="16"/>
                <w:szCs w:val="16"/>
              </w:rPr>
              <w:t>1</w:t>
            </w:r>
          </w:p>
        </w:tc>
        <w:tc>
          <w:tcPr>
            <w:tcW w:w="1829" w:type="dxa"/>
            <w:tcBorders>
              <w:top w:val="single" w:sz="4" w:space="0" w:color="auto"/>
              <w:left w:val="single" w:sz="4" w:space="0" w:color="auto"/>
              <w:bottom w:val="single" w:sz="4" w:space="0" w:color="auto"/>
              <w:right w:val="single" w:sz="4" w:space="0" w:color="auto"/>
            </w:tcBorders>
            <w:vAlign w:val="center"/>
          </w:tcPr>
          <w:p w14:paraId="17093DB8" w14:textId="4223CC52" w:rsidR="00F05C23" w:rsidRPr="008864D9" w:rsidRDefault="003454E4" w:rsidP="00F05C23">
            <w:pPr>
              <w:tabs>
                <w:tab w:val="left" w:pos="2826"/>
              </w:tabs>
              <w:jc w:val="center"/>
              <w:rPr>
                <w:rFonts w:ascii="Arial" w:hAnsi="Arial" w:cs="Arial"/>
                <w:sz w:val="16"/>
                <w:szCs w:val="16"/>
              </w:rPr>
            </w:pPr>
            <w:r>
              <w:rPr>
                <w:rFonts w:ascii="Arial" w:hAnsi="Arial" w:cs="Arial"/>
                <w:sz w:val="16"/>
                <w:szCs w:val="16"/>
              </w:rPr>
              <w:t>1</w:t>
            </w:r>
          </w:p>
        </w:tc>
        <w:tc>
          <w:tcPr>
            <w:tcW w:w="1829" w:type="dxa"/>
            <w:tcBorders>
              <w:top w:val="single" w:sz="4" w:space="0" w:color="auto"/>
              <w:left w:val="single" w:sz="4" w:space="0" w:color="auto"/>
              <w:bottom w:val="single" w:sz="4" w:space="0" w:color="auto"/>
              <w:right w:val="single" w:sz="4" w:space="0" w:color="auto"/>
            </w:tcBorders>
            <w:vAlign w:val="center"/>
          </w:tcPr>
          <w:p w14:paraId="58916893" w14:textId="72622CBE" w:rsidR="00F05C23" w:rsidRPr="008864D9" w:rsidRDefault="003454E4" w:rsidP="00F05C23">
            <w:pPr>
              <w:tabs>
                <w:tab w:val="left" w:pos="2826"/>
              </w:tabs>
              <w:jc w:val="center"/>
              <w:rPr>
                <w:rFonts w:ascii="Arial" w:hAnsi="Arial" w:cs="Arial"/>
                <w:sz w:val="16"/>
                <w:szCs w:val="16"/>
              </w:rPr>
            </w:pPr>
            <w:r>
              <w:rPr>
                <w:rFonts w:ascii="Arial" w:hAnsi="Arial" w:cs="Arial"/>
                <w:sz w:val="16"/>
                <w:szCs w:val="16"/>
              </w:rPr>
              <w:t>0</w:t>
            </w:r>
          </w:p>
        </w:tc>
        <w:tc>
          <w:tcPr>
            <w:tcW w:w="1829" w:type="dxa"/>
            <w:tcBorders>
              <w:top w:val="single" w:sz="4" w:space="0" w:color="auto"/>
              <w:left w:val="single" w:sz="4" w:space="0" w:color="auto"/>
              <w:bottom w:val="single" w:sz="4" w:space="0" w:color="auto"/>
              <w:right w:val="single" w:sz="4" w:space="0" w:color="auto"/>
            </w:tcBorders>
            <w:vAlign w:val="center"/>
          </w:tcPr>
          <w:p w14:paraId="5D65BA19" w14:textId="67538DDA" w:rsidR="00F05C23" w:rsidRPr="008864D9" w:rsidRDefault="003454E4" w:rsidP="00F05C23">
            <w:pPr>
              <w:tabs>
                <w:tab w:val="left" w:pos="2826"/>
              </w:tabs>
              <w:jc w:val="center"/>
              <w:rPr>
                <w:rFonts w:ascii="Arial" w:hAnsi="Arial" w:cs="Arial"/>
                <w:sz w:val="16"/>
                <w:szCs w:val="16"/>
              </w:rPr>
            </w:pPr>
            <w:r>
              <w:rPr>
                <w:rFonts w:ascii="Arial" w:hAnsi="Arial" w:cs="Arial"/>
                <w:sz w:val="16"/>
                <w:szCs w:val="16"/>
              </w:rPr>
              <w:t>0</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A14419" w14:textId="3EC122FD" w:rsidR="00F05C23" w:rsidRPr="008864D9" w:rsidRDefault="003454E4" w:rsidP="00F05C23">
            <w:pPr>
              <w:tabs>
                <w:tab w:val="left" w:pos="2826"/>
              </w:tabs>
              <w:jc w:val="center"/>
              <w:rPr>
                <w:rFonts w:ascii="Arial" w:hAnsi="Arial" w:cs="Arial"/>
                <w:sz w:val="16"/>
                <w:szCs w:val="16"/>
              </w:rPr>
            </w:pPr>
            <w:r>
              <w:rPr>
                <w:rFonts w:ascii="Arial" w:hAnsi="Arial" w:cs="Arial"/>
                <w:sz w:val="16"/>
                <w:szCs w:val="16"/>
              </w:rPr>
              <w:t>2</w:t>
            </w:r>
          </w:p>
        </w:tc>
      </w:tr>
      <w:tr w:rsidR="00F05C23" w:rsidRPr="008864D9" w14:paraId="2B977EEB" w14:textId="77777777" w:rsidTr="00F05C23">
        <w:trPr>
          <w:cantSplit/>
          <w:trHeight w:val="21"/>
          <w:jc w:val="center"/>
        </w:trPr>
        <w:tc>
          <w:tcPr>
            <w:tcW w:w="1829" w:type="dxa"/>
            <w:tcBorders>
              <w:top w:val="single" w:sz="4" w:space="0" w:color="auto"/>
              <w:left w:val="single" w:sz="4" w:space="0" w:color="auto"/>
              <w:bottom w:val="single" w:sz="4" w:space="0" w:color="auto"/>
              <w:right w:val="single" w:sz="4" w:space="0" w:color="auto"/>
            </w:tcBorders>
          </w:tcPr>
          <w:p w14:paraId="618E776F" w14:textId="77777777" w:rsidR="00F05C23" w:rsidRPr="008864D9" w:rsidRDefault="00F05C23" w:rsidP="008C3318">
            <w:pPr>
              <w:tabs>
                <w:tab w:val="left" w:pos="2826"/>
              </w:tabs>
              <w:rPr>
                <w:rFonts w:ascii="Arial" w:hAnsi="Arial" w:cs="Arial"/>
                <w:sz w:val="16"/>
                <w:szCs w:val="16"/>
              </w:rPr>
            </w:pPr>
            <w:r w:rsidRPr="008864D9">
              <w:rPr>
                <w:rFonts w:ascii="Arial" w:hAnsi="Arial" w:cs="Arial"/>
                <w:sz w:val="16"/>
                <w:szCs w:val="16"/>
              </w:rPr>
              <w:t>More Than One Race</w:t>
            </w:r>
          </w:p>
        </w:tc>
        <w:tc>
          <w:tcPr>
            <w:tcW w:w="1829" w:type="dxa"/>
            <w:tcBorders>
              <w:top w:val="single" w:sz="4" w:space="0" w:color="auto"/>
              <w:left w:val="single" w:sz="4" w:space="0" w:color="auto"/>
              <w:bottom w:val="single" w:sz="4" w:space="0" w:color="auto"/>
              <w:right w:val="single" w:sz="4" w:space="0" w:color="auto"/>
            </w:tcBorders>
            <w:vAlign w:val="center"/>
          </w:tcPr>
          <w:p w14:paraId="3188B657" w14:textId="5E24129B" w:rsidR="00F05C23" w:rsidRPr="008864D9" w:rsidRDefault="00AA1D95" w:rsidP="00F05C23">
            <w:pPr>
              <w:tabs>
                <w:tab w:val="left" w:pos="2826"/>
              </w:tabs>
              <w:jc w:val="center"/>
              <w:rPr>
                <w:rFonts w:ascii="Arial" w:hAnsi="Arial" w:cs="Arial"/>
                <w:sz w:val="16"/>
                <w:szCs w:val="16"/>
              </w:rPr>
            </w:pPr>
            <w:r>
              <w:rPr>
                <w:rFonts w:ascii="Arial" w:hAnsi="Arial" w:cs="Arial"/>
                <w:sz w:val="16"/>
                <w:szCs w:val="16"/>
              </w:rPr>
              <w:t>0</w:t>
            </w:r>
          </w:p>
        </w:tc>
        <w:tc>
          <w:tcPr>
            <w:tcW w:w="1829" w:type="dxa"/>
            <w:tcBorders>
              <w:top w:val="single" w:sz="4" w:space="0" w:color="auto"/>
              <w:left w:val="single" w:sz="4" w:space="0" w:color="auto"/>
              <w:bottom w:val="single" w:sz="4" w:space="0" w:color="auto"/>
              <w:right w:val="single" w:sz="4" w:space="0" w:color="auto"/>
            </w:tcBorders>
            <w:vAlign w:val="center"/>
          </w:tcPr>
          <w:p w14:paraId="64C7F95A" w14:textId="37EFB27A" w:rsidR="00F05C23" w:rsidRPr="008864D9" w:rsidRDefault="00AA1D95" w:rsidP="00F05C23">
            <w:pPr>
              <w:tabs>
                <w:tab w:val="left" w:pos="2826"/>
              </w:tabs>
              <w:jc w:val="center"/>
              <w:rPr>
                <w:rFonts w:ascii="Arial" w:hAnsi="Arial" w:cs="Arial"/>
                <w:sz w:val="16"/>
                <w:szCs w:val="16"/>
              </w:rPr>
            </w:pPr>
            <w:r>
              <w:rPr>
                <w:rFonts w:ascii="Arial" w:hAnsi="Arial" w:cs="Arial"/>
                <w:sz w:val="16"/>
                <w:szCs w:val="16"/>
              </w:rPr>
              <w:t>0</w:t>
            </w:r>
          </w:p>
        </w:tc>
        <w:tc>
          <w:tcPr>
            <w:tcW w:w="1829" w:type="dxa"/>
            <w:tcBorders>
              <w:top w:val="single" w:sz="4" w:space="0" w:color="auto"/>
              <w:left w:val="single" w:sz="4" w:space="0" w:color="auto"/>
              <w:bottom w:val="single" w:sz="4" w:space="0" w:color="auto"/>
              <w:right w:val="single" w:sz="4" w:space="0" w:color="auto"/>
            </w:tcBorders>
            <w:vAlign w:val="center"/>
          </w:tcPr>
          <w:p w14:paraId="66B5D20D" w14:textId="4F032DBE" w:rsidR="00F05C23" w:rsidRPr="008864D9" w:rsidRDefault="0084106D" w:rsidP="00F05C23">
            <w:pPr>
              <w:tabs>
                <w:tab w:val="left" w:pos="2826"/>
              </w:tabs>
              <w:jc w:val="center"/>
              <w:rPr>
                <w:rFonts w:ascii="Arial" w:hAnsi="Arial" w:cs="Arial"/>
                <w:sz w:val="16"/>
                <w:szCs w:val="16"/>
              </w:rPr>
            </w:pPr>
            <w:r>
              <w:rPr>
                <w:rFonts w:ascii="Arial" w:hAnsi="Arial" w:cs="Arial"/>
                <w:sz w:val="16"/>
                <w:szCs w:val="16"/>
              </w:rPr>
              <w:t>0</w:t>
            </w:r>
          </w:p>
        </w:tc>
        <w:tc>
          <w:tcPr>
            <w:tcW w:w="1829" w:type="dxa"/>
            <w:tcBorders>
              <w:top w:val="single" w:sz="4" w:space="0" w:color="auto"/>
              <w:left w:val="single" w:sz="4" w:space="0" w:color="auto"/>
              <w:bottom w:val="single" w:sz="4" w:space="0" w:color="auto"/>
              <w:right w:val="single" w:sz="4" w:space="0" w:color="auto"/>
            </w:tcBorders>
            <w:vAlign w:val="center"/>
          </w:tcPr>
          <w:p w14:paraId="68482D30" w14:textId="2750F7CF" w:rsidR="00F05C23" w:rsidRPr="008864D9" w:rsidRDefault="0084106D" w:rsidP="00F05C23">
            <w:pPr>
              <w:tabs>
                <w:tab w:val="left" w:pos="2826"/>
              </w:tabs>
              <w:jc w:val="center"/>
              <w:rPr>
                <w:rFonts w:ascii="Arial" w:hAnsi="Arial" w:cs="Arial"/>
                <w:sz w:val="16"/>
                <w:szCs w:val="16"/>
              </w:rPr>
            </w:pPr>
            <w:r>
              <w:rPr>
                <w:rFonts w:ascii="Arial" w:hAnsi="Arial" w:cs="Arial"/>
                <w:sz w:val="16"/>
                <w:szCs w:val="16"/>
              </w:rPr>
              <w:t>0</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FA7CEE" w14:textId="38E393EB" w:rsidR="00F05C23" w:rsidRPr="008864D9" w:rsidRDefault="0084106D" w:rsidP="00F05C23">
            <w:pPr>
              <w:tabs>
                <w:tab w:val="left" w:pos="2826"/>
              </w:tabs>
              <w:jc w:val="center"/>
              <w:rPr>
                <w:rFonts w:ascii="Arial" w:hAnsi="Arial" w:cs="Arial"/>
                <w:sz w:val="16"/>
                <w:szCs w:val="16"/>
              </w:rPr>
            </w:pPr>
            <w:r>
              <w:rPr>
                <w:rFonts w:ascii="Arial" w:hAnsi="Arial" w:cs="Arial"/>
                <w:sz w:val="16"/>
                <w:szCs w:val="16"/>
              </w:rPr>
              <w:t>0</w:t>
            </w:r>
          </w:p>
        </w:tc>
      </w:tr>
      <w:tr w:rsidR="00F05C23" w:rsidRPr="008864D9" w14:paraId="2ED2E815" w14:textId="77777777" w:rsidTr="00F05C23">
        <w:trPr>
          <w:cantSplit/>
          <w:trHeight w:val="21"/>
          <w:jc w:val="center"/>
        </w:trPr>
        <w:tc>
          <w:tcPr>
            <w:tcW w:w="1829" w:type="dxa"/>
            <w:tcBorders>
              <w:top w:val="single" w:sz="4" w:space="0" w:color="auto"/>
              <w:left w:val="single" w:sz="4" w:space="0" w:color="auto"/>
              <w:bottom w:val="single" w:sz="4" w:space="0" w:color="auto"/>
              <w:right w:val="single" w:sz="4" w:space="0" w:color="auto"/>
            </w:tcBorders>
          </w:tcPr>
          <w:p w14:paraId="6DECC9A5" w14:textId="77777777" w:rsidR="00F05C23" w:rsidRPr="008864D9" w:rsidRDefault="00F05C23" w:rsidP="008C3318">
            <w:pPr>
              <w:tabs>
                <w:tab w:val="left" w:pos="2826"/>
              </w:tabs>
              <w:rPr>
                <w:rFonts w:ascii="Arial" w:hAnsi="Arial" w:cs="Arial"/>
                <w:b/>
                <w:sz w:val="16"/>
                <w:szCs w:val="16"/>
              </w:rPr>
            </w:pPr>
            <w:r w:rsidRPr="008864D9">
              <w:rPr>
                <w:rFonts w:ascii="Arial" w:hAnsi="Arial" w:cs="Arial"/>
                <w:b/>
                <w:sz w:val="16"/>
                <w:szCs w:val="16"/>
              </w:rPr>
              <w:t>Total</w:t>
            </w:r>
          </w:p>
        </w:tc>
        <w:tc>
          <w:tcPr>
            <w:tcW w:w="18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00BBB3" w14:textId="3CFCDAEF" w:rsidR="00F05C23" w:rsidRPr="008864D9" w:rsidRDefault="003454E4" w:rsidP="00F05C23">
            <w:pPr>
              <w:tabs>
                <w:tab w:val="left" w:pos="2826"/>
              </w:tabs>
              <w:jc w:val="center"/>
              <w:rPr>
                <w:rFonts w:ascii="Arial" w:hAnsi="Arial" w:cs="Arial"/>
                <w:sz w:val="16"/>
                <w:szCs w:val="16"/>
              </w:rPr>
            </w:pPr>
            <w:r>
              <w:rPr>
                <w:rFonts w:ascii="Arial" w:hAnsi="Arial" w:cs="Arial"/>
                <w:sz w:val="16"/>
                <w:szCs w:val="16"/>
              </w:rPr>
              <w:t>1</w:t>
            </w:r>
          </w:p>
        </w:tc>
        <w:tc>
          <w:tcPr>
            <w:tcW w:w="18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2D8624" w14:textId="4B67DD0A" w:rsidR="00F05C23" w:rsidRPr="008864D9" w:rsidRDefault="003454E4" w:rsidP="00F05C23">
            <w:pPr>
              <w:tabs>
                <w:tab w:val="left" w:pos="2826"/>
              </w:tabs>
              <w:jc w:val="center"/>
              <w:rPr>
                <w:rFonts w:ascii="Arial" w:hAnsi="Arial" w:cs="Arial"/>
                <w:sz w:val="16"/>
                <w:szCs w:val="16"/>
              </w:rPr>
            </w:pPr>
            <w:r>
              <w:rPr>
                <w:rFonts w:ascii="Arial" w:hAnsi="Arial" w:cs="Arial"/>
                <w:sz w:val="16"/>
                <w:szCs w:val="16"/>
              </w:rPr>
              <w:t>1</w:t>
            </w:r>
          </w:p>
        </w:tc>
        <w:tc>
          <w:tcPr>
            <w:tcW w:w="18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7FCAD4" w14:textId="47FEB89A" w:rsidR="00F05C23" w:rsidRPr="008864D9" w:rsidRDefault="0084106D" w:rsidP="00F05C23">
            <w:pPr>
              <w:tabs>
                <w:tab w:val="left" w:pos="2826"/>
              </w:tabs>
              <w:jc w:val="center"/>
              <w:rPr>
                <w:rFonts w:ascii="Arial" w:hAnsi="Arial" w:cs="Arial"/>
                <w:sz w:val="16"/>
                <w:szCs w:val="16"/>
              </w:rPr>
            </w:pPr>
            <w:r>
              <w:rPr>
                <w:rFonts w:ascii="Arial" w:hAnsi="Arial" w:cs="Arial"/>
                <w:sz w:val="16"/>
                <w:szCs w:val="16"/>
              </w:rPr>
              <w:t>0</w:t>
            </w:r>
          </w:p>
        </w:tc>
        <w:tc>
          <w:tcPr>
            <w:tcW w:w="18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94DFE2" w14:textId="11FCB8FA" w:rsidR="00F05C23" w:rsidRPr="008864D9" w:rsidRDefault="0084106D" w:rsidP="00F05C23">
            <w:pPr>
              <w:tabs>
                <w:tab w:val="left" w:pos="2826"/>
              </w:tabs>
              <w:jc w:val="center"/>
              <w:rPr>
                <w:rFonts w:ascii="Arial" w:hAnsi="Arial" w:cs="Arial"/>
                <w:sz w:val="16"/>
                <w:szCs w:val="16"/>
              </w:rPr>
            </w:pPr>
            <w:r>
              <w:rPr>
                <w:rFonts w:ascii="Arial" w:hAnsi="Arial" w:cs="Arial"/>
                <w:sz w:val="16"/>
                <w:szCs w:val="16"/>
              </w:rPr>
              <w:t>0</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5DDC22" w14:textId="12680E64" w:rsidR="00F05C23" w:rsidRPr="008864D9" w:rsidRDefault="003454E4" w:rsidP="00F05C23">
            <w:pPr>
              <w:tabs>
                <w:tab w:val="left" w:pos="2826"/>
              </w:tabs>
              <w:jc w:val="center"/>
              <w:rPr>
                <w:rFonts w:ascii="Arial" w:hAnsi="Arial" w:cs="Arial"/>
                <w:sz w:val="16"/>
                <w:szCs w:val="16"/>
              </w:rPr>
            </w:pPr>
            <w:r>
              <w:rPr>
                <w:rFonts w:ascii="Arial" w:hAnsi="Arial" w:cs="Arial"/>
                <w:sz w:val="16"/>
                <w:szCs w:val="16"/>
              </w:rPr>
              <w:t>2</w:t>
            </w:r>
          </w:p>
        </w:tc>
      </w:tr>
    </w:tbl>
    <w:p w14:paraId="6C1E3E66" w14:textId="77777777" w:rsidR="00F05C23" w:rsidRDefault="00F05C23" w:rsidP="00F05C23">
      <w:pPr>
        <w:rPr>
          <w:rFonts w:ascii="Arial" w:hAnsi="Arial" w:cs="Arial"/>
          <w:sz w:val="16"/>
        </w:rPr>
      </w:pPr>
    </w:p>
    <w:p w14:paraId="1983F21D" w14:textId="4DD382FC" w:rsidR="00C479A8" w:rsidRPr="00002E89" w:rsidRDefault="00C479A8" w:rsidP="00C479A8">
      <w:pPr>
        <w:rPr>
          <w:bCs/>
          <w:iCs/>
          <w:strike/>
          <w:sz w:val="20"/>
          <w:szCs w:val="20"/>
        </w:rPr>
      </w:pPr>
      <w:r w:rsidRPr="00002E89">
        <w:rPr>
          <w:sz w:val="20"/>
          <w:szCs w:val="20"/>
        </w:rPr>
        <w:t>PHS 398 / PHS 2590 (Rev. 0</w:t>
      </w:r>
      <w:r w:rsidR="00F05C23">
        <w:rPr>
          <w:sz w:val="20"/>
          <w:szCs w:val="20"/>
        </w:rPr>
        <w:t>3/20</w:t>
      </w:r>
      <w:r w:rsidRPr="00002E89">
        <w:rPr>
          <w:sz w:val="20"/>
          <w:szCs w:val="20"/>
        </w:rPr>
        <w:t xml:space="preserve"> Approved Through </w:t>
      </w:r>
      <w:r w:rsidR="00F05C23">
        <w:rPr>
          <w:sz w:val="20"/>
          <w:szCs w:val="20"/>
        </w:rPr>
        <w:t>2/28/2023</w:t>
      </w:r>
      <w:r w:rsidRPr="00002E89">
        <w:rPr>
          <w:sz w:val="20"/>
          <w:szCs w:val="20"/>
        </w:rPr>
        <w:t>)</w:t>
      </w:r>
      <w:r w:rsidRPr="00002E89">
        <w:rPr>
          <w:sz w:val="20"/>
          <w:szCs w:val="20"/>
        </w:rPr>
        <w:tab/>
      </w:r>
      <w:r>
        <w:rPr>
          <w:sz w:val="20"/>
          <w:szCs w:val="20"/>
        </w:rPr>
        <w:tab/>
      </w:r>
      <w:r w:rsidRPr="00002E89">
        <w:rPr>
          <w:sz w:val="20"/>
          <w:szCs w:val="20"/>
        </w:rPr>
        <w:t>OMB No. 0925-0001/0002</w:t>
      </w:r>
    </w:p>
    <w:p w14:paraId="75EBF4F5" w14:textId="77777777" w:rsidR="00C479A8" w:rsidRPr="004254D3" w:rsidRDefault="00C479A8" w:rsidP="00C479A8">
      <w:pPr>
        <w:suppressAutoHyphens/>
        <w:rPr>
          <w:strike/>
        </w:rPr>
      </w:pPr>
    </w:p>
    <w:p w14:paraId="78216492" w14:textId="77777777" w:rsidR="00C479A8" w:rsidRPr="004254D3" w:rsidRDefault="00C479A8" w:rsidP="00C479A8">
      <w:pPr>
        <w:rPr>
          <w:bCs/>
          <w:i/>
          <w:iCs/>
          <w:strike/>
        </w:rPr>
      </w:pPr>
    </w:p>
    <w:p w14:paraId="341C21C3" w14:textId="77777777" w:rsidR="00C479A8" w:rsidRPr="007300F3" w:rsidRDefault="00C479A8" w:rsidP="00C94562">
      <w:pPr>
        <w:pStyle w:val="Heading2"/>
      </w:pPr>
      <w:bookmarkStart w:id="108" w:name="_Toc176419926"/>
      <w:r w:rsidRPr="007300F3">
        <w:t>Stratification Factors</w:t>
      </w:r>
      <w:bookmarkEnd w:id="108"/>
    </w:p>
    <w:p w14:paraId="3647FEE5" w14:textId="77777777" w:rsidR="00C479A8" w:rsidRPr="007300F3" w:rsidRDefault="00C479A8" w:rsidP="00C479A8">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pPr>
    </w:p>
    <w:p w14:paraId="030A74DB" w14:textId="36EE1FEF" w:rsidR="00C479A8" w:rsidRPr="00EC147A" w:rsidRDefault="0089107B" w:rsidP="00C479A8">
      <w:pPr>
        <w:suppressAutoHyphens/>
        <w:rPr>
          <w:iCs/>
          <w:color w:val="auto"/>
        </w:rPr>
      </w:pPr>
      <w:r w:rsidRPr="00EC147A">
        <w:rPr>
          <w:iCs/>
          <w:color w:val="auto"/>
        </w:rPr>
        <w:t>Not applicable.</w:t>
      </w:r>
    </w:p>
    <w:p w14:paraId="4331AAFC" w14:textId="77777777" w:rsidR="00C479A8" w:rsidRPr="00EC147A" w:rsidRDefault="00C479A8" w:rsidP="00C479A8">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color w:val="auto"/>
        </w:rPr>
      </w:pPr>
    </w:p>
    <w:p w14:paraId="63794C94" w14:textId="77777777" w:rsidR="00C479A8" w:rsidRPr="00EC147A" w:rsidRDefault="00C479A8" w:rsidP="00C94562">
      <w:pPr>
        <w:pStyle w:val="Heading2"/>
        <w:rPr>
          <w:color w:val="auto"/>
        </w:rPr>
      </w:pPr>
      <w:bookmarkStart w:id="109" w:name="_Toc176419927"/>
      <w:r w:rsidRPr="00EC147A">
        <w:rPr>
          <w:color w:val="auto"/>
        </w:rPr>
        <w:t>Analysis of Secondary Endpoints</w:t>
      </w:r>
      <w:bookmarkEnd w:id="109"/>
    </w:p>
    <w:p w14:paraId="59D4FACF" w14:textId="77777777" w:rsidR="00724DD8" w:rsidRPr="00EC147A" w:rsidRDefault="00724DD8" w:rsidP="009E246E">
      <w:pPr>
        <w:suppressAutoHyphens/>
        <w:rPr>
          <w:color w:val="auto"/>
        </w:rPr>
      </w:pPr>
    </w:p>
    <w:p w14:paraId="1A86FBEF" w14:textId="04592090" w:rsidR="00E91E3E" w:rsidRPr="00EC147A" w:rsidRDefault="00437C88" w:rsidP="009E246E">
      <w:pPr>
        <w:suppressAutoHyphens/>
        <w:rPr>
          <w:color w:val="auto"/>
        </w:rPr>
      </w:pPr>
      <w:r w:rsidRPr="00EC147A">
        <w:rPr>
          <w:color w:val="auto"/>
        </w:rPr>
        <w:t xml:space="preserve">Triapine </w:t>
      </w:r>
      <w:r w:rsidR="004A3CA5" w:rsidRPr="00EC147A">
        <w:rPr>
          <w:color w:val="auto"/>
        </w:rPr>
        <w:t>in plasma and peri-tumoral dialysate will be quantified using a validated LC-MS/MS assay (</w:t>
      </w:r>
      <w:r w:rsidR="00D6200F" w:rsidRPr="00EC147A">
        <w:rPr>
          <w:color w:val="auto"/>
        </w:rPr>
        <w:t xml:space="preserve">Matsumoto </w:t>
      </w:r>
      <w:r w:rsidR="00D6200F" w:rsidRPr="00EC147A">
        <w:rPr>
          <w:i/>
          <w:iCs/>
          <w:color w:val="auto"/>
        </w:rPr>
        <w:t xml:space="preserve">et al., </w:t>
      </w:r>
      <w:r w:rsidR="0033400A" w:rsidRPr="00EC147A">
        <w:rPr>
          <w:color w:val="auto"/>
        </w:rPr>
        <w:t>2017</w:t>
      </w:r>
      <w:r w:rsidR="004A3CA5" w:rsidRPr="00EC147A">
        <w:rPr>
          <w:color w:val="auto"/>
        </w:rPr>
        <w:t xml:space="preserve">).  Plasma </w:t>
      </w:r>
      <w:r w:rsidR="00686B31" w:rsidRPr="00EC147A">
        <w:rPr>
          <w:color w:val="auto"/>
        </w:rPr>
        <w:t xml:space="preserve">PK parameters will be derived and compared to historical controls.  Dialysate concentrations will be calculated at multiple time points.  Exploratorily, exposure-response relationships will be evaluated. </w:t>
      </w:r>
    </w:p>
    <w:p w14:paraId="705E5E29" w14:textId="77777777" w:rsidR="00686B31" w:rsidRPr="00EC147A" w:rsidRDefault="00686B31" w:rsidP="009E246E">
      <w:pPr>
        <w:suppressAutoHyphens/>
        <w:rPr>
          <w:color w:val="auto"/>
        </w:rPr>
      </w:pPr>
    </w:p>
    <w:p w14:paraId="0CDFFDD6" w14:textId="04BA821C" w:rsidR="00CF111C" w:rsidRPr="00EC147A" w:rsidRDefault="00CF111C" w:rsidP="00CF111C">
      <w:pPr>
        <w:spacing w:line="259" w:lineRule="auto"/>
        <w:rPr>
          <w:rFonts w:eastAsia="Arial Unicode MS"/>
          <w:color w:val="auto"/>
        </w:rPr>
      </w:pPr>
      <w:r w:rsidRPr="00EC147A">
        <w:rPr>
          <w:rFonts w:eastAsia="Arial Unicode MS"/>
          <w:color w:val="auto"/>
        </w:rPr>
        <w:t>Response rate will be categorized based on the Response Assessment in Neuro-Oncology (RANO</w:t>
      </w:r>
      <w:r w:rsidR="004D04CE">
        <w:rPr>
          <w:rFonts w:eastAsia="Arial Unicode MS"/>
          <w:color w:val="auto"/>
        </w:rPr>
        <w:t xml:space="preserve"> 2.0</w:t>
      </w:r>
      <w:r w:rsidRPr="00EC147A">
        <w:rPr>
          <w:rFonts w:eastAsia="Arial Unicode MS"/>
          <w:color w:val="auto"/>
        </w:rPr>
        <w:t>) criteria, in which tumor response is based on clinical history, physical exam, and MRI imaging findings (</w:t>
      </w:r>
      <w:r w:rsidR="0033400A" w:rsidRPr="00EC147A">
        <w:rPr>
          <w:rFonts w:eastAsia="Arial Unicode MS"/>
          <w:color w:val="auto"/>
        </w:rPr>
        <w:t xml:space="preserve">Leao </w:t>
      </w:r>
      <w:r w:rsidR="0033400A" w:rsidRPr="00EC147A">
        <w:rPr>
          <w:rFonts w:eastAsia="Arial Unicode MS"/>
          <w:i/>
          <w:iCs/>
          <w:color w:val="auto"/>
        </w:rPr>
        <w:t xml:space="preserve">et al., </w:t>
      </w:r>
      <w:r w:rsidR="0033400A" w:rsidRPr="00EC147A">
        <w:rPr>
          <w:rFonts w:eastAsia="Arial Unicode MS"/>
          <w:color w:val="auto"/>
        </w:rPr>
        <w:t>2020</w:t>
      </w:r>
      <w:r w:rsidRPr="00EC147A">
        <w:rPr>
          <w:rFonts w:eastAsia="Arial Unicode MS"/>
          <w:color w:val="auto"/>
        </w:rPr>
        <w:t>).  The total number of patients in each response category divided by the total number of evaluable patients determines response rate.  An evaluable patient is defined as an eligible patient who received at least one dose of triapine.  The response rates will be calculated with corresponding 95% exact Clopper-Pearson confidence intervals.  Kaplan Meier curves will estimate PFS and OS.  PFS is defined as time from study enrollment to date of either disease progression or death.  OS is defined as time from study enrollment to date of death.  The proportion of evaluable patients who initiated bevacizumab for symptom control during the study period will be calculated using descriptive statistics.</w:t>
      </w:r>
    </w:p>
    <w:p w14:paraId="4C7FF82E" w14:textId="66629D5B" w:rsidR="00686B31" w:rsidRPr="00EC147A" w:rsidRDefault="00686B31" w:rsidP="009E246E">
      <w:pPr>
        <w:suppressAutoHyphens/>
        <w:rPr>
          <w:color w:val="auto"/>
        </w:rPr>
      </w:pPr>
    </w:p>
    <w:p w14:paraId="1D65CAE2" w14:textId="15A57CB0" w:rsidR="00FF71BB" w:rsidRPr="00EC147A" w:rsidRDefault="00FF71BB" w:rsidP="009E246E">
      <w:pPr>
        <w:suppressAutoHyphens/>
        <w:rPr>
          <w:rFonts w:eastAsia="Arial Unicode MS"/>
          <w:color w:val="auto"/>
        </w:rPr>
      </w:pPr>
      <w:r w:rsidRPr="00EC147A">
        <w:rPr>
          <w:rFonts w:eastAsia="Arial Unicode MS"/>
          <w:color w:val="auto"/>
        </w:rPr>
        <w:t>For tumor tissue biomarkers, the presence of genetic alterations, expression of RRM2, and other molecular gene expression signatures will be descriptive in relation to tumor response and clinical outcomes.</w:t>
      </w:r>
    </w:p>
    <w:p w14:paraId="72914080" w14:textId="77777777" w:rsidR="00E91E3E" w:rsidRPr="007300F3" w:rsidRDefault="00E91E3E" w:rsidP="009E246E">
      <w:pPr>
        <w:suppressAutoHyphens/>
      </w:pPr>
    </w:p>
    <w:p w14:paraId="5AA6BD53" w14:textId="77777777" w:rsidR="009E246E" w:rsidRPr="007300F3" w:rsidRDefault="009E246E" w:rsidP="00C94562">
      <w:pPr>
        <w:pStyle w:val="Heading1"/>
      </w:pPr>
      <w:bookmarkStart w:id="110" w:name="_Toc318813017"/>
      <w:bookmarkStart w:id="111" w:name="_Toc176419928"/>
      <w:r w:rsidRPr="007300F3">
        <w:t>ADVERSE EVENTS:  LIST AND REPORTING REQUIREMENTS</w:t>
      </w:r>
      <w:bookmarkEnd w:id="110"/>
      <w:bookmarkEnd w:id="111"/>
      <w:r w:rsidRPr="007300F3">
        <w:t xml:space="preserve"> </w:t>
      </w:r>
    </w:p>
    <w:p w14:paraId="49BA0918" w14:textId="77777777" w:rsidR="009E246E" w:rsidRPr="004E43F4" w:rsidRDefault="009E246E" w:rsidP="009E246E"/>
    <w:p w14:paraId="00FBC5CC" w14:textId="77777777" w:rsidR="009E246E" w:rsidRPr="007300F3" w:rsidRDefault="009E246E" w:rsidP="009E246E">
      <w:pPr>
        <w:rPr>
          <w:b/>
          <w:bCs/>
        </w:rPr>
      </w:pPr>
      <w:r w:rsidRPr="007300F3">
        <w:t xml:space="preserve">Adverse event (AE) monitoring and reporting is a routine part of every clinical trial.  The following list of AEs (Section </w:t>
      </w:r>
      <w:r w:rsidR="00F53684">
        <w:t>10</w:t>
      </w:r>
      <w:r w:rsidRPr="007300F3">
        <w:t>.1) and the characteristics of an observed AE (Section</w:t>
      </w:r>
      <w:r w:rsidR="00CE1D7D">
        <w:t>s</w:t>
      </w:r>
      <w:r w:rsidRPr="007300F3">
        <w:t xml:space="preserve"> </w:t>
      </w:r>
      <w:r w:rsidR="00F53684">
        <w:t>10</w:t>
      </w:r>
      <w:r w:rsidRPr="007300F3">
        <w:t>.2</w:t>
      </w:r>
      <w:r w:rsidR="00CE1D7D">
        <w:t xml:space="preserve"> and </w:t>
      </w:r>
      <w:r w:rsidR="00F53684">
        <w:t>10</w:t>
      </w:r>
      <w:r w:rsidR="00CE1D7D">
        <w:t>.3</w:t>
      </w:r>
      <w:r w:rsidRPr="007300F3">
        <w:t xml:space="preserve">) will determine whether the event requires </w:t>
      </w:r>
      <w:r w:rsidRPr="007300F3">
        <w:rPr>
          <w:bCs/>
        </w:rPr>
        <w:t>expedited</w:t>
      </w:r>
      <w:r w:rsidRPr="007300F3">
        <w:t xml:space="preserve"> </w:t>
      </w:r>
      <w:r>
        <w:t xml:space="preserve">reporting </w:t>
      </w:r>
      <w:r w:rsidRPr="007300F3">
        <w:t xml:space="preserve">via </w:t>
      </w:r>
      <w:r>
        <w:t>the CTEP Adverse Event Reporting System (CTEP-AERS</w:t>
      </w:r>
      <w:r w:rsidRPr="007300F3">
        <w:t xml:space="preserve">) </w:t>
      </w:r>
      <w:r w:rsidRPr="007300F3">
        <w:rPr>
          <w:b/>
        </w:rPr>
        <w:t>in addition</w:t>
      </w:r>
      <w:r w:rsidRPr="007300F3">
        <w:t xml:space="preserve"> to </w:t>
      </w:r>
      <w:r w:rsidRPr="007300F3">
        <w:rPr>
          <w:bCs/>
        </w:rPr>
        <w:t>routine</w:t>
      </w:r>
      <w:r w:rsidRPr="007300F3">
        <w:t xml:space="preserve"> reporting.</w:t>
      </w:r>
    </w:p>
    <w:p w14:paraId="55DFE20C" w14:textId="77777777" w:rsidR="00CB3559" w:rsidRPr="007300F3" w:rsidRDefault="00CB3559" w:rsidP="00CB3559"/>
    <w:p w14:paraId="08EFD662" w14:textId="2BCA3D79" w:rsidR="009E246E" w:rsidRPr="004C65CC" w:rsidRDefault="009E246E" w:rsidP="00C94562">
      <w:pPr>
        <w:pStyle w:val="Heading2"/>
      </w:pPr>
      <w:bookmarkStart w:id="112" w:name="_Toc318813018"/>
      <w:bookmarkStart w:id="113" w:name="_Toc176419929"/>
      <w:r w:rsidRPr="004C65CC">
        <w:t>Comprehensive Adverse Events and Potential Risks List (CAEPR)</w:t>
      </w:r>
      <w:bookmarkEnd w:id="112"/>
      <w:bookmarkEnd w:id="113"/>
    </w:p>
    <w:p w14:paraId="719A081C" w14:textId="77777777" w:rsidR="009E246E" w:rsidRPr="007300F3" w:rsidRDefault="009E246E" w:rsidP="009E246E"/>
    <w:p w14:paraId="3D360612" w14:textId="2FC7DB52" w:rsidR="009E246E" w:rsidRPr="00C312CF" w:rsidRDefault="009E246E" w:rsidP="00C312CF">
      <w:pPr>
        <w:pStyle w:val="Level3Heading"/>
        <w:rPr>
          <w:u w:val="single"/>
        </w:rPr>
      </w:pPr>
      <w:r w:rsidRPr="00C312CF">
        <w:rPr>
          <w:u w:val="single"/>
        </w:rPr>
        <w:lastRenderedPageBreak/>
        <w:t>CAEPRs for CTEP IND Agent</w:t>
      </w:r>
    </w:p>
    <w:p w14:paraId="5C93A998" w14:textId="77777777" w:rsidR="009E246E" w:rsidRDefault="009E246E" w:rsidP="009E246E">
      <w:pPr>
        <w:ind w:left="1440" w:hanging="720"/>
        <w:rPr>
          <w:highlight w:val="cyan"/>
        </w:rPr>
      </w:pPr>
    </w:p>
    <w:p w14:paraId="27DE09E2" w14:textId="0C8DFFD3" w:rsidR="009E246E" w:rsidRPr="00C41899" w:rsidRDefault="009E246E" w:rsidP="00C312CF">
      <w:pPr>
        <w:pStyle w:val="Level4Heading"/>
      </w:pPr>
      <w:r w:rsidRPr="00C41899">
        <w:t>CAEPR fo</w:t>
      </w:r>
      <w:r w:rsidRPr="00EC147A">
        <w:rPr>
          <w:color w:val="auto"/>
        </w:rPr>
        <w:t xml:space="preserve">r </w:t>
      </w:r>
      <w:r w:rsidR="00647C71" w:rsidRPr="00EC147A">
        <w:rPr>
          <w:color w:val="auto"/>
        </w:rPr>
        <w:t>Triapine</w:t>
      </w:r>
    </w:p>
    <w:p w14:paraId="0C2DD887" w14:textId="77777777" w:rsidR="009E246E" w:rsidRPr="009163B6" w:rsidRDefault="009E246E" w:rsidP="009E246E"/>
    <w:p w14:paraId="168B585C" w14:textId="77777777" w:rsidR="00A829AC" w:rsidRPr="00A829AC" w:rsidRDefault="00A829AC" w:rsidP="00A829AC">
      <w:pPr>
        <w:widowControl/>
        <w:jc w:val="center"/>
        <w:rPr>
          <w:rFonts w:ascii="Arial" w:hAnsi="Arial" w:cs="Arial"/>
          <w:b/>
          <w:bCs/>
          <w:snapToGrid/>
          <w:color w:val="auto"/>
        </w:rPr>
      </w:pPr>
      <w:r w:rsidRPr="00A829AC">
        <w:rPr>
          <w:rFonts w:ascii="Arial" w:hAnsi="Arial" w:cs="Arial"/>
          <w:b/>
          <w:bCs/>
          <w:snapToGrid/>
          <w:color w:val="auto"/>
        </w:rPr>
        <w:t>Comprehensive Adverse Events and Potential Risks list (CAEPR)</w:t>
      </w:r>
    </w:p>
    <w:p w14:paraId="7AC96ED3" w14:textId="77777777" w:rsidR="00A829AC" w:rsidRPr="00A829AC" w:rsidRDefault="00A829AC" w:rsidP="00A829AC">
      <w:pPr>
        <w:widowControl/>
        <w:jc w:val="center"/>
        <w:rPr>
          <w:rFonts w:ascii="Arial" w:hAnsi="Arial" w:cs="Arial"/>
          <w:snapToGrid/>
          <w:color w:val="auto"/>
        </w:rPr>
      </w:pPr>
      <w:r w:rsidRPr="00A829AC">
        <w:rPr>
          <w:rFonts w:ascii="Arial" w:hAnsi="Arial" w:cs="Arial"/>
          <w:b/>
          <w:bCs/>
          <w:snapToGrid/>
          <w:color w:val="auto"/>
        </w:rPr>
        <w:t>for</w:t>
      </w:r>
    </w:p>
    <w:p w14:paraId="1CAD97B4" w14:textId="77777777" w:rsidR="00A829AC" w:rsidRPr="00A829AC" w:rsidRDefault="00A829AC" w:rsidP="00A829AC">
      <w:pPr>
        <w:widowControl/>
        <w:jc w:val="center"/>
        <w:rPr>
          <w:rFonts w:ascii="Arial" w:hAnsi="Arial" w:cs="Arial"/>
          <w:snapToGrid/>
          <w:color w:val="auto"/>
        </w:rPr>
      </w:pPr>
      <w:r w:rsidRPr="00A829AC">
        <w:rPr>
          <w:rFonts w:ascii="Arial" w:hAnsi="Arial" w:cs="Arial"/>
          <w:b/>
          <w:bCs/>
          <w:snapToGrid/>
          <w:color w:val="auto"/>
        </w:rPr>
        <w:t>Triapine</w:t>
      </w:r>
      <w:r w:rsidRPr="00A829AC">
        <w:rPr>
          <w:rFonts w:ascii="Arial" w:hAnsi="Arial" w:cs="Arial"/>
          <w:b/>
          <w:bCs/>
          <w:snapToGrid/>
          <w:color w:val="auto"/>
          <w:vertAlign w:val="superscript"/>
        </w:rPr>
        <w:t>®</w:t>
      </w:r>
      <w:r w:rsidRPr="00A829AC">
        <w:rPr>
          <w:rFonts w:ascii="Arial" w:hAnsi="Arial" w:cs="Arial"/>
          <w:b/>
          <w:bCs/>
          <w:snapToGrid/>
          <w:color w:val="auto"/>
        </w:rPr>
        <w:t xml:space="preserve"> (NSC 663249)</w:t>
      </w:r>
    </w:p>
    <w:p w14:paraId="4AA1A264" w14:textId="77777777" w:rsidR="00A829AC" w:rsidRPr="00A829AC" w:rsidRDefault="00A829AC" w:rsidP="00A829AC">
      <w:pPr>
        <w:widowControl/>
        <w:rPr>
          <w:rFonts w:ascii="Arial" w:hAnsi="Arial" w:cs="Arial"/>
          <w:snapToGrid/>
          <w:color w:val="auto"/>
          <w:sz w:val="20"/>
          <w:szCs w:val="20"/>
        </w:rPr>
      </w:pPr>
    </w:p>
    <w:p w14:paraId="35DFB38A" w14:textId="77777777" w:rsidR="00A829AC" w:rsidRPr="00A829AC" w:rsidRDefault="00A829AC" w:rsidP="00A829AC">
      <w:pPr>
        <w:widowControl/>
        <w:ind w:right="-333"/>
        <w:rPr>
          <w:rFonts w:ascii="Arial" w:hAnsi="Arial" w:cs="Arial"/>
          <w:snapToGrid/>
          <w:color w:val="auto"/>
          <w:sz w:val="20"/>
          <w:szCs w:val="20"/>
        </w:rPr>
      </w:pPr>
      <w:r w:rsidRPr="00A829AC">
        <w:rPr>
          <w:rFonts w:ascii="Arial" w:hAnsi="Arial" w:cs="Arial"/>
          <w:snapToGrid/>
          <w:color w:val="auto"/>
          <w:sz w:val="20"/>
          <w:szCs w:val="20"/>
        </w:rPr>
        <w:t>The Comprehensive Adverse Events and Potential Risks list (CAEPR) provides a single list of reported and/or potential adverse events (AE) associated with an agent using a uniform presentation of events by body system. In addition to the comprehensive list, a subset, the Specific Protocol Exceptions to Expedited Reporting (SPEER), appears in a separate column and is identified with</w:t>
      </w:r>
      <w:r w:rsidRPr="00A829AC">
        <w:rPr>
          <w:rFonts w:ascii="Arial" w:hAnsi="Arial" w:cs="Arial"/>
          <w:b/>
          <w:bCs/>
          <w:i/>
          <w:iCs/>
          <w:snapToGrid/>
          <w:color w:val="auto"/>
          <w:sz w:val="20"/>
          <w:szCs w:val="20"/>
        </w:rPr>
        <w:t xml:space="preserve"> </w:t>
      </w:r>
      <w:r w:rsidRPr="00A829AC">
        <w:rPr>
          <w:rFonts w:ascii="Arial" w:hAnsi="Arial" w:cs="Arial"/>
          <w:bCs/>
          <w:iCs/>
          <w:snapToGrid/>
          <w:color w:val="auto"/>
          <w:sz w:val="20"/>
          <w:szCs w:val="20"/>
        </w:rPr>
        <w:t>bold</w:t>
      </w:r>
      <w:r w:rsidRPr="00A829AC">
        <w:rPr>
          <w:rFonts w:ascii="Arial" w:hAnsi="Arial" w:cs="Arial"/>
          <w:b/>
          <w:bCs/>
          <w:i/>
          <w:iCs/>
          <w:snapToGrid/>
          <w:color w:val="auto"/>
          <w:sz w:val="20"/>
          <w:szCs w:val="20"/>
        </w:rPr>
        <w:t xml:space="preserve"> </w:t>
      </w:r>
      <w:r w:rsidRPr="00A829AC">
        <w:rPr>
          <w:rFonts w:ascii="Arial" w:hAnsi="Arial" w:cs="Arial"/>
          <w:snapToGrid/>
          <w:color w:val="auto"/>
          <w:sz w:val="20"/>
          <w:szCs w:val="20"/>
        </w:rPr>
        <w:t xml:space="preserve">and </w:t>
      </w:r>
      <w:r w:rsidRPr="00A829AC">
        <w:rPr>
          <w:rFonts w:ascii="Arial" w:hAnsi="Arial" w:cs="Arial"/>
          <w:bCs/>
          <w:iCs/>
          <w:snapToGrid/>
          <w:color w:val="auto"/>
          <w:sz w:val="20"/>
          <w:szCs w:val="20"/>
        </w:rPr>
        <w:t>italicized</w:t>
      </w:r>
      <w:r w:rsidRPr="00A829AC">
        <w:rPr>
          <w:rFonts w:ascii="Arial" w:hAnsi="Arial" w:cs="Arial"/>
          <w:snapToGrid/>
          <w:color w:val="auto"/>
          <w:sz w:val="20"/>
          <w:szCs w:val="20"/>
        </w:rPr>
        <w:t xml:space="preserve"> text. This subset of AEs (SPEER) is a list of events that are protocol specific exceptions to expedited reporting to NCI (except as noted below). Refer to the 'CTEP, NCI Guidelines: Adverse Event Reporting Requirements' </w:t>
      </w:r>
      <w:r w:rsidRPr="00A829AC">
        <w:rPr>
          <w:rFonts w:ascii="Arial" w:hAnsi="Arial" w:cs="Arial"/>
          <w:snapToGrid/>
          <w:color w:val="0000FF"/>
          <w:sz w:val="20"/>
          <w:szCs w:val="20"/>
          <w:u w:val="single"/>
        </w:rPr>
        <w:t>http://ctep.cancer.gov/protocolDevelopment/electronic_applications/docs/aeguidelines.pdf</w:t>
      </w:r>
      <w:r w:rsidRPr="00A829AC">
        <w:rPr>
          <w:rFonts w:ascii="Arial" w:hAnsi="Arial" w:cs="Arial"/>
          <w:snapToGrid/>
          <w:color w:val="auto"/>
          <w:sz w:val="20"/>
          <w:szCs w:val="20"/>
        </w:rPr>
        <w:t xml:space="preserve"> for further clarification. </w:t>
      </w:r>
      <w:r w:rsidRPr="00A829AC">
        <w:rPr>
          <w:rFonts w:ascii="Arial" w:hAnsi="Arial" w:cs="Arial"/>
          <w:i/>
          <w:iCs/>
          <w:snapToGrid/>
          <w:color w:val="auto"/>
          <w:sz w:val="20"/>
          <w:szCs w:val="20"/>
        </w:rPr>
        <w:t xml:space="preserve">Frequency is provided based on 182 patients. </w:t>
      </w:r>
      <w:r w:rsidRPr="00A829AC">
        <w:rPr>
          <w:rFonts w:ascii="Arial" w:hAnsi="Arial" w:cs="Arial"/>
          <w:snapToGrid/>
          <w:color w:val="auto"/>
          <w:sz w:val="20"/>
          <w:szCs w:val="20"/>
        </w:rPr>
        <w:t>Below is the CAEPR for Triapine</w:t>
      </w:r>
      <w:r w:rsidRPr="00A829AC">
        <w:rPr>
          <w:rFonts w:ascii="Arial" w:hAnsi="Arial" w:cs="Arial"/>
          <w:snapToGrid/>
          <w:color w:val="auto"/>
          <w:sz w:val="20"/>
          <w:szCs w:val="20"/>
          <w:vertAlign w:val="superscript"/>
        </w:rPr>
        <w:t>®</w:t>
      </w:r>
      <w:r w:rsidRPr="00A829AC">
        <w:rPr>
          <w:rFonts w:ascii="Arial" w:hAnsi="Arial" w:cs="Arial"/>
          <w:snapToGrid/>
          <w:color w:val="auto"/>
          <w:sz w:val="20"/>
          <w:szCs w:val="20"/>
        </w:rPr>
        <w:t>.</w:t>
      </w:r>
    </w:p>
    <w:p w14:paraId="61F78D79" w14:textId="77777777" w:rsidR="00A829AC" w:rsidRPr="00A829AC" w:rsidRDefault="00A829AC" w:rsidP="00A829AC">
      <w:pPr>
        <w:widowControl/>
        <w:ind w:right="547"/>
        <w:rPr>
          <w:rFonts w:ascii="Arial" w:hAnsi="Arial" w:cs="Arial"/>
          <w:snapToGrid/>
          <w:color w:val="auto"/>
          <w:sz w:val="20"/>
          <w:szCs w:val="20"/>
        </w:rPr>
      </w:pPr>
    </w:p>
    <w:p w14:paraId="70FB3AB6" w14:textId="77777777" w:rsidR="00A829AC" w:rsidRPr="00A829AC" w:rsidRDefault="00A829AC" w:rsidP="00A829AC">
      <w:pPr>
        <w:widowControl/>
        <w:ind w:left="360" w:right="547"/>
        <w:rPr>
          <w:rFonts w:ascii="Arial" w:hAnsi="Arial" w:cs="Arial"/>
          <w:snapToGrid/>
          <w:color w:val="auto"/>
          <w:sz w:val="20"/>
          <w:szCs w:val="20"/>
        </w:rPr>
      </w:pPr>
      <w:r w:rsidRPr="00A829AC">
        <w:rPr>
          <w:rFonts w:ascii="Arial" w:hAnsi="Arial" w:cs="Arial"/>
          <w:b/>
          <w:snapToGrid/>
          <w:color w:val="auto"/>
          <w:sz w:val="20"/>
          <w:szCs w:val="20"/>
          <w:u w:val="single"/>
        </w:rPr>
        <w:t>NOTE:</w:t>
      </w:r>
      <w:r w:rsidRPr="00A829AC">
        <w:rPr>
          <w:rFonts w:ascii="Arial" w:hAnsi="Arial" w:cs="Arial"/>
          <w:snapToGrid/>
          <w:color w:val="auto"/>
          <w:sz w:val="20"/>
          <w:szCs w:val="20"/>
        </w:rPr>
        <w:t xml:space="preserve"> Report AEs on the SPEER </w:t>
      </w:r>
      <w:r w:rsidRPr="00A829AC">
        <w:rPr>
          <w:rFonts w:ascii="Arial" w:hAnsi="Arial" w:cs="Arial"/>
          <w:b/>
          <w:snapToGrid/>
          <w:color w:val="auto"/>
          <w:sz w:val="20"/>
          <w:szCs w:val="20"/>
          <w:u w:val="single"/>
        </w:rPr>
        <w:t>ONLY IF</w:t>
      </w:r>
      <w:r w:rsidRPr="00A829AC">
        <w:rPr>
          <w:rFonts w:ascii="Arial" w:hAnsi="Arial" w:cs="Arial"/>
          <w:snapToGrid/>
          <w:color w:val="auto"/>
          <w:sz w:val="20"/>
          <w:szCs w:val="20"/>
        </w:rPr>
        <w:t xml:space="preserve"> they exceed the grade noted in parentheses next to the AE in the SPEER. If this CAEPR is part of a combination protocol using multiple investigational agents and has an AE listed on different SPEERs, use the lower of the grades to determine if expedited reporting is required.</w:t>
      </w:r>
    </w:p>
    <w:p w14:paraId="71085D90" w14:textId="77777777" w:rsidR="00A829AC" w:rsidRPr="00A829AC" w:rsidRDefault="00A829AC" w:rsidP="00A829AC">
      <w:pPr>
        <w:widowControl/>
        <w:jc w:val="right"/>
        <w:rPr>
          <w:rFonts w:ascii="Arial" w:hAnsi="Arial" w:cs="Arial"/>
          <w:snapToGrid/>
          <w:color w:val="auto"/>
          <w:sz w:val="10"/>
          <w:szCs w:val="10"/>
        </w:rPr>
      </w:pPr>
    </w:p>
    <w:p w14:paraId="68FA4A7B" w14:textId="1AC6AF27" w:rsidR="00A829AC" w:rsidRPr="00A829AC" w:rsidRDefault="00A829AC" w:rsidP="00A829AC">
      <w:pPr>
        <w:widowControl/>
        <w:jc w:val="right"/>
        <w:rPr>
          <w:rFonts w:ascii="Arial" w:hAnsi="Arial" w:cs="Arial"/>
          <w:b/>
          <w:bCs/>
          <w:snapToGrid/>
          <w:color w:val="auto"/>
          <w:sz w:val="20"/>
          <w:szCs w:val="20"/>
        </w:rPr>
      </w:pPr>
      <w:r w:rsidRPr="00A829AC">
        <w:rPr>
          <w:rFonts w:ascii="Arial" w:hAnsi="Arial" w:cs="Arial"/>
          <w:b/>
          <w:bCs/>
          <w:snapToGrid/>
          <w:color w:val="auto"/>
          <w:sz w:val="20"/>
          <w:szCs w:val="20"/>
        </w:rPr>
        <w:t>Version 2.6, March 19, 2019</w:t>
      </w:r>
      <w:hyperlink w:anchor="_ENREF_1" w:tooltip=",  #155" w:history="1">
        <w:r w:rsidRPr="00A829AC">
          <w:rPr>
            <w:rFonts w:ascii="Arial" w:hAnsi="Arial" w:cs="Arial"/>
            <w:b/>
            <w:bCs/>
            <w:snapToGrid/>
            <w:color w:val="auto"/>
            <w:sz w:val="20"/>
            <w:szCs w:val="20"/>
          </w:rPr>
          <w:fldChar w:fldCharType="begin"/>
        </w:r>
        <w:r w:rsidRPr="00A829AC">
          <w:rPr>
            <w:rFonts w:ascii="Arial" w:hAnsi="Arial" w:cs="Arial"/>
            <w:b/>
            <w:bCs/>
            <w:snapToGrid/>
            <w:color w:val="auto"/>
            <w:sz w:val="20"/>
            <w:szCs w:val="20"/>
          </w:rPr>
          <w:instrText xml:space="preserve"> ADDIN EN.CITE &lt;EndNote&gt;&lt;Cite&gt;&lt;RecNum&gt;155&lt;/RecNum&gt;&lt;DisplayText&gt;&lt;style face="superscript"&gt;1&lt;/style&gt;&lt;/DisplayText&gt;&lt;record&gt;&lt;rec-number&gt;155&lt;/rec-number&gt;&lt;foreign-keys&gt;&lt;key app="EN" db-id="9avsa90frftrwlexrt052d5h92fep9wdxewv"&gt;155&lt;/key&gt;&lt;/foreign-keys&gt;&lt;ref-type name="Standard"&gt;58&lt;/ref-type&gt;&lt;contributors&gt;&lt;/contributors&gt;&lt;titles&gt;&lt;title&gt;This table will be updated as the toxicity profile of the agent is revised.  Updates will be distributed to all Principal Investigators at the time of revision.  The current version can be obtained by contacting PIO@CTEP.NCI.NIH.GOV.  Your name, the name of the investigator, the protocol and the agent should be included in the e-mail.&lt;/title&gt;&lt;/titles&gt;&lt;dates&gt;&lt;/dates&gt;&lt;urls&gt;&lt;/urls&gt;&lt;/record&gt;&lt;/Cite&gt;&lt;/EndNote&gt;</w:instrText>
        </w:r>
        <w:r w:rsidRPr="00A829AC">
          <w:rPr>
            <w:rFonts w:ascii="Arial" w:hAnsi="Arial" w:cs="Arial"/>
            <w:b/>
            <w:bCs/>
            <w:snapToGrid/>
            <w:color w:val="auto"/>
            <w:sz w:val="20"/>
            <w:szCs w:val="20"/>
          </w:rPr>
          <w:fldChar w:fldCharType="separate"/>
        </w:r>
        <w:r w:rsidRPr="00A829AC">
          <w:rPr>
            <w:rFonts w:ascii="Arial" w:hAnsi="Arial" w:cs="Arial"/>
            <w:b/>
            <w:bCs/>
            <w:noProof/>
            <w:snapToGrid/>
            <w:color w:val="auto"/>
            <w:sz w:val="20"/>
            <w:szCs w:val="20"/>
            <w:vertAlign w:val="superscript"/>
          </w:rPr>
          <w:t>1</w:t>
        </w:r>
        <w:r w:rsidRPr="00A829AC">
          <w:rPr>
            <w:rFonts w:ascii="Arial" w:hAnsi="Arial" w:cs="Arial"/>
            <w:b/>
            <w:bCs/>
            <w:snapToGrid/>
            <w:color w:val="auto"/>
            <w:sz w:val="20"/>
            <w:szCs w:val="20"/>
          </w:rPr>
          <w:fldChar w:fldCharType="end"/>
        </w:r>
      </w:hyperlink>
    </w:p>
    <w:tbl>
      <w:tblPr>
        <w:tblW w:w="1062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425"/>
        <w:gridCol w:w="2700"/>
        <w:gridCol w:w="2250"/>
        <w:gridCol w:w="90"/>
        <w:gridCol w:w="3162"/>
      </w:tblGrid>
      <w:tr w:rsidR="00A829AC" w:rsidRPr="00A829AC" w14:paraId="33616EE5" w14:textId="77777777">
        <w:trPr>
          <w:tblHeader/>
          <w:jc w:val="center"/>
        </w:trPr>
        <w:tc>
          <w:tcPr>
            <w:tcW w:w="7375" w:type="dxa"/>
            <w:gridSpan w:val="3"/>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14:paraId="6508438C" w14:textId="77777777" w:rsidR="00A829AC" w:rsidRPr="00A829AC" w:rsidRDefault="00A829AC" w:rsidP="00A829AC">
            <w:pPr>
              <w:widowControl/>
              <w:jc w:val="center"/>
              <w:rPr>
                <w:rFonts w:ascii="Arial" w:hAnsi="Arial" w:cs="Arial"/>
                <w:b/>
                <w:bCs/>
                <w:snapToGrid/>
                <w:color w:val="auto"/>
                <w:sz w:val="20"/>
                <w:szCs w:val="20"/>
              </w:rPr>
            </w:pPr>
          </w:p>
          <w:p w14:paraId="09143D29" w14:textId="77777777" w:rsidR="00A829AC" w:rsidRPr="00A829AC" w:rsidRDefault="00A829AC" w:rsidP="00A829AC">
            <w:pPr>
              <w:widowControl/>
              <w:jc w:val="center"/>
              <w:rPr>
                <w:rFonts w:ascii="Arial" w:hAnsi="Arial" w:cs="Arial"/>
                <w:b/>
                <w:bCs/>
                <w:snapToGrid/>
                <w:color w:val="auto"/>
                <w:sz w:val="20"/>
                <w:szCs w:val="20"/>
              </w:rPr>
            </w:pPr>
            <w:r w:rsidRPr="00A829AC">
              <w:rPr>
                <w:rFonts w:ascii="Arial" w:hAnsi="Arial" w:cs="Arial"/>
                <w:b/>
                <w:bCs/>
                <w:snapToGrid/>
                <w:color w:val="auto"/>
                <w:sz w:val="20"/>
                <w:szCs w:val="20"/>
              </w:rPr>
              <w:t xml:space="preserve"> Adverse Events with Possible </w:t>
            </w:r>
          </w:p>
          <w:p w14:paraId="687B0590" w14:textId="77777777" w:rsidR="00A829AC" w:rsidRPr="00A829AC" w:rsidRDefault="00A829AC" w:rsidP="00A829AC">
            <w:pPr>
              <w:widowControl/>
              <w:jc w:val="center"/>
              <w:rPr>
                <w:rFonts w:ascii="Arial" w:hAnsi="Arial" w:cs="Arial"/>
                <w:b/>
                <w:bCs/>
                <w:snapToGrid/>
                <w:color w:val="auto"/>
                <w:sz w:val="20"/>
                <w:szCs w:val="20"/>
              </w:rPr>
            </w:pPr>
            <w:r w:rsidRPr="00A829AC">
              <w:rPr>
                <w:rFonts w:ascii="Arial" w:hAnsi="Arial" w:cs="Arial"/>
                <w:b/>
                <w:bCs/>
                <w:snapToGrid/>
                <w:color w:val="auto"/>
                <w:sz w:val="20"/>
                <w:szCs w:val="20"/>
              </w:rPr>
              <w:t xml:space="preserve"> Relationship to Triapine</w:t>
            </w:r>
            <w:r w:rsidRPr="00A829AC">
              <w:rPr>
                <w:rFonts w:ascii="Arial" w:hAnsi="Arial" w:cs="Arial"/>
                <w:b/>
                <w:bCs/>
                <w:snapToGrid/>
                <w:color w:val="auto"/>
                <w:sz w:val="20"/>
                <w:szCs w:val="20"/>
                <w:vertAlign w:val="superscript"/>
              </w:rPr>
              <w:t>®</w:t>
            </w:r>
          </w:p>
          <w:p w14:paraId="529163F1" w14:textId="77777777" w:rsidR="00A829AC" w:rsidRPr="00A829AC" w:rsidRDefault="00A829AC" w:rsidP="00A829AC">
            <w:pPr>
              <w:widowControl/>
              <w:jc w:val="center"/>
              <w:rPr>
                <w:rFonts w:ascii="Arial" w:hAnsi="Arial" w:cs="Arial"/>
                <w:b/>
                <w:bCs/>
                <w:snapToGrid/>
                <w:color w:val="auto"/>
                <w:sz w:val="20"/>
                <w:szCs w:val="20"/>
              </w:rPr>
            </w:pPr>
            <w:r w:rsidRPr="00A829AC">
              <w:rPr>
                <w:rFonts w:ascii="Arial" w:hAnsi="Arial" w:cs="Arial"/>
                <w:b/>
                <w:bCs/>
                <w:snapToGrid/>
                <w:color w:val="auto"/>
                <w:sz w:val="20"/>
                <w:szCs w:val="20"/>
              </w:rPr>
              <w:t xml:space="preserve"> (CTCAE 5.0 Term)</w:t>
            </w:r>
          </w:p>
          <w:p w14:paraId="2EB3ED58" w14:textId="77777777" w:rsidR="00A829AC" w:rsidRPr="00A829AC" w:rsidRDefault="00A829AC" w:rsidP="00A829AC">
            <w:pPr>
              <w:widowControl/>
              <w:jc w:val="center"/>
              <w:rPr>
                <w:rFonts w:ascii="Arial" w:hAnsi="Arial" w:cs="Arial"/>
                <w:b/>
                <w:bCs/>
                <w:snapToGrid/>
                <w:color w:val="auto"/>
                <w:sz w:val="20"/>
                <w:szCs w:val="20"/>
              </w:rPr>
            </w:pPr>
            <w:r w:rsidRPr="00A829AC">
              <w:rPr>
                <w:rFonts w:ascii="Arial" w:hAnsi="Arial" w:cs="Arial"/>
                <w:b/>
                <w:bCs/>
                <w:snapToGrid/>
                <w:color w:val="auto"/>
                <w:sz w:val="20"/>
                <w:szCs w:val="20"/>
              </w:rPr>
              <w:t>[n= 182]</w:t>
            </w: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47A505CF" w14:textId="77777777" w:rsidR="00A829AC" w:rsidRPr="00A829AC" w:rsidRDefault="00A829AC" w:rsidP="00A829AC">
            <w:pPr>
              <w:widowControl/>
              <w:rPr>
                <w:rFonts w:ascii="Arial" w:hAnsi="Arial" w:cs="Arial"/>
                <w:snapToGrid/>
                <w:color w:val="auto"/>
                <w:sz w:val="20"/>
                <w:szCs w:val="20"/>
              </w:rPr>
            </w:pPr>
          </w:p>
        </w:tc>
        <w:tc>
          <w:tcPr>
            <w:tcW w:w="3162" w:type="dxa"/>
            <w:vMerge w:val="restart"/>
            <w:tcBorders>
              <w:top w:val="single" w:sz="4" w:space="0" w:color="000000"/>
              <w:left w:val="single" w:sz="4" w:space="0" w:color="000000"/>
              <w:right w:val="single" w:sz="4" w:space="0" w:color="000000"/>
            </w:tcBorders>
            <w:shd w:val="clear" w:color="auto" w:fill="CCFFCC"/>
            <w:tcMar>
              <w:top w:w="10" w:type="dxa"/>
              <w:left w:w="10" w:type="dxa"/>
              <w:bottom w:w="10" w:type="dxa"/>
              <w:right w:w="10" w:type="dxa"/>
            </w:tcMar>
            <w:vAlign w:val="center"/>
          </w:tcPr>
          <w:p w14:paraId="20DCC2EC" w14:textId="77777777" w:rsidR="00A829AC" w:rsidRPr="00A829AC" w:rsidRDefault="00A829AC" w:rsidP="00A829AC">
            <w:pPr>
              <w:widowControl/>
              <w:jc w:val="center"/>
              <w:rPr>
                <w:rFonts w:ascii="Arial" w:hAnsi="Arial" w:cs="Arial"/>
                <w:b/>
                <w:bCs/>
                <w:snapToGrid/>
                <w:color w:val="auto"/>
                <w:sz w:val="20"/>
                <w:szCs w:val="20"/>
              </w:rPr>
            </w:pPr>
          </w:p>
          <w:p w14:paraId="502EA0B7" w14:textId="77777777" w:rsidR="00A829AC" w:rsidRPr="00A829AC" w:rsidRDefault="00A829AC" w:rsidP="00A829AC">
            <w:pPr>
              <w:widowControl/>
              <w:jc w:val="center"/>
              <w:rPr>
                <w:rFonts w:ascii="Arial" w:hAnsi="Arial" w:cs="Arial"/>
                <w:b/>
                <w:bCs/>
                <w:snapToGrid/>
                <w:color w:val="auto"/>
                <w:sz w:val="20"/>
                <w:szCs w:val="20"/>
              </w:rPr>
            </w:pPr>
            <w:r w:rsidRPr="00A829AC">
              <w:rPr>
                <w:rFonts w:ascii="Arial" w:hAnsi="Arial" w:cs="Arial"/>
                <w:b/>
                <w:bCs/>
                <w:snapToGrid/>
                <w:color w:val="auto"/>
                <w:sz w:val="20"/>
                <w:szCs w:val="20"/>
              </w:rPr>
              <w:t xml:space="preserve"> Specific Protocol Exceptions to Expedited Reporting (SPEER)</w:t>
            </w:r>
          </w:p>
          <w:p w14:paraId="27D8632D" w14:textId="77777777" w:rsidR="00A829AC" w:rsidRPr="00A829AC" w:rsidRDefault="00A829AC" w:rsidP="00A829AC">
            <w:pPr>
              <w:widowControl/>
              <w:jc w:val="center"/>
              <w:rPr>
                <w:rFonts w:ascii="Arial" w:hAnsi="Arial" w:cs="Arial"/>
                <w:snapToGrid/>
                <w:color w:val="auto"/>
                <w:sz w:val="20"/>
                <w:szCs w:val="20"/>
              </w:rPr>
            </w:pPr>
          </w:p>
        </w:tc>
      </w:tr>
      <w:tr w:rsidR="00A829AC" w:rsidRPr="00A829AC" w14:paraId="60B1815C" w14:textId="77777777">
        <w:trPr>
          <w:tblHeade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14:paraId="3BE80DD9" w14:textId="77777777" w:rsidR="00A829AC" w:rsidRPr="00A829AC" w:rsidRDefault="00A829AC" w:rsidP="00A829AC">
            <w:pPr>
              <w:widowControl/>
              <w:jc w:val="center"/>
              <w:rPr>
                <w:rFonts w:ascii="Arial" w:hAnsi="Arial" w:cs="Arial"/>
                <w:snapToGrid/>
                <w:color w:val="auto"/>
                <w:sz w:val="20"/>
                <w:szCs w:val="20"/>
              </w:rPr>
            </w:pPr>
            <w:r w:rsidRPr="00A829AC">
              <w:rPr>
                <w:rFonts w:ascii="Arial" w:hAnsi="Arial" w:cs="Arial"/>
                <w:b/>
                <w:bCs/>
                <w:snapToGrid/>
                <w:color w:val="auto"/>
                <w:sz w:val="20"/>
                <w:szCs w:val="20"/>
              </w:rPr>
              <w:t>Likely (&gt;20%)</w:t>
            </w:r>
          </w:p>
        </w:tc>
        <w:tc>
          <w:tcPr>
            <w:tcW w:w="2700"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14:paraId="506822AF" w14:textId="77777777" w:rsidR="00A829AC" w:rsidRPr="00A829AC" w:rsidRDefault="00A829AC" w:rsidP="00A829AC">
            <w:pPr>
              <w:widowControl/>
              <w:jc w:val="center"/>
              <w:rPr>
                <w:rFonts w:ascii="Arial" w:hAnsi="Arial" w:cs="Arial"/>
                <w:snapToGrid/>
                <w:color w:val="auto"/>
                <w:sz w:val="20"/>
                <w:szCs w:val="20"/>
              </w:rPr>
            </w:pPr>
            <w:r w:rsidRPr="00A829AC">
              <w:rPr>
                <w:rFonts w:ascii="Arial" w:hAnsi="Arial" w:cs="Arial"/>
                <w:b/>
                <w:bCs/>
                <w:snapToGrid/>
                <w:color w:val="auto"/>
                <w:sz w:val="20"/>
                <w:szCs w:val="20"/>
              </w:rPr>
              <w:t>Less Likely (&lt;=20%)</w:t>
            </w:r>
          </w:p>
        </w:tc>
        <w:tc>
          <w:tcPr>
            <w:tcW w:w="2250"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14:paraId="46078025" w14:textId="77777777" w:rsidR="00A829AC" w:rsidRPr="00A829AC" w:rsidRDefault="00A829AC" w:rsidP="00A829AC">
            <w:pPr>
              <w:widowControl/>
              <w:jc w:val="center"/>
              <w:rPr>
                <w:rFonts w:ascii="Arial" w:hAnsi="Arial" w:cs="Arial"/>
                <w:snapToGrid/>
                <w:color w:val="auto"/>
                <w:sz w:val="20"/>
                <w:szCs w:val="20"/>
              </w:rPr>
            </w:pPr>
            <w:r w:rsidRPr="00A829AC">
              <w:rPr>
                <w:rFonts w:ascii="Arial" w:hAnsi="Arial" w:cs="Arial"/>
                <w:b/>
                <w:bCs/>
                <w:snapToGrid/>
                <w:color w:val="auto"/>
                <w:sz w:val="20"/>
                <w:szCs w:val="20"/>
              </w:rPr>
              <w:t>Rare but Serious (&lt;3%)</w:t>
            </w: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28CBECDA" w14:textId="77777777" w:rsidR="00A829AC" w:rsidRPr="00A829AC" w:rsidRDefault="00A829AC" w:rsidP="00A829AC">
            <w:pPr>
              <w:widowControl/>
              <w:rPr>
                <w:rFonts w:ascii="Arial" w:hAnsi="Arial" w:cs="Arial"/>
                <w:snapToGrid/>
                <w:color w:val="auto"/>
                <w:sz w:val="20"/>
                <w:szCs w:val="20"/>
              </w:rPr>
            </w:pPr>
          </w:p>
        </w:tc>
        <w:tc>
          <w:tcPr>
            <w:tcW w:w="3162" w:type="dxa"/>
            <w:vMerge/>
            <w:tcBorders>
              <w:left w:val="single" w:sz="4" w:space="0" w:color="000000"/>
              <w:bottom w:val="single" w:sz="4" w:space="0" w:color="000000"/>
              <w:right w:val="single" w:sz="4" w:space="0" w:color="000000"/>
            </w:tcBorders>
            <w:shd w:val="clear" w:color="auto" w:fill="CCFFCC"/>
            <w:tcMar>
              <w:top w:w="10" w:type="dxa"/>
              <w:left w:w="10" w:type="dxa"/>
              <w:bottom w:w="10" w:type="dxa"/>
              <w:right w:w="10" w:type="dxa"/>
            </w:tcMar>
            <w:vAlign w:val="center"/>
          </w:tcPr>
          <w:p w14:paraId="324A1FC4" w14:textId="77777777" w:rsidR="00A829AC" w:rsidRPr="00A829AC" w:rsidRDefault="00A829AC" w:rsidP="00A829AC">
            <w:pPr>
              <w:widowControl/>
              <w:jc w:val="center"/>
              <w:rPr>
                <w:rFonts w:ascii="Arial" w:hAnsi="Arial" w:cs="Arial"/>
                <w:snapToGrid/>
                <w:color w:val="auto"/>
                <w:sz w:val="20"/>
                <w:szCs w:val="20"/>
              </w:rPr>
            </w:pPr>
          </w:p>
        </w:tc>
      </w:tr>
      <w:tr w:rsidR="00A829AC" w:rsidRPr="00A829AC" w14:paraId="5F9EBBE0" w14:textId="77777777">
        <w:trPr>
          <w:jc w:val="center"/>
        </w:trPr>
        <w:tc>
          <w:tcPr>
            <w:tcW w:w="7375" w:type="dxa"/>
            <w:gridSpan w:val="3"/>
            <w:tcBorders>
              <w:top w:val="single" w:sz="4" w:space="0" w:color="000000"/>
              <w:left w:val="single" w:sz="4" w:space="0" w:color="000000"/>
              <w:bottom w:val="single" w:sz="4" w:space="0" w:color="000000"/>
              <w:right w:val="single" w:sz="4" w:space="0" w:color="000000"/>
            </w:tcBorders>
            <w:shd w:val="clear" w:color="auto" w:fill="C0C0C0"/>
            <w:tcMar>
              <w:top w:w="10" w:type="dxa"/>
              <w:left w:w="10" w:type="dxa"/>
              <w:bottom w:w="10" w:type="dxa"/>
              <w:right w:w="10" w:type="dxa"/>
            </w:tcMar>
          </w:tcPr>
          <w:p w14:paraId="14BC9A7D" w14:textId="77777777" w:rsidR="00A829AC" w:rsidRPr="00A829AC" w:rsidRDefault="00A829AC" w:rsidP="00A829AC">
            <w:pPr>
              <w:widowControl/>
              <w:rPr>
                <w:rFonts w:ascii="Arial" w:hAnsi="Arial" w:cs="Arial"/>
                <w:snapToGrid/>
                <w:color w:val="auto"/>
                <w:sz w:val="20"/>
                <w:szCs w:val="20"/>
              </w:rPr>
            </w:pPr>
            <w:r w:rsidRPr="00A829AC">
              <w:rPr>
                <w:rFonts w:ascii="Arial" w:hAnsi="Arial" w:cs="Arial"/>
                <w:snapToGrid/>
                <w:color w:val="auto"/>
                <w:sz w:val="20"/>
                <w:szCs w:val="20"/>
              </w:rPr>
              <w:t>BLOOD AND LYMPHATIC SYSTEM DISORDERS</w:t>
            </w: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227F6EC0" w14:textId="77777777" w:rsidR="00A829AC" w:rsidRPr="00A829AC" w:rsidRDefault="00A829AC" w:rsidP="00A829AC">
            <w:pPr>
              <w:widowControl/>
              <w:rPr>
                <w:rFonts w:ascii="Arial" w:hAnsi="Arial" w:cs="Arial"/>
                <w:snapToGrid/>
                <w:color w:val="auto"/>
                <w:sz w:val="20"/>
                <w:szCs w:val="20"/>
              </w:rPr>
            </w:pPr>
          </w:p>
        </w:tc>
        <w:tc>
          <w:tcPr>
            <w:tcW w:w="3162" w:type="dxa"/>
            <w:tcBorders>
              <w:top w:val="single" w:sz="4" w:space="0" w:color="000000"/>
              <w:left w:val="single" w:sz="4" w:space="0" w:color="000000"/>
              <w:bottom w:val="single" w:sz="4" w:space="0" w:color="000000"/>
              <w:right w:val="single" w:sz="4" w:space="0" w:color="000000"/>
            </w:tcBorders>
            <w:shd w:val="clear" w:color="auto" w:fill="C0C0C0"/>
            <w:tcMar>
              <w:top w:w="10" w:type="dxa"/>
              <w:left w:w="10" w:type="dxa"/>
              <w:bottom w:w="10" w:type="dxa"/>
              <w:right w:w="10" w:type="dxa"/>
            </w:tcMar>
          </w:tcPr>
          <w:p w14:paraId="0DC87E37" w14:textId="77777777" w:rsidR="00A829AC" w:rsidRPr="00A829AC" w:rsidRDefault="00A829AC" w:rsidP="00A829AC">
            <w:pPr>
              <w:widowControl/>
              <w:rPr>
                <w:rFonts w:ascii="Arial" w:hAnsi="Arial" w:cs="Arial"/>
                <w:snapToGrid/>
                <w:color w:val="auto"/>
                <w:sz w:val="20"/>
                <w:szCs w:val="20"/>
              </w:rPr>
            </w:pPr>
          </w:p>
        </w:tc>
      </w:tr>
      <w:tr w:rsidR="00A829AC" w:rsidRPr="00A829AC" w14:paraId="60F34BC8" w14:textId="77777777">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679A6D8B" w14:textId="77777777" w:rsidR="00A829AC" w:rsidRPr="00A829AC" w:rsidRDefault="00A829AC" w:rsidP="00A829AC">
            <w:pPr>
              <w:widowControl/>
              <w:ind w:left="60"/>
              <w:rPr>
                <w:rFonts w:ascii="Arial" w:hAnsi="Arial" w:cs="Arial"/>
                <w:snapToGrid/>
                <w:color w:val="auto"/>
                <w:sz w:val="18"/>
                <w:szCs w:val="18"/>
              </w:rPr>
            </w:pPr>
            <w:r w:rsidRPr="00A829AC">
              <w:rPr>
                <w:rFonts w:ascii="Arial" w:hAnsi="Arial" w:cs="Arial"/>
                <w:snapToGrid/>
                <w:color w:val="auto"/>
                <w:sz w:val="18"/>
                <w:szCs w:val="18"/>
              </w:rPr>
              <w:t>Anemia</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2A69604A" w14:textId="77777777" w:rsidR="00A829AC" w:rsidRPr="00A829AC" w:rsidRDefault="00A829AC" w:rsidP="00A829AC">
            <w:pPr>
              <w:widowControl/>
              <w:rPr>
                <w:rFonts w:ascii="Arial" w:hAnsi="Arial" w:cs="Arial"/>
                <w:snapToGrid/>
                <w:color w:val="auto"/>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279FB4DA" w14:textId="77777777" w:rsidR="00A829AC" w:rsidRPr="00A829AC" w:rsidRDefault="00A829AC" w:rsidP="00A829AC">
            <w:pPr>
              <w:widowControl/>
              <w:rPr>
                <w:rFonts w:ascii="Arial" w:hAnsi="Arial" w:cs="Arial"/>
                <w:snapToGrid/>
                <w:color w:val="auto"/>
                <w:sz w:val="18"/>
                <w:szCs w:val="18"/>
              </w:rPr>
            </w:pP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34E9CAFD" w14:textId="77777777" w:rsidR="00A829AC" w:rsidRPr="00A829AC" w:rsidRDefault="00A829AC" w:rsidP="00A829AC">
            <w:pPr>
              <w:widowControl/>
              <w:rPr>
                <w:rFonts w:ascii="Arial" w:hAnsi="Arial" w:cs="Arial"/>
                <w:snapToGrid/>
                <w:color w:val="auto"/>
                <w:sz w:val="18"/>
                <w:szCs w:val="18"/>
              </w:rPr>
            </w:pPr>
          </w:p>
        </w:tc>
        <w:tc>
          <w:tcPr>
            <w:tcW w:w="3162"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tcPr>
          <w:p w14:paraId="081D23CE" w14:textId="77777777" w:rsidR="00A829AC" w:rsidRPr="00A829AC" w:rsidRDefault="00A829AC" w:rsidP="00A829AC">
            <w:pPr>
              <w:widowControl/>
              <w:rPr>
                <w:rFonts w:ascii="Arial" w:hAnsi="Arial" w:cs="Arial"/>
                <w:snapToGrid/>
                <w:color w:val="auto"/>
                <w:sz w:val="18"/>
                <w:szCs w:val="18"/>
              </w:rPr>
            </w:pPr>
            <w:r w:rsidRPr="00A829AC">
              <w:rPr>
                <w:rFonts w:ascii="Arial" w:hAnsi="Arial" w:cs="Arial"/>
                <w:b/>
                <w:bCs/>
                <w:i/>
                <w:iCs/>
                <w:snapToGrid/>
                <w:color w:val="auto"/>
                <w:sz w:val="18"/>
                <w:szCs w:val="18"/>
              </w:rPr>
              <w:t>Anemia (Gr 3)</w:t>
            </w:r>
          </w:p>
        </w:tc>
      </w:tr>
      <w:tr w:rsidR="00A829AC" w:rsidRPr="00A829AC" w14:paraId="09FB9690" w14:textId="77777777">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70AF2F77" w14:textId="77777777" w:rsidR="00A829AC" w:rsidRPr="00A829AC" w:rsidRDefault="00A829AC" w:rsidP="00A829AC">
            <w:pPr>
              <w:widowControl/>
              <w:rPr>
                <w:rFonts w:ascii="Arial" w:hAnsi="Arial" w:cs="Arial"/>
                <w:snapToGrid/>
                <w:color w:val="auto"/>
                <w:sz w:val="18"/>
                <w:szCs w:val="18"/>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0BBCD315" w14:textId="77777777" w:rsidR="00A829AC" w:rsidRPr="00A829AC" w:rsidRDefault="00A829AC" w:rsidP="00A829AC">
            <w:pPr>
              <w:widowControl/>
              <w:ind w:left="60"/>
              <w:rPr>
                <w:rFonts w:ascii="Arial" w:hAnsi="Arial" w:cs="Arial"/>
                <w:snapToGrid/>
                <w:color w:val="auto"/>
                <w:sz w:val="18"/>
                <w:szCs w:val="18"/>
              </w:rPr>
            </w:pPr>
            <w:r w:rsidRPr="00A829AC">
              <w:rPr>
                <w:rFonts w:ascii="Arial" w:hAnsi="Arial" w:cs="Arial"/>
                <w:snapToGrid/>
                <w:color w:val="auto"/>
                <w:sz w:val="18"/>
                <w:szCs w:val="18"/>
              </w:rPr>
              <w:t>Febrile neutropenia</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65FA8100" w14:textId="77777777" w:rsidR="00A829AC" w:rsidRPr="00A829AC" w:rsidRDefault="00A829AC" w:rsidP="00A829AC">
            <w:pPr>
              <w:widowControl/>
              <w:rPr>
                <w:rFonts w:ascii="Arial" w:hAnsi="Arial" w:cs="Arial"/>
                <w:snapToGrid/>
                <w:color w:val="auto"/>
                <w:sz w:val="18"/>
                <w:szCs w:val="18"/>
              </w:rPr>
            </w:pP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5633DBED" w14:textId="77777777" w:rsidR="00A829AC" w:rsidRPr="00A829AC" w:rsidRDefault="00A829AC" w:rsidP="00A829AC">
            <w:pPr>
              <w:widowControl/>
              <w:rPr>
                <w:rFonts w:ascii="Arial" w:hAnsi="Arial" w:cs="Arial"/>
                <w:snapToGrid/>
                <w:color w:val="auto"/>
                <w:sz w:val="18"/>
                <w:szCs w:val="18"/>
              </w:rPr>
            </w:pPr>
          </w:p>
        </w:tc>
        <w:tc>
          <w:tcPr>
            <w:tcW w:w="3162"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tcPr>
          <w:p w14:paraId="1E8907C3" w14:textId="77777777" w:rsidR="00A829AC" w:rsidRPr="00A829AC" w:rsidRDefault="00A829AC" w:rsidP="00A829AC">
            <w:pPr>
              <w:widowControl/>
              <w:rPr>
                <w:rFonts w:ascii="Arial" w:hAnsi="Arial" w:cs="Arial"/>
                <w:snapToGrid/>
                <w:color w:val="auto"/>
                <w:sz w:val="18"/>
                <w:szCs w:val="18"/>
              </w:rPr>
            </w:pPr>
            <w:r w:rsidRPr="00A829AC">
              <w:rPr>
                <w:rFonts w:ascii="Arial" w:hAnsi="Arial" w:cs="Arial"/>
                <w:b/>
                <w:bCs/>
                <w:i/>
                <w:iCs/>
                <w:snapToGrid/>
                <w:color w:val="auto"/>
                <w:sz w:val="18"/>
                <w:szCs w:val="18"/>
              </w:rPr>
              <w:t>Febrile neutropenia (Gr 2)</w:t>
            </w:r>
          </w:p>
        </w:tc>
      </w:tr>
      <w:tr w:rsidR="00A829AC" w:rsidRPr="00A829AC" w14:paraId="7C358DF2" w14:textId="77777777">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13CBDA2C" w14:textId="77777777" w:rsidR="00A829AC" w:rsidRPr="00A829AC" w:rsidRDefault="00A829AC" w:rsidP="00A829AC">
            <w:pPr>
              <w:widowControl/>
              <w:rPr>
                <w:rFonts w:ascii="Arial" w:hAnsi="Arial" w:cs="Arial"/>
                <w:snapToGrid/>
                <w:color w:val="auto"/>
                <w:sz w:val="18"/>
                <w:szCs w:val="18"/>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0E7D84E2" w14:textId="77777777" w:rsidR="00A829AC" w:rsidRPr="00A829AC" w:rsidRDefault="00A829AC" w:rsidP="00A829AC">
            <w:pPr>
              <w:widowControl/>
              <w:rPr>
                <w:rFonts w:ascii="Arial" w:hAnsi="Arial" w:cs="Arial"/>
                <w:snapToGrid/>
                <w:color w:val="auto"/>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005F7CBD" w14:textId="77777777" w:rsidR="00A829AC" w:rsidRPr="00A829AC" w:rsidRDefault="00A829AC" w:rsidP="00A829AC">
            <w:pPr>
              <w:widowControl/>
              <w:ind w:left="60"/>
              <w:rPr>
                <w:rFonts w:ascii="Arial" w:hAnsi="Arial" w:cs="Arial"/>
                <w:snapToGrid/>
                <w:color w:val="auto"/>
                <w:sz w:val="18"/>
                <w:szCs w:val="18"/>
              </w:rPr>
            </w:pPr>
            <w:r w:rsidRPr="00A829AC">
              <w:rPr>
                <w:rFonts w:ascii="Arial" w:hAnsi="Arial" w:cs="Arial"/>
                <w:snapToGrid/>
                <w:color w:val="auto"/>
                <w:sz w:val="18"/>
                <w:szCs w:val="18"/>
              </w:rPr>
              <w:t>Hemolysis</w:t>
            </w: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6A411FB2" w14:textId="77777777" w:rsidR="00A829AC" w:rsidRPr="00A829AC" w:rsidRDefault="00A829AC" w:rsidP="00A829AC">
            <w:pPr>
              <w:widowControl/>
              <w:rPr>
                <w:rFonts w:ascii="Arial" w:hAnsi="Arial" w:cs="Arial"/>
                <w:snapToGrid/>
                <w:color w:val="auto"/>
                <w:sz w:val="18"/>
                <w:szCs w:val="18"/>
              </w:rPr>
            </w:pPr>
          </w:p>
        </w:tc>
        <w:tc>
          <w:tcPr>
            <w:tcW w:w="3162"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tcPr>
          <w:p w14:paraId="5F69E2FB" w14:textId="77777777" w:rsidR="00A829AC" w:rsidRPr="00A829AC" w:rsidRDefault="00A829AC" w:rsidP="00A829AC">
            <w:pPr>
              <w:widowControl/>
              <w:rPr>
                <w:rFonts w:ascii="Arial" w:hAnsi="Arial" w:cs="Arial"/>
                <w:snapToGrid/>
                <w:color w:val="auto"/>
                <w:sz w:val="18"/>
                <w:szCs w:val="18"/>
              </w:rPr>
            </w:pPr>
            <w:r w:rsidRPr="00A829AC">
              <w:rPr>
                <w:rFonts w:ascii="Arial" w:hAnsi="Arial" w:cs="Arial"/>
                <w:b/>
                <w:bCs/>
                <w:i/>
                <w:iCs/>
                <w:snapToGrid/>
                <w:color w:val="auto"/>
                <w:sz w:val="18"/>
                <w:szCs w:val="18"/>
              </w:rPr>
              <w:t>Hemolysis (Gr 3)</w:t>
            </w:r>
          </w:p>
        </w:tc>
      </w:tr>
      <w:tr w:rsidR="00A829AC" w:rsidRPr="00A829AC" w14:paraId="434F22DE" w14:textId="77777777">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2D938A28" w14:textId="77777777" w:rsidR="00A829AC" w:rsidRPr="00A829AC" w:rsidRDefault="00A829AC" w:rsidP="00A829AC">
            <w:pPr>
              <w:widowControl/>
              <w:rPr>
                <w:rFonts w:ascii="Arial" w:hAnsi="Arial" w:cs="Arial"/>
                <w:snapToGrid/>
                <w:color w:val="auto"/>
                <w:sz w:val="18"/>
                <w:szCs w:val="18"/>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1027E325" w14:textId="77777777" w:rsidR="00A829AC" w:rsidRPr="00A829AC" w:rsidRDefault="00A829AC" w:rsidP="00A829AC">
            <w:pPr>
              <w:widowControl/>
              <w:ind w:left="60"/>
              <w:rPr>
                <w:rFonts w:ascii="Arial" w:hAnsi="Arial" w:cs="Arial"/>
                <w:snapToGrid/>
                <w:color w:val="auto"/>
                <w:sz w:val="18"/>
                <w:szCs w:val="18"/>
              </w:rPr>
            </w:pPr>
            <w:r w:rsidRPr="00A829AC">
              <w:rPr>
                <w:rFonts w:ascii="Arial" w:hAnsi="Arial" w:cs="Arial"/>
                <w:snapToGrid/>
                <w:color w:val="auto"/>
                <w:sz w:val="18"/>
                <w:szCs w:val="18"/>
              </w:rPr>
              <w:t>Methemoglobinemia</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6541C846" w14:textId="77777777" w:rsidR="00A829AC" w:rsidRPr="00A829AC" w:rsidRDefault="00A829AC" w:rsidP="00A829AC">
            <w:pPr>
              <w:widowControl/>
              <w:rPr>
                <w:rFonts w:ascii="Arial" w:hAnsi="Arial" w:cs="Arial"/>
                <w:snapToGrid/>
                <w:color w:val="auto"/>
                <w:sz w:val="18"/>
                <w:szCs w:val="18"/>
              </w:rPr>
            </w:pP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27AD0A5C" w14:textId="77777777" w:rsidR="00A829AC" w:rsidRPr="00A829AC" w:rsidRDefault="00A829AC" w:rsidP="00A829AC">
            <w:pPr>
              <w:widowControl/>
              <w:rPr>
                <w:rFonts w:ascii="Arial" w:hAnsi="Arial" w:cs="Arial"/>
                <w:snapToGrid/>
                <w:color w:val="auto"/>
                <w:sz w:val="18"/>
                <w:szCs w:val="18"/>
              </w:rPr>
            </w:pPr>
          </w:p>
        </w:tc>
        <w:tc>
          <w:tcPr>
            <w:tcW w:w="3162"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tcPr>
          <w:p w14:paraId="34733899" w14:textId="77777777" w:rsidR="00A829AC" w:rsidRPr="00A829AC" w:rsidRDefault="00A829AC" w:rsidP="00A829AC">
            <w:pPr>
              <w:widowControl/>
              <w:rPr>
                <w:rFonts w:ascii="Arial" w:hAnsi="Arial" w:cs="Arial"/>
                <w:snapToGrid/>
                <w:color w:val="auto"/>
                <w:sz w:val="18"/>
                <w:szCs w:val="18"/>
              </w:rPr>
            </w:pPr>
            <w:r w:rsidRPr="00A829AC">
              <w:rPr>
                <w:rFonts w:ascii="Arial" w:hAnsi="Arial" w:cs="Arial"/>
                <w:b/>
                <w:bCs/>
                <w:i/>
                <w:iCs/>
                <w:snapToGrid/>
                <w:color w:val="auto"/>
                <w:sz w:val="18"/>
                <w:szCs w:val="18"/>
              </w:rPr>
              <w:t>Methemoglobinemia (Gr 2)</w:t>
            </w:r>
          </w:p>
        </w:tc>
      </w:tr>
      <w:tr w:rsidR="00A829AC" w:rsidRPr="00A829AC" w14:paraId="5DF81CFE" w14:textId="77777777">
        <w:trPr>
          <w:jc w:val="center"/>
        </w:trPr>
        <w:tc>
          <w:tcPr>
            <w:tcW w:w="7375" w:type="dxa"/>
            <w:gridSpan w:val="3"/>
            <w:tcBorders>
              <w:top w:val="single" w:sz="4" w:space="0" w:color="000000"/>
              <w:left w:val="single" w:sz="4" w:space="0" w:color="000000"/>
              <w:bottom w:val="single" w:sz="4" w:space="0" w:color="000000"/>
              <w:right w:val="single" w:sz="4" w:space="0" w:color="000000"/>
            </w:tcBorders>
            <w:shd w:val="clear" w:color="auto" w:fill="C0C0C0"/>
            <w:tcMar>
              <w:top w:w="10" w:type="dxa"/>
              <w:left w:w="10" w:type="dxa"/>
              <w:bottom w:w="10" w:type="dxa"/>
              <w:right w:w="10" w:type="dxa"/>
            </w:tcMar>
          </w:tcPr>
          <w:p w14:paraId="4DF97DF5" w14:textId="77777777" w:rsidR="00A829AC" w:rsidRPr="00A829AC" w:rsidRDefault="00A829AC" w:rsidP="00A829AC">
            <w:pPr>
              <w:widowControl/>
              <w:rPr>
                <w:rFonts w:ascii="Arial" w:hAnsi="Arial" w:cs="Arial"/>
                <w:snapToGrid/>
                <w:color w:val="auto"/>
                <w:sz w:val="20"/>
                <w:szCs w:val="20"/>
              </w:rPr>
            </w:pPr>
            <w:r w:rsidRPr="00A829AC">
              <w:rPr>
                <w:rFonts w:ascii="Arial" w:hAnsi="Arial" w:cs="Arial"/>
                <w:snapToGrid/>
                <w:color w:val="auto"/>
                <w:sz w:val="20"/>
                <w:szCs w:val="20"/>
              </w:rPr>
              <w:t>CARDIAC DISORDERS</w:t>
            </w: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7761FBA3" w14:textId="77777777" w:rsidR="00A829AC" w:rsidRPr="00A829AC" w:rsidRDefault="00A829AC" w:rsidP="00A829AC">
            <w:pPr>
              <w:widowControl/>
              <w:rPr>
                <w:rFonts w:ascii="Arial" w:hAnsi="Arial" w:cs="Arial"/>
                <w:snapToGrid/>
                <w:color w:val="auto"/>
                <w:sz w:val="20"/>
                <w:szCs w:val="20"/>
              </w:rPr>
            </w:pPr>
          </w:p>
        </w:tc>
        <w:tc>
          <w:tcPr>
            <w:tcW w:w="3162" w:type="dxa"/>
            <w:tcBorders>
              <w:top w:val="single" w:sz="4" w:space="0" w:color="000000"/>
              <w:left w:val="single" w:sz="4" w:space="0" w:color="000000"/>
              <w:bottom w:val="single" w:sz="4" w:space="0" w:color="000000"/>
              <w:right w:val="single" w:sz="4" w:space="0" w:color="000000"/>
            </w:tcBorders>
            <w:shd w:val="clear" w:color="auto" w:fill="C0C0C0"/>
            <w:tcMar>
              <w:top w:w="10" w:type="dxa"/>
              <w:left w:w="10" w:type="dxa"/>
              <w:bottom w:w="10" w:type="dxa"/>
              <w:right w:w="10" w:type="dxa"/>
            </w:tcMar>
          </w:tcPr>
          <w:p w14:paraId="04FFA20A" w14:textId="77777777" w:rsidR="00A829AC" w:rsidRPr="00A829AC" w:rsidRDefault="00A829AC" w:rsidP="00A829AC">
            <w:pPr>
              <w:widowControl/>
              <w:rPr>
                <w:rFonts w:ascii="Arial" w:hAnsi="Arial" w:cs="Arial"/>
                <w:snapToGrid/>
                <w:color w:val="auto"/>
                <w:sz w:val="20"/>
                <w:szCs w:val="20"/>
              </w:rPr>
            </w:pPr>
          </w:p>
        </w:tc>
      </w:tr>
      <w:tr w:rsidR="00A829AC" w:rsidRPr="00A829AC" w14:paraId="706E30DF" w14:textId="77777777">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127D216E" w14:textId="77777777" w:rsidR="00A829AC" w:rsidRPr="00A829AC" w:rsidRDefault="00A829AC" w:rsidP="00A829AC">
            <w:pPr>
              <w:widowControl/>
              <w:rPr>
                <w:rFonts w:ascii="Arial" w:hAnsi="Arial" w:cs="Arial"/>
                <w:snapToGrid/>
                <w:color w:val="auto"/>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657834AD" w14:textId="77777777" w:rsidR="00A829AC" w:rsidRPr="00A829AC" w:rsidRDefault="00A829AC" w:rsidP="00A829AC">
            <w:pPr>
              <w:widowControl/>
              <w:ind w:left="60"/>
              <w:rPr>
                <w:rFonts w:ascii="Arial" w:hAnsi="Arial" w:cs="Arial"/>
                <w:snapToGrid/>
                <w:color w:val="auto"/>
                <w:sz w:val="18"/>
                <w:szCs w:val="18"/>
              </w:rPr>
            </w:pPr>
            <w:r w:rsidRPr="00A829AC">
              <w:rPr>
                <w:rFonts w:ascii="Arial" w:hAnsi="Arial" w:cs="Arial"/>
                <w:snapToGrid/>
                <w:color w:val="auto"/>
                <w:sz w:val="18"/>
                <w:szCs w:val="18"/>
              </w:rPr>
              <w:t>Cyanosis</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4F89C822" w14:textId="77777777" w:rsidR="00A829AC" w:rsidRPr="00A829AC" w:rsidRDefault="00A829AC" w:rsidP="00A829AC">
            <w:pPr>
              <w:widowControl/>
              <w:rPr>
                <w:rFonts w:ascii="Arial" w:hAnsi="Arial" w:cs="Arial"/>
                <w:snapToGrid/>
                <w:color w:val="auto"/>
                <w:sz w:val="18"/>
                <w:szCs w:val="18"/>
              </w:rPr>
            </w:pP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73CFA0C8" w14:textId="77777777" w:rsidR="00A829AC" w:rsidRPr="00A829AC" w:rsidRDefault="00A829AC" w:rsidP="00A829AC">
            <w:pPr>
              <w:widowControl/>
              <w:rPr>
                <w:rFonts w:ascii="Arial" w:hAnsi="Arial" w:cs="Arial"/>
                <w:snapToGrid/>
                <w:color w:val="auto"/>
                <w:sz w:val="18"/>
                <w:szCs w:val="18"/>
              </w:rPr>
            </w:pPr>
          </w:p>
        </w:tc>
        <w:tc>
          <w:tcPr>
            <w:tcW w:w="3162"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tcPr>
          <w:p w14:paraId="7F581017" w14:textId="77777777" w:rsidR="00A829AC" w:rsidRPr="00A829AC" w:rsidRDefault="00A829AC" w:rsidP="00A829AC">
            <w:pPr>
              <w:widowControl/>
              <w:rPr>
                <w:rFonts w:ascii="Arial" w:hAnsi="Arial" w:cs="Arial"/>
                <w:snapToGrid/>
                <w:color w:val="auto"/>
                <w:sz w:val="18"/>
                <w:szCs w:val="18"/>
              </w:rPr>
            </w:pPr>
            <w:r w:rsidRPr="00A829AC">
              <w:rPr>
                <w:rFonts w:ascii="Arial" w:hAnsi="Arial" w:cs="Arial"/>
                <w:b/>
                <w:bCs/>
                <w:i/>
                <w:iCs/>
                <w:snapToGrid/>
                <w:color w:val="auto"/>
                <w:sz w:val="18"/>
                <w:szCs w:val="18"/>
              </w:rPr>
              <w:t>Cyanosis (Gr 2)</w:t>
            </w:r>
          </w:p>
        </w:tc>
      </w:tr>
      <w:tr w:rsidR="00A829AC" w:rsidRPr="00A829AC" w14:paraId="1CDCAE09" w14:textId="77777777">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4E55D837" w14:textId="77777777" w:rsidR="00A829AC" w:rsidRPr="00A829AC" w:rsidRDefault="00A829AC" w:rsidP="00A829AC">
            <w:pPr>
              <w:widowControl/>
              <w:rPr>
                <w:rFonts w:ascii="Arial" w:hAnsi="Arial" w:cs="Arial"/>
                <w:snapToGrid/>
                <w:color w:val="auto"/>
                <w:sz w:val="18"/>
                <w:szCs w:val="18"/>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4E54A3E6" w14:textId="77777777" w:rsidR="00A829AC" w:rsidRPr="00A829AC" w:rsidRDefault="00A829AC" w:rsidP="00A829AC">
            <w:pPr>
              <w:widowControl/>
              <w:rPr>
                <w:rFonts w:ascii="Arial" w:hAnsi="Arial" w:cs="Arial"/>
                <w:snapToGrid/>
                <w:color w:val="auto"/>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20209A4E" w14:textId="77777777" w:rsidR="00A829AC" w:rsidRPr="00A829AC" w:rsidRDefault="00A829AC" w:rsidP="00A829AC">
            <w:pPr>
              <w:widowControl/>
              <w:ind w:left="60"/>
              <w:rPr>
                <w:rFonts w:ascii="Arial" w:hAnsi="Arial" w:cs="Arial"/>
                <w:snapToGrid/>
                <w:color w:val="auto"/>
                <w:sz w:val="18"/>
                <w:szCs w:val="18"/>
              </w:rPr>
            </w:pPr>
            <w:r w:rsidRPr="00A829AC">
              <w:rPr>
                <w:rFonts w:ascii="Arial" w:hAnsi="Arial" w:cs="Arial"/>
                <w:snapToGrid/>
                <w:color w:val="auto"/>
                <w:sz w:val="18"/>
                <w:szCs w:val="18"/>
              </w:rPr>
              <w:t>Left ventricular systolic dysfunction</w:t>
            </w: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1DCC5D75" w14:textId="77777777" w:rsidR="00A829AC" w:rsidRPr="00A829AC" w:rsidRDefault="00A829AC" w:rsidP="00A829AC">
            <w:pPr>
              <w:widowControl/>
              <w:rPr>
                <w:rFonts w:ascii="Arial" w:hAnsi="Arial" w:cs="Arial"/>
                <w:snapToGrid/>
                <w:color w:val="auto"/>
                <w:sz w:val="18"/>
                <w:szCs w:val="18"/>
              </w:rPr>
            </w:pPr>
          </w:p>
        </w:tc>
        <w:tc>
          <w:tcPr>
            <w:tcW w:w="3162"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tcPr>
          <w:p w14:paraId="442A110B" w14:textId="77777777" w:rsidR="00A829AC" w:rsidRPr="00A829AC" w:rsidRDefault="00A829AC" w:rsidP="00A829AC">
            <w:pPr>
              <w:widowControl/>
              <w:rPr>
                <w:rFonts w:ascii="Arial" w:hAnsi="Arial" w:cs="Arial"/>
                <w:snapToGrid/>
                <w:color w:val="auto"/>
                <w:sz w:val="18"/>
                <w:szCs w:val="18"/>
              </w:rPr>
            </w:pPr>
          </w:p>
        </w:tc>
      </w:tr>
      <w:tr w:rsidR="00A829AC" w:rsidRPr="00A829AC" w14:paraId="79D4F94F" w14:textId="77777777">
        <w:trPr>
          <w:jc w:val="center"/>
        </w:trPr>
        <w:tc>
          <w:tcPr>
            <w:tcW w:w="7375" w:type="dxa"/>
            <w:gridSpan w:val="3"/>
            <w:tcBorders>
              <w:top w:val="single" w:sz="4" w:space="0" w:color="000000"/>
              <w:left w:val="single" w:sz="4" w:space="0" w:color="000000"/>
              <w:bottom w:val="single" w:sz="4" w:space="0" w:color="000000"/>
              <w:right w:val="single" w:sz="4" w:space="0" w:color="000000"/>
            </w:tcBorders>
            <w:shd w:val="clear" w:color="auto" w:fill="C0C0C0"/>
            <w:tcMar>
              <w:top w:w="10" w:type="dxa"/>
              <w:left w:w="10" w:type="dxa"/>
              <w:bottom w:w="10" w:type="dxa"/>
              <w:right w:w="10" w:type="dxa"/>
            </w:tcMar>
          </w:tcPr>
          <w:p w14:paraId="590D5D58" w14:textId="77777777" w:rsidR="00A829AC" w:rsidRPr="00A829AC" w:rsidRDefault="00A829AC" w:rsidP="00A829AC">
            <w:pPr>
              <w:widowControl/>
              <w:rPr>
                <w:rFonts w:ascii="Arial" w:hAnsi="Arial" w:cs="Arial"/>
                <w:snapToGrid/>
                <w:color w:val="auto"/>
                <w:sz w:val="20"/>
                <w:szCs w:val="20"/>
              </w:rPr>
            </w:pPr>
            <w:r w:rsidRPr="00A829AC">
              <w:rPr>
                <w:rFonts w:ascii="Arial" w:hAnsi="Arial" w:cs="Arial"/>
                <w:snapToGrid/>
                <w:color w:val="auto"/>
                <w:sz w:val="20"/>
                <w:szCs w:val="20"/>
              </w:rPr>
              <w:t>GASTROINTESTINAL DISORDERS</w:t>
            </w: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70C2DD25" w14:textId="77777777" w:rsidR="00A829AC" w:rsidRPr="00A829AC" w:rsidRDefault="00A829AC" w:rsidP="00A829AC">
            <w:pPr>
              <w:widowControl/>
              <w:rPr>
                <w:rFonts w:ascii="Arial" w:hAnsi="Arial" w:cs="Arial"/>
                <w:snapToGrid/>
                <w:color w:val="auto"/>
                <w:sz w:val="20"/>
                <w:szCs w:val="20"/>
              </w:rPr>
            </w:pPr>
          </w:p>
        </w:tc>
        <w:tc>
          <w:tcPr>
            <w:tcW w:w="3162" w:type="dxa"/>
            <w:tcBorders>
              <w:top w:val="single" w:sz="4" w:space="0" w:color="000000"/>
              <w:left w:val="single" w:sz="4" w:space="0" w:color="000000"/>
              <w:bottom w:val="single" w:sz="4" w:space="0" w:color="000000"/>
              <w:right w:val="single" w:sz="4" w:space="0" w:color="000000"/>
            </w:tcBorders>
            <w:shd w:val="clear" w:color="auto" w:fill="C0C0C0"/>
            <w:tcMar>
              <w:top w:w="10" w:type="dxa"/>
              <w:left w:w="10" w:type="dxa"/>
              <w:bottom w:w="10" w:type="dxa"/>
              <w:right w:w="10" w:type="dxa"/>
            </w:tcMar>
          </w:tcPr>
          <w:p w14:paraId="7EAACF05" w14:textId="77777777" w:rsidR="00A829AC" w:rsidRPr="00A829AC" w:rsidRDefault="00A829AC" w:rsidP="00A829AC">
            <w:pPr>
              <w:widowControl/>
              <w:rPr>
                <w:rFonts w:ascii="Arial" w:hAnsi="Arial" w:cs="Arial"/>
                <w:snapToGrid/>
                <w:color w:val="auto"/>
                <w:sz w:val="20"/>
                <w:szCs w:val="20"/>
              </w:rPr>
            </w:pPr>
          </w:p>
        </w:tc>
      </w:tr>
      <w:tr w:rsidR="00A829AC" w:rsidRPr="00A829AC" w14:paraId="09CE4B31" w14:textId="77777777">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7A6D4DB2" w14:textId="77777777" w:rsidR="00A829AC" w:rsidRPr="00A829AC" w:rsidRDefault="00A829AC" w:rsidP="00A829AC">
            <w:pPr>
              <w:widowControl/>
              <w:rPr>
                <w:rFonts w:ascii="Arial" w:hAnsi="Arial" w:cs="Arial"/>
                <w:snapToGrid/>
                <w:color w:val="auto"/>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4E4AAB8F" w14:textId="77777777" w:rsidR="00A829AC" w:rsidRPr="00A829AC" w:rsidRDefault="00A829AC" w:rsidP="00A829AC">
            <w:pPr>
              <w:widowControl/>
              <w:ind w:left="60"/>
              <w:rPr>
                <w:rFonts w:ascii="Arial" w:hAnsi="Arial" w:cs="Arial"/>
                <w:snapToGrid/>
                <w:color w:val="auto"/>
                <w:sz w:val="18"/>
                <w:szCs w:val="18"/>
              </w:rPr>
            </w:pPr>
            <w:r w:rsidRPr="00A829AC">
              <w:rPr>
                <w:rFonts w:ascii="Arial" w:hAnsi="Arial" w:cs="Arial"/>
                <w:snapToGrid/>
                <w:color w:val="auto"/>
                <w:sz w:val="18"/>
                <w:szCs w:val="18"/>
              </w:rPr>
              <w:t>Colitis</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21A47D92" w14:textId="77777777" w:rsidR="00A829AC" w:rsidRPr="00A829AC" w:rsidRDefault="00A829AC" w:rsidP="00A829AC">
            <w:pPr>
              <w:widowControl/>
              <w:rPr>
                <w:rFonts w:ascii="Arial" w:hAnsi="Arial" w:cs="Arial"/>
                <w:snapToGrid/>
                <w:color w:val="auto"/>
                <w:sz w:val="18"/>
                <w:szCs w:val="18"/>
              </w:rPr>
            </w:pP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3E71FDBD" w14:textId="77777777" w:rsidR="00A829AC" w:rsidRPr="00A829AC" w:rsidRDefault="00A829AC" w:rsidP="00A829AC">
            <w:pPr>
              <w:widowControl/>
              <w:rPr>
                <w:rFonts w:ascii="Arial" w:hAnsi="Arial" w:cs="Arial"/>
                <w:snapToGrid/>
                <w:color w:val="auto"/>
                <w:sz w:val="18"/>
                <w:szCs w:val="18"/>
              </w:rPr>
            </w:pPr>
          </w:p>
        </w:tc>
        <w:tc>
          <w:tcPr>
            <w:tcW w:w="3162"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tcPr>
          <w:p w14:paraId="3620223D" w14:textId="77777777" w:rsidR="00A829AC" w:rsidRPr="00A829AC" w:rsidRDefault="00A829AC" w:rsidP="00A829AC">
            <w:pPr>
              <w:widowControl/>
              <w:rPr>
                <w:rFonts w:ascii="Arial" w:hAnsi="Arial" w:cs="Arial"/>
                <w:snapToGrid/>
                <w:color w:val="auto"/>
                <w:sz w:val="18"/>
                <w:szCs w:val="18"/>
              </w:rPr>
            </w:pPr>
            <w:r w:rsidRPr="00A829AC">
              <w:rPr>
                <w:rFonts w:ascii="Arial" w:hAnsi="Arial" w:cs="Arial"/>
                <w:b/>
                <w:bCs/>
                <w:i/>
                <w:iCs/>
                <w:snapToGrid/>
                <w:color w:val="auto"/>
                <w:sz w:val="18"/>
                <w:szCs w:val="18"/>
              </w:rPr>
              <w:t>Colitis (Gr 2)</w:t>
            </w:r>
          </w:p>
        </w:tc>
      </w:tr>
      <w:tr w:rsidR="00A829AC" w:rsidRPr="00A829AC" w14:paraId="499D45D5" w14:textId="77777777">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4A273FC9" w14:textId="77777777" w:rsidR="00A829AC" w:rsidRPr="00A829AC" w:rsidRDefault="00A829AC" w:rsidP="00A829AC">
            <w:pPr>
              <w:widowControl/>
              <w:rPr>
                <w:rFonts w:ascii="Arial" w:hAnsi="Arial" w:cs="Arial"/>
                <w:snapToGrid/>
                <w:color w:val="auto"/>
                <w:sz w:val="18"/>
                <w:szCs w:val="18"/>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5EC6E992" w14:textId="77777777" w:rsidR="00A829AC" w:rsidRPr="00A829AC" w:rsidRDefault="00A829AC" w:rsidP="00A829AC">
            <w:pPr>
              <w:widowControl/>
              <w:ind w:left="60"/>
              <w:rPr>
                <w:rFonts w:ascii="Arial" w:hAnsi="Arial" w:cs="Arial"/>
                <w:snapToGrid/>
                <w:color w:val="auto"/>
                <w:sz w:val="18"/>
                <w:szCs w:val="18"/>
              </w:rPr>
            </w:pPr>
            <w:r w:rsidRPr="00A829AC">
              <w:rPr>
                <w:rFonts w:ascii="Arial" w:hAnsi="Arial" w:cs="Arial"/>
                <w:snapToGrid/>
                <w:color w:val="auto"/>
                <w:sz w:val="18"/>
                <w:szCs w:val="18"/>
              </w:rPr>
              <w:t>Constipation</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0FFB60EE" w14:textId="77777777" w:rsidR="00A829AC" w:rsidRPr="00A829AC" w:rsidRDefault="00A829AC" w:rsidP="00A829AC">
            <w:pPr>
              <w:widowControl/>
              <w:rPr>
                <w:rFonts w:ascii="Arial" w:hAnsi="Arial" w:cs="Arial"/>
                <w:snapToGrid/>
                <w:color w:val="auto"/>
                <w:sz w:val="18"/>
                <w:szCs w:val="18"/>
              </w:rPr>
            </w:pP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39C24A9A" w14:textId="77777777" w:rsidR="00A829AC" w:rsidRPr="00A829AC" w:rsidRDefault="00A829AC" w:rsidP="00A829AC">
            <w:pPr>
              <w:widowControl/>
              <w:rPr>
                <w:rFonts w:ascii="Arial" w:hAnsi="Arial" w:cs="Arial"/>
                <w:snapToGrid/>
                <w:color w:val="auto"/>
                <w:sz w:val="18"/>
                <w:szCs w:val="18"/>
              </w:rPr>
            </w:pPr>
          </w:p>
        </w:tc>
        <w:tc>
          <w:tcPr>
            <w:tcW w:w="3162"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tcPr>
          <w:p w14:paraId="6DB4BC00" w14:textId="77777777" w:rsidR="00A829AC" w:rsidRPr="00A829AC" w:rsidRDefault="00A829AC" w:rsidP="00A829AC">
            <w:pPr>
              <w:widowControl/>
              <w:rPr>
                <w:rFonts w:ascii="Arial" w:hAnsi="Arial" w:cs="Arial"/>
                <w:snapToGrid/>
                <w:color w:val="auto"/>
                <w:sz w:val="18"/>
                <w:szCs w:val="18"/>
              </w:rPr>
            </w:pPr>
          </w:p>
        </w:tc>
      </w:tr>
      <w:tr w:rsidR="00A829AC" w:rsidRPr="00A829AC" w14:paraId="64067201" w14:textId="77777777">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318CE3B5" w14:textId="77777777" w:rsidR="00A829AC" w:rsidRPr="00A829AC" w:rsidRDefault="00A829AC" w:rsidP="00A829AC">
            <w:pPr>
              <w:widowControl/>
              <w:rPr>
                <w:rFonts w:ascii="Arial" w:hAnsi="Arial" w:cs="Arial"/>
                <w:snapToGrid/>
                <w:color w:val="auto"/>
                <w:sz w:val="18"/>
                <w:szCs w:val="18"/>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05085CBE" w14:textId="77777777" w:rsidR="00A829AC" w:rsidRPr="00A829AC" w:rsidRDefault="00A829AC" w:rsidP="00A829AC">
            <w:pPr>
              <w:widowControl/>
              <w:ind w:left="60"/>
              <w:rPr>
                <w:rFonts w:ascii="Arial" w:hAnsi="Arial" w:cs="Arial"/>
                <w:snapToGrid/>
                <w:color w:val="auto"/>
                <w:sz w:val="18"/>
                <w:szCs w:val="18"/>
              </w:rPr>
            </w:pPr>
            <w:r w:rsidRPr="00A829AC">
              <w:rPr>
                <w:rFonts w:ascii="Arial" w:hAnsi="Arial" w:cs="Arial"/>
                <w:snapToGrid/>
                <w:color w:val="auto"/>
                <w:sz w:val="18"/>
                <w:szCs w:val="18"/>
              </w:rPr>
              <w:t>Diarrhea</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2CDA8B2A" w14:textId="77777777" w:rsidR="00A829AC" w:rsidRPr="00A829AC" w:rsidRDefault="00A829AC" w:rsidP="00A829AC">
            <w:pPr>
              <w:widowControl/>
              <w:rPr>
                <w:rFonts w:ascii="Arial" w:hAnsi="Arial" w:cs="Arial"/>
                <w:snapToGrid/>
                <w:color w:val="auto"/>
                <w:sz w:val="18"/>
                <w:szCs w:val="18"/>
              </w:rPr>
            </w:pP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57198F31" w14:textId="77777777" w:rsidR="00A829AC" w:rsidRPr="00A829AC" w:rsidRDefault="00A829AC" w:rsidP="00A829AC">
            <w:pPr>
              <w:widowControl/>
              <w:rPr>
                <w:rFonts w:ascii="Arial" w:hAnsi="Arial" w:cs="Arial"/>
                <w:snapToGrid/>
                <w:color w:val="auto"/>
                <w:sz w:val="18"/>
                <w:szCs w:val="18"/>
              </w:rPr>
            </w:pPr>
          </w:p>
        </w:tc>
        <w:tc>
          <w:tcPr>
            <w:tcW w:w="3162"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tcPr>
          <w:p w14:paraId="0A9728D7" w14:textId="77777777" w:rsidR="00A829AC" w:rsidRPr="00A829AC" w:rsidRDefault="00A829AC" w:rsidP="00A829AC">
            <w:pPr>
              <w:widowControl/>
              <w:rPr>
                <w:rFonts w:ascii="Arial" w:hAnsi="Arial" w:cs="Arial"/>
                <w:snapToGrid/>
                <w:color w:val="auto"/>
                <w:sz w:val="18"/>
                <w:szCs w:val="18"/>
              </w:rPr>
            </w:pPr>
            <w:r w:rsidRPr="00A829AC">
              <w:rPr>
                <w:rFonts w:ascii="Arial" w:hAnsi="Arial" w:cs="Arial"/>
                <w:b/>
                <w:bCs/>
                <w:i/>
                <w:iCs/>
                <w:snapToGrid/>
                <w:color w:val="auto"/>
                <w:sz w:val="18"/>
                <w:szCs w:val="18"/>
              </w:rPr>
              <w:t>Diarrhea (Gr 2)</w:t>
            </w:r>
          </w:p>
        </w:tc>
      </w:tr>
      <w:tr w:rsidR="00A829AC" w:rsidRPr="00A829AC" w14:paraId="5E129E8D" w14:textId="77777777">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66508F84" w14:textId="77777777" w:rsidR="00A829AC" w:rsidRPr="00A829AC" w:rsidRDefault="00A829AC" w:rsidP="00A829AC">
            <w:pPr>
              <w:widowControl/>
              <w:rPr>
                <w:rFonts w:ascii="Arial" w:hAnsi="Arial" w:cs="Arial"/>
                <w:snapToGrid/>
                <w:color w:val="auto"/>
                <w:sz w:val="18"/>
                <w:szCs w:val="18"/>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3B9E9E29" w14:textId="77777777" w:rsidR="00A829AC" w:rsidRPr="00A829AC" w:rsidRDefault="00A829AC" w:rsidP="00A829AC">
            <w:pPr>
              <w:widowControl/>
              <w:ind w:left="60"/>
              <w:rPr>
                <w:rFonts w:ascii="Arial" w:hAnsi="Arial" w:cs="Arial"/>
                <w:snapToGrid/>
                <w:color w:val="auto"/>
                <w:sz w:val="18"/>
                <w:szCs w:val="18"/>
              </w:rPr>
            </w:pPr>
            <w:r w:rsidRPr="00A829AC">
              <w:rPr>
                <w:rFonts w:ascii="Arial" w:hAnsi="Arial" w:cs="Arial"/>
                <w:snapToGrid/>
                <w:color w:val="auto"/>
                <w:sz w:val="18"/>
                <w:szCs w:val="18"/>
              </w:rPr>
              <w:t>Dyspepsia</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4F265140" w14:textId="77777777" w:rsidR="00A829AC" w:rsidRPr="00A829AC" w:rsidRDefault="00A829AC" w:rsidP="00A829AC">
            <w:pPr>
              <w:widowControl/>
              <w:rPr>
                <w:rFonts w:ascii="Arial" w:hAnsi="Arial" w:cs="Arial"/>
                <w:snapToGrid/>
                <w:color w:val="auto"/>
                <w:sz w:val="18"/>
                <w:szCs w:val="18"/>
              </w:rPr>
            </w:pP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0C07F399" w14:textId="77777777" w:rsidR="00A829AC" w:rsidRPr="00A829AC" w:rsidRDefault="00A829AC" w:rsidP="00A829AC">
            <w:pPr>
              <w:widowControl/>
              <w:rPr>
                <w:rFonts w:ascii="Arial" w:hAnsi="Arial" w:cs="Arial"/>
                <w:snapToGrid/>
                <w:color w:val="auto"/>
                <w:sz w:val="18"/>
                <w:szCs w:val="18"/>
              </w:rPr>
            </w:pPr>
          </w:p>
        </w:tc>
        <w:tc>
          <w:tcPr>
            <w:tcW w:w="3162"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tcPr>
          <w:p w14:paraId="2818E4EA" w14:textId="77777777" w:rsidR="00A829AC" w:rsidRPr="00A829AC" w:rsidRDefault="00A829AC" w:rsidP="00A829AC">
            <w:pPr>
              <w:widowControl/>
              <w:rPr>
                <w:rFonts w:ascii="Arial" w:hAnsi="Arial" w:cs="Arial"/>
                <w:snapToGrid/>
                <w:color w:val="auto"/>
                <w:sz w:val="18"/>
                <w:szCs w:val="18"/>
              </w:rPr>
            </w:pPr>
            <w:r w:rsidRPr="00A829AC">
              <w:rPr>
                <w:rFonts w:ascii="Arial" w:hAnsi="Arial" w:cs="Arial"/>
                <w:b/>
                <w:bCs/>
                <w:i/>
                <w:iCs/>
                <w:snapToGrid/>
                <w:color w:val="auto"/>
                <w:sz w:val="18"/>
                <w:szCs w:val="18"/>
              </w:rPr>
              <w:t>Dyspepsia (Gr 2)</w:t>
            </w:r>
          </w:p>
        </w:tc>
      </w:tr>
      <w:tr w:rsidR="00A829AC" w:rsidRPr="00A829AC" w14:paraId="74F7F14F" w14:textId="77777777">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0B59743F" w14:textId="77777777" w:rsidR="00A829AC" w:rsidRPr="00A829AC" w:rsidRDefault="00A829AC" w:rsidP="00A829AC">
            <w:pPr>
              <w:widowControl/>
              <w:rPr>
                <w:rFonts w:ascii="Arial" w:hAnsi="Arial" w:cs="Arial"/>
                <w:snapToGrid/>
                <w:color w:val="auto"/>
                <w:sz w:val="18"/>
                <w:szCs w:val="18"/>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01CD5362" w14:textId="77777777" w:rsidR="00A829AC" w:rsidRPr="00A829AC" w:rsidRDefault="00A829AC" w:rsidP="00A829AC">
            <w:pPr>
              <w:widowControl/>
              <w:ind w:left="60"/>
              <w:rPr>
                <w:rFonts w:ascii="Arial" w:hAnsi="Arial" w:cs="Arial"/>
                <w:snapToGrid/>
                <w:color w:val="auto"/>
                <w:sz w:val="18"/>
                <w:szCs w:val="18"/>
              </w:rPr>
            </w:pPr>
            <w:r w:rsidRPr="00A829AC">
              <w:rPr>
                <w:rFonts w:ascii="Arial" w:hAnsi="Arial" w:cs="Arial"/>
                <w:snapToGrid/>
                <w:color w:val="auto"/>
                <w:sz w:val="18"/>
                <w:szCs w:val="18"/>
              </w:rPr>
              <w:t>Mucositis oral</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3D047672" w14:textId="77777777" w:rsidR="00A829AC" w:rsidRPr="00A829AC" w:rsidRDefault="00A829AC" w:rsidP="00A829AC">
            <w:pPr>
              <w:widowControl/>
              <w:rPr>
                <w:rFonts w:ascii="Arial" w:hAnsi="Arial" w:cs="Arial"/>
                <w:snapToGrid/>
                <w:color w:val="auto"/>
                <w:sz w:val="18"/>
                <w:szCs w:val="18"/>
              </w:rPr>
            </w:pP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6F40D4D2" w14:textId="77777777" w:rsidR="00A829AC" w:rsidRPr="00A829AC" w:rsidRDefault="00A829AC" w:rsidP="00A829AC">
            <w:pPr>
              <w:widowControl/>
              <w:rPr>
                <w:rFonts w:ascii="Arial" w:hAnsi="Arial" w:cs="Arial"/>
                <w:snapToGrid/>
                <w:color w:val="auto"/>
                <w:sz w:val="18"/>
                <w:szCs w:val="18"/>
              </w:rPr>
            </w:pPr>
          </w:p>
        </w:tc>
        <w:tc>
          <w:tcPr>
            <w:tcW w:w="3162"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tcPr>
          <w:p w14:paraId="2531723A" w14:textId="77777777" w:rsidR="00A829AC" w:rsidRPr="00A829AC" w:rsidRDefault="00A829AC" w:rsidP="00A829AC">
            <w:pPr>
              <w:widowControl/>
              <w:rPr>
                <w:rFonts w:ascii="Arial" w:hAnsi="Arial" w:cs="Arial"/>
                <w:snapToGrid/>
                <w:color w:val="auto"/>
                <w:sz w:val="18"/>
                <w:szCs w:val="18"/>
              </w:rPr>
            </w:pPr>
            <w:r w:rsidRPr="00A829AC">
              <w:rPr>
                <w:rFonts w:ascii="Arial" w:hAnsi="Arial" w:cs="Arial"/>
                <w:b/>
                <w:bCs/>
                <w:i/>
                <w:iCs/>
                <w:snapToGrid/>
                <w:color w:val="auto"/>
                <w:sz w:val="18"/>
                <w:szCs w:val="18"/>
              </w:rPr>
              <w:t>Mucositis oral (Gr 2)</w:t>
            </w:r>
          </w:p>
        </w:tc>
      </w:tr>
      <w:tr w:rsidR="00A829AC" w:rsidRPr="00A829AC" w14:paraId="7171F8B5" w14:textId="77777777">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66F16686" w14:textId="77777777" w:rsidR="00A829AC" w:rsidRPr="00A829AC" w:rsidRDefault="00A829AC" w:rsidP="00A829AC">
            <w:pPr>
              <w:widowControl/>
              <w:ind w:left="60"/>
              <w:rPr>
                <w:rFonts w:ascii="Arial" w:hAnsi="Arial" w:cs="Arial"/>
                <w:snapToGrid/>
                <w:color w:val="auto"/>
                <w:sz w:val="18"/>
                <w:szCs w:val="18"/>
              </w:rPr>
            </w:pPr>
            <w:r w:rsidRPr="00A829AC">
              <w:rPr>
                <w:rFonts w:ascii="Arial" w:hAnsi="Arial" w:cs="Arial"/>
                <w:snapToGrid/>
                <w:color w:val="auto"/>
                <w:sz w:val="18"/>
                <w:szCs w:val="18"/>
              </w:rPr>
              <w:t>Nausea</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55F70236" w14:textId="77777777" w:rsidR="00A829AC" w:rsidRPr="00A829AC" w:rsidRDefault="00A829AC" w:rsidP="00A829AC">
            <w:pPr>
              <w:widowControl/>
              <w:rPr>
                <w:rFonts w:ascii="Arial" w:hAnsi="Arial" w:cs="Arial"/>
                <w:snapToGrid/>
                <w:color w:val="auto"/>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001CC22A" w14:textId="77777777" w:rsidR="00A829AC" w:rsidRPr="00A829AC" w:rsidRDefault="00A829AC" w:rsidP="00A829AC">
            <w:pPr>
              <w:widowControl/>
              <w:rPr>
                <w:rFonts w:ascii="Arial" w:hAnsi="Arial" w:cs="Arial"/>
                <w:snapToGrid/>
                <w:color w:val="auto"/>
                <w:sz w:val="18"/>
                <w:szCs w:val="18"/>
              </w:rPr>
            </w:pP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6A5171FD" w14:textId="77777777" w:rsidR="00A829AC" w:rsidRPr="00A829AC" w:rsidRDefault="00A829AC" w:rsidP="00A829AC">
            <w:pPr>
              <w:widowControl/>
              <w:rPr>
                <w:rFonts w:ascii="Arial" w:hAnsi="Arial" w:cs="Arial"/>
                <w:snapToGrid/>
                <w:color w:val="auto"/>
                <w:sz w:val="18"/>
                <w:szCs w:val="18"/>
              </w:rPr>
            </w:pPr>
          </w:p>
        </w:tc>
        <w:tc>
          <w:tcPr>
            <w:tcW w:w="3162"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tcPr>
          <w:p w14:paraId="518EE19C" w14:textId="77777777" w:rsidR="00A829AC" w:rsidRPr="00A829AC" w:rsidRDefault="00A829AC" w:rsidP="00A829AC">
            <w:pPr>
              <w:widowControl/>
              <w:rPr>
                <w:rFonts w:ascii="Arial" w:hAnsi="Arial" w:cs="Arial"/>
                <w:snapToGrid/>
                <w:color w:val="auto"/>
                <w:sz w:val="18"/>
                <w:szCs w:val="18"/>
              </w:rPr>
            </w:pPr>
            <w:r w:rsidRPr="00A829AC">
              <w:rPr>
                <w:rFonts w:ascii="Arial" w:hAnsi="Arial" w:cs="Arial"/>
                <w:b/>
                <w:bCs/>
                <w:i/>
                <w:iCs/>
                <w:snapToGrid/>
                <w:color w:val="auto"/>
                <w:sz w:val="18"/>
                <w:szCs w:val="18"/>
              </w:rPr>
              <w:t>Nausea (Gr 2)</w:t>
            </w:r>
          </w:p>
        </w:tc>
      </w:tr>
      <w:tr w:rsidR="00A829AC" w:rsidRPr="00A829AC" w14:paraId="12AE351F" w14:textId="77777777">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3C5F2C31" w14:textId="77777777" w:rsidR="00A829AC" w:rsidRPr="00A829AC" w:rsidRDefault="00A829AC" w:rsidP="00A829AC">
            <w:pPr>
              <w:widowControl/>
              <w:ind w:left="60"/>
              <w:rPr>
                <w:rFonts w:ascii="Arial" w:hAnsi="Arial" w:cs="Arial"/>
                <w:snapToGrid/>
                <w:color w:val="auto"/>
                <w:sz w:val="18"/>
                <w:szCs w:val="18"/>
              </w:rPr>
            </w:pPr>
            <w:r w:rsidRPr="00A829AC">
              <w:rPr>
                <w:rFonts w:ascii="Arial" w:hAnsi="Arial" w:cs="Arial"/>
                <w:snapToGrid/>
                <w:color w:val="auto"/>
                <w:sz w:val="18"/>
                <w:szCs w:val="18"/>
              </w:rPr>
              <w:t>Vomiting</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2A2F3822" w14:textId="77777777" w:rsidR="00A829AC" w:rsidRPr="00A829AC" w:rsidRDefault="00A829AC" w:rsidP="00A829AC">
            <w:pPr>
              <w:widowControl/>
              <w:rPr>
                <w:rFonts w:ascii="Arial" w:hAnsi="Arial" w:cs="Arial"/>
                <w:snapToGrid/>
                <w:color w:val="auto"/>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70892C24" w14:textId="77777777" w:rsidR="00A829AC" w:rsidRPr="00A829AC" w:rsidRDefault="00A829AC" w:rsidP="00A829AC">
            <w:pPr>
              <w:widowControl/>
              <w:rPr>
                <w:rFonts w:ascii="Arial" w:hAnsi="Arial" w:cs="Arial"/>
                <w:snapToGrid/>
                <w:color w:val="auto"/>
                <w:sz w:val="18"/>
                <w:szCs w:val="18"/>
              </w:rPr>
            </w:pP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596F5F55" w14:textId="77777777" w:rsidR="00A829AC" w:rsidRPr="00A829AC" w:rsidRDefault="00A829AC" w:rsidP="00A829AC">
            <w:pPr>
              <w:widowControl/>
              <w:rPr>
                <w:rFonts w:ascii="Arial" w:hAnsi="Arial" w:cs="Arial"/>
                <w:snapToGrid/>
                <w:color w:val="auto"/>
                <w:sz w:val="18"/>
                <w:szCs w:val="18"/>
              </w:rPr>
            </w:pPr>
          </w:p>
        </w:tc>
        <w:tc>
          <w:tcPr>
            <w:tcW w:w="3162"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tcPr>
          <w:p w14:paraId="20A91C45" w14:textId="77777777" w:rsidR="00A829AC" w:rsidRPr="00A829AC" w:rsidRDefault="00A829AC" w:rsidP="00A829AC">
            <w:pPr>
              <w:widowControl/>
              <w:rPr>
                <w:rFonts w:ascii="Arial" w:hAnsi="Arial" w:cs="Arial"/>
                <w:snapToGrid/>
                <w:color w:val="auto"/>
                <w:sz w:val="18"/>
                <w:szCs w:val="18"/>
              </w:rPr>
            </w:pPr>
            <w:r w:rsidRPr="00A829AC">
              <w:rPr>
                <w:rFonts w:ascii="Arial" w:hAnsi="Arial" w:cs="Arial"/>
                <w:b/>
                <w:bCs/>
                <w:i/>
                <w:iCs/>
                <w:snapToGrid/>
                <w:color w:val="auto"/>
                <w:sz w:val="18"/>
                <w:szCs w:val="18"/>
              </w:rPr>
              <w:t>Vomiting (Gr 2)</w:t>
            </w:r>
          </w:p>
        </w:tc>
      </w:tr>
      <w:tr w:rsidR="00A829AC" w:rsidRPr="00A829AC" w14:paraId="1970C72C" w14:textId="77777777">
        <w:trPr>
          <w:jc w:val="center"/>
        </w:trPr>
        <w:tc>
          <w:tcPr>
            <w:tcW w:w="7375" w:type="dxa"/>
            <w:gridSpan w:val="3"/>
            <w:tcBorders>
              <w:top w:val="single" w:sz="4" w:space="0" w:color="000000"/>
              <w:left w:val="single" w:sz="4" w:space="0" w:color="000000"/>
              <w:bottom w:val="single" w:sz="4" w:space="0" w:color="000000"/>
              <w:right w:val="single" w:sz="4" w:space="0" w:color="000000"/>
            </w:tcBorders>
            <w:shd w:val="clear" w:color="auto" w:fill="C0C0C0"/>
            <w:tcMar>
              <w:top w:w="10" w:type="dxa"/>
              <w:left w:w="10" w:type="dxa"/>
              <w:bottom w:w="10" w:type="dxa"/>
              <w:right w:w="10" w:type="dxa"/>
            </w:tcMar>
          </w:tcPr>
          <w:p w14:paraId="4038A6A0" w14:textId="77777777" w:rsidR="00A829AC" w:rsidRPr="00A829AC" w:rsidRDefault="00A829AC" w:rsidP="00A829AC">
            <w:pPr>
              <w:widowControl/>
              <w:rPr>
                <w:rFonts w:ascii="Arial" w:hAnsi="Arial" w:cs="Arial"/>
                <w:snapToGrid/>
                <w:color w:val="auto"/>
                <w:sz w:val="20"/>
                <w:szCs w:val="20"/>
              </w:rPr>
            </w:pPr>
            <w:r w:rsidRPr="00A829AC">
              <w:rPr>
                <w:rFonts w:ascii="Arial" w:hAnsi="Arial" w:cs="Arial"/>
                <w:snapToGrid/>
                <w:color w:val="auto"/>
                <w:sz w:val="20"/>
                <w:szCs w:val="20"/>
              </w:rPr>
              <w:t>GENERAL DISORDERS AND ADMINISTRATION SITE CONDITIONS</w:t>
            </w: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585D2316" w14:textId="77777777" w:rsidR="00A829AC" w:rsidRPr="00A829AC" w:rsidRDefault="00A829AC" w:rsidP="00A829AC">
            <w:pPr>
              <w:widowControl/>
              <w:rPr>
                <w:rFonts w:ascii="Arial" w:hAnsi="Arial" w:cs="Arial"/>
                <w:snapToGrid/>
                <w:color w:val="auto"/>
                <w:sz w:val="20"/>
                <w:szCs w:val="20"/>
              </w:rPr>
            </w:pPr>
          </w:p>
        </w:tc>
        <w:tc>
          <w:tcPr>
            <w:tcW w:w="3162" w:type="dxa"/>
            <w:tcBorders>
              <w:top w:val="single" w:sz="4" w:space="0" w:color="000000"/>
              <w:left w:val="single" w:sz="4" w:space="0" w:color="000000"/>
              <w:bottom w:val="single" w:sz="4" w:space="0" w:color="000000"/>
              <w:right w:val="single" w:sz="4" w:space="0" w:color="000000"/>
            </w:tcBorders>
            <w:shd w:val="clear" w:color="auto" w:fill="C0C0C0"/>
            <w:tcMar>
              <w:top w:w="10" w:type="dxa"/>
              <w:left w:w="10" w:type="dxa"/>
              <w:bottom w:w="10" w:type="dxa"/>
              <w:right w:w="10" w:type="dxa"/>
            </w:tcMar>
          </w:tcPr>
          <w:p w14:paraId="0817F077" w14:textId="77777777" w:rsidR="00A829AC" w:rsidRPr="00A829AC" w:rsidRDefault="00A829AC" w:rsidP="00A829AC">
            <w:pPr>
              <w:widowControl/>
              <w:rPr>
                <w:rFonts w:ascii="Arial" w:hAnsi="Arial" w:cs="Arial"/>
                <w:snapToGrid/>
                <w:color w:val="auto"/>
                <w:sz w:val="20"/>
                <w:szCs w:val="20"/>
              </w:rPr>
            </w:pPr>
          </w:p>
        </w:tc>
      </w:tr>
      <w:tr w:rsidR="00A829AC" w:rsidRPr="00A829AC" w14:paraId="3E087807" w14:textId="77777777">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16959078" w14:textId="77777777" w:rsidR="00A829AC" w:rsidRPr="00A829AC" w:rsidRDefault="00A829AC" w:rsidP="00A829AC">
            <w:pPr>
              <w:widowControl/>
              <w:rPr>
                <w:rFonts w:ascii="Arial" w:hAnsi="Arial" w:cs="Arial"/>
                <w:snapToGrid/>
                <w:color w:val="auto"/>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02D408E4" w14:textId="77777777" w:rsidR="00A829AC" w:rsidRPr="00A829AC" w:rsidRDefault="00A829AC" w:rsidP="00A829AC">
            <w:pPr>
              <w:widowControl/>
              <w:ind w:left="60"/>
              <w:rPr>
                <w:rFonts w:ascii="Arial" w:hAnsi="Arial" w:cs="Arial"/>
                <w:snapToGrid/>
                <w:color w:val="auto"/>
                <w:sz w:val="18"/>
                <w:szCs w:val="18"/>
              </w:rPr>
            </w:pPr>
            <w:r w:rsidRPr="00A829AC">
              <w:rPr>
                <w:rFonts w:ascii="Arial" w:hAnsi="Arial" w:cs="Arial"/>
                <w:snapToGrid/>
                <w:color w:val="auto"/>
                <w:sz w:val="18"/>
                <w:szCs w:val="18"/>
              </w:rPr>
              <w:t>Chills</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1B65B646" w14:textId="77777777" w:rsidR="00A829AC" w:rsidRPr="00A829AC" w:rsidRDefault="00A829AC" w:rsidP="00A829AC">
            <w:pPr>
              <w:widowControl/>
              <w:rPr>
                <w:rFonts w:ascii="Arial" w:hAnsi="Arial" w:cs="Arial"/>
                <w:snapToGrid/>
                <w:color w:val="auto"/>
                <w:sz w:val="18"/>
                <w:szCs w:val="18"/>
              </w:rPr>
            </w:pP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280E4BB0" w14:textId="77777777" w:rsidR="00A829AC" w:rsidRPr="00A829AC" w:rsidRDefault="00A829AC" w:rsidP="00A829AC">
            <w:pPr>
              <w:widowControl/>
              <w:rPr>
                <w:rFonts w:ascii="Arial" w:hAnsi="Arial" w:cs="Arial"/>
                <w:snapToGrid/>
                <w:color w:val="auto"/>
                <w:sz w:val="18"/>
                <w:szCs w:val="18"/>
              </w:rPr>
            </w:pPr>
          </w:p>
        </w:tc>
        <w:tc>
          <w:tcPr>
            <w:tcW w:w="3162"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tcPr>
          <w:p w14:paraId="477A6884" w14:textId="77777777" w:rsidR="00A829AC" w:rsidRPr="00A829AC" w:rsidRDefault="00A829AC" w:rsidP="00A829AC">
            <w:pPr>
              <w:widowControl/>
              <w:rPr>
                <w:rFonts w:ascii="Arial" w:hAnsi="Arial" w:cs="Arial"/>
                <w:snapToGrid/>
                <w:color w:val="auto"/>
                <w:sz w:val="18"/>
                <w:szCs w:val="18"/>
              </w:rPr>
            </w:pPr>
            <w:r w:rsidRPr="00A829AC">
              <w:rPr>
                <w:rFonts w:ascii="Arial" w:hAnsi="Arial" w:cs="Arial"/>
                <w:b/>
                <w:bCs/>
                <w:i/>
                <w:iCs/>
                <w:snapToGrid/>
                <w:color w:val="auto"/>
                <w:sz w:val="18"/>
                <w:szCs w:val="18"/>
              </w:rPr>
              <w:t>Chills (Gr 2)</w:t>
            </w:r>
          </w:p>
        </w:tc>
      </w:tr>
      <w:tr w:rsidR="00A829AC" w:rsidRPr="00A829AC" w14:paraId="0104BE34" w14:textId="77777777">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65F189D8" w14:textId="77777777" w:rsidR="00A829AC" w:rsidRPr="00A829AC" w:rsidRDefault="00A829AC" w:rsidP="00A829AC">
            <w:pPr>
              <w:widowControl/>
              <w:ind w:left="60"/>
              <w:rPr>
                <w:rFonts w:ascii="Arial" w:hAnsi="Arial" w:cs="Arial"/>
                <w:snapToGrid/>
                <w:color w:val="auto"/>
                <w:sz w:val="18"/>
                <w:szCs w:val="18"/>
              </w:rPr>
            </w:pPr>
            <w:r w:rsidRPr="00A829AC">
              <w:rPr>
                <w:rFonts w:ascii="Arial" w:hAnsi="Arial" w:cs="Arial"/>
                <w:snapToGrid/>
                <w:color w:val="auto"/>
                <w:sz w:val="18"/>
                <w:szCs w:val="18"/>
              </w:rPr>
              <w:t>Fatigue</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7E42137C" w14:textId="77777777" w:rsidR="00A829AC" w:rsidRPr="00A829AC" w:rsidRDefault="00A829AC" w:rsidP="00A829AC">
            <w:pPr>
              <w:widowControl/>
              <w:rPr>
                <w:rFonts w:ascii="Arial" w:hAnsi="Arial" w:cs="Arial"/>
                <w:snapToGrid/>
                <w:color w:val="auto"/>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47F26B17" w14:textId="77777777" w:rsidR="00A829AC" w:rsidRPr="00A829AC" w:rsidRDefault="00A829AC" w:rsidP="00A829AC">
            <w:pPr>
              <w:widowControl/>
              <w:rPr>
                <w:rFonts w:ascii="Arial" w:hAnsi="Arial" w:cs="Arial"/>
                <w:snapToGrid/>
                <w:color w:val="auto"/>
                <w:sz w:val="18"/>
                <w:szCs w:val="18"/>
              </w:rPr>
            </w:pP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3A0332B0" w14:textId="77777777" w:rsidR="00A829AC" w:rsidRPr="00A829AC" w:rsidRDefault="00A829AC" w:rsidP="00A829AC">
            <w:pPr>
              <w:widowControl/>
              <w:rPr>
                <w:rFonts w:ascii="Arial" w:hAnsi="Arial" w:cs="Arial"/>
                <w:snapToGrid/>
                <w:color w:val="auto"/>
                <w:sz w:val="18"/>
                <w:szCs w:val="18"/>
              </w:rPr>
            </w:pPr>
          </w:p>
        </w:tc>
        <w:tc>
          <w:tcPr>
            <w:tcW w:w="3162"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tcPr>
          <w:p w14:paraId="27BC61E8" w14:textId="77777777" w:rsidR="00A829AC" w:rsidRPr="00A829AC" w:rsidRDefault="00A829AC" w:rsidP="00A829AC">
            <w:pPr>
              <w:widowControl/>
              <w:rPr>
                <w:rFonts w:ascii="Arial" w:hAnsi="Arial" w:cs="Arial"/>
                <w:snapToGrid/>
                <w:color w:val="auto"/>
                <w:sz w:val="18"/>
                <w:szCs w:val="18"/>
              </w:rPr>
            </w:pPr>
            <w:r w:rsidRPr="00A829AC">
              <w:rPr>
                <w:rFonts w:ascii="Arial" w:hAnsi="Arial" w:cs="Arial"/>
                <w:b/>
                <w:bCs/>
                <w:i/>
                <w:iCs/>
                <w:snapToGrid/>
                <w:color w:val="auto"/>
                <w:sz w:val="18"/>
                <w:szCs w:val="18"/>
              </w:rPr>
              <w:t>Fatigue (Gr 2)</w:t>
            </w:r>
          </w:p>
        </w:tc>
      </w:tr>
      <w:tr w:rsidR="00A829AC" w:rsidRPr="00A829AC" w14:paraId="676A69B6" w14:textId="77777777">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2E0177DB" w14:textId="77777777" w:rsidR="00A829AC" w:rsidRPr="00A829AC" w:rsidRDefault="00A829AC" w:rsidP="00A829AC">
            <w:pPr>
              <w:widowControl/>
              <w:ind w:left="60"/>
              <w:rPr>
                <w:rFonts w:ascii="Arial" w:hAnsi="Arial" w:cs="Arial"/>
                <w:snapToGrid/>
                <w:color w:val="auto"/>
                <w:sz w:val="18"/>
                <w:szCs w:val="18"/>
              </w:rPr>
            </w:pPr>
            <w:r w:rsidRPr="00A829AC">
              <w:rPr>
                <w:rFonts w:ascii="Arial" w:hAnsi="Arial" w:cs="Arial"/>
                <w:snapToGrid/>
                <w:color w:val="auto"/>
                <w:sz w:val="18"/>
                <w:szCs w:val="18"/>
              </w:rPr>
              <w:t>Fever</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095FD16C" w14:textId="77777777" w:rsidR="00A829AC" w:rsidRPr="00A829AC" w:rsidRDefault="00A829AC" w:rsidP="00A829AC">
            <w:pPr>
              <w:widowControl/>
              <w:rPr>
                <w:rFonts w:ascii="Arial" w:hAnsi="Arial" w:cs="Arial"/>
                <w:snapToGrid/>
                <w:color w:val="auto"/>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3BF1D871" w14:textId="77777777" w:rsidR="00A829AC" w:rsidRPr="00A829AC" w:rsidRDefault="00A829AC" w:rsidP="00A829AC">
            <w:pPr>
              <w:widowControl/>
              <w:rPr>
                <w:rFonts w:ascii="Arial" w:hAnsi="Arial" w:cs="Arial"/>
                <w:snapToGrid/>
                <w:color w:val="auto"/>
                <w:sz w:val="18"/>
                <w:szCs w:val="18"/>
              </w:rPr>
            </w:pP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48092BB9" w14:textId="77777777" w:rsidR="00A829AC" w:rsidRPr="00A829AC" w:rsidRDefault="00A829AC" w:rsidP="00A829AC">
            <w:pPr>
              <w:widowControl/>
              <w:rPr>
                <w:rFonts w:ascii="Arial" w:hAnsi="Arial" w:cs="Arial"/>
                <w:snapToGrid/>
                <w:color w:val="auto"/>
                <w:sz w:val="18"/>
                <w:szCs w:val="18"/>
              </w:rPr>
            </w:pPr>
          </w:p>
        </w:tc>
        <w:tc>
          <w:tcPr>
            <w:tcW w:w="3162"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tcPr>
          <w:p w14:paraId="22DF3113" w14:textId="77777777" w:rsidR="00A829AC" w:rsidRPr="00A829AC" w:rsidRDefault="00A829AC" w:rsidP="00A829AC">
            <w:pPr>
              <w:widowControl/>
              <w:rPr>
                <w:rFonts w:ascii="Arial" w:hAnsi="Arial" w:cs="Arial"/>
                <w:snapToGrid/>
                <w:color w:val="auto"/>
                <w:sz w:val="18"/>
                <w:szCs w:val="18"/>
              </w:rPr>
            </w:pPr>
            <w:r w:rsidRPr="00A829AC">
              <w:rPr>
                <w:rFonts w:ascii="Arial" w:hAnsi="Arial" w:cs="Arial"/>
                <w:b/>
                <w:bCs/>
                <w:i/>
                <w:iCs/>
                <w:snapToGrid/>
                <w:color w:val="auto"/>
                <w:sz w:val="18"/>
                <w:szCs w:val="18"/>
              </w:rPr>
              <w:t>Fever (Gr 2)</w:t>
            </w:r>
          </w:p>
        </w:tc>
      </w:tr>
      <w:tr w:rsidR="00A829AC" w:rsidRPr="00A829AC" w14:paraId="3C374469" w14:textId="77777777">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786653B7" w14:textId="77777777" w:rsidR="00A829AC" w:rsidRPr="00A829AC" w:rsidRDefault="00A829AC" w:rsidP="00A829AC">
            <w:pPr>
              <w:widowControl/>
              <w:rPr>
                <w:rFonts w:ascii="Arial" w:hAnsi="Arial" w:cs="Arial"/>
                <w:snapToGrid/>
                <w:color w:val="auto"/>
                <w:sz w:val="18"/>
                <w:szCs w:val="18"/>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08A68334" w14:textId="77777777" w:rsidR="00A829AC" w:rsidRPr="00A829AC" w:rsidRDefault="00A829AC" w:rsidP="00A829AC">
            <w:pPr>
              <w:widowControl/>
              <w:ind w:left="60"/>
              <w:rPr>
                <w:rFonts w:ascii="Arial" w:hAnsi="Arial" w:cs="Arial"/>
                <w:snapToGrid/>
                <w:color w:val="auto"/>
                <w:sz w:val="18"/>
                <w:szCs w:val="18"/>
              </w:rPr>
            </w:pPr>
            <w:r w:rsidRPr="00A829AC">
              <w:rPr>
                <w:rFonts w:ascii="Arial" w:hAnsi="Arial" w:cs="Arial"/>
                <w:snapToGrid/>
                <w:color w:val="auto"/>
                <w:sz w:val="18"/>
                <w:szCs w:val="18"/>
              </w:rPr>
              <w:t>Injection site reaction</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77040EC5" w14:textId="77777777" w:rsidR="00A829AC" w:rsidRPr="00A829AC" w:rsidRDefault="00A829AC" w:rsidP="00A829AC">
            <w:pPr>
              <w:widowControl/>
              <w:rPr>
                <w:rFonts w:ascii="Arial" w:hAnsi="Arial" w:cs="Arial"/>
                <w:snapToGrid/>
                <w:color w:val="auto"/>
                <w:sz w:val="18"/>
                <w:szCs w:val="18"/>
              </w:rPr>
            </w:pP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71B79433" w14:textId="77777777" w:rsidR="00A829AC" w:rsidRPr="00A829AC" w:rsidRDefault="00A829AC" w:rsidP="00A829AC">
            <w:pPr>
              <w:widowControl/>
              <w:rPr>
                <w:rFonts w:ascii="Arial" w:hAnsi="Arial" w:cs="Arial"/>
                <w:snapToGrid/>
                <w:color w:val="auto"/>
                <w:sz w:val="18"/>
                <w:szCs w:val="18"/>
              </w:rPr>
            </w:pPr>
          </w:p>
        </w:tc>
        <w:tc>
          <w:tcPr>
            <w:tcW w:w="3162"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tcPr>
          <w:p w14:paraId="2ABD5374" w14:textId="77777777" w:rsidR="00A829AC" w:rsidRPr="00A829AC" w:rsidRDefault="00A829AC" w:rsidP="00A829AC">
            <w:pPr>
              <w:widowControl/>
              <w:rPr>
                <w:rFonts w:ascii="Arial" w:hAnsi="Arial" w:cs="Arial"/>
                <w:snapToGrid/>
                <w:color w:val="auto"/>
                <w:sz w:val="18"/>
                <w:szCs w:val="18"/>
              </w:rPr>
            </w:pPr>
            <w:r w:rsidRPr="00A829AC">
              <w:rPr>
                <w:rFonts w:ascii="Arial" w:hAnsi="Arial" w:cs="Arial"/>
                <w:b/>
                <w:bCs/>
                <w:i/>
                <w:iCs/>
                <w:snapToGrid/>
                <w:color w:val="auto"/>
                <w:sz w:val="18"/>
                <w:szCs w:val="18"/>
              </w:rPr>
              <w:t>Injection site reaction (Gr 2)</w:t>
            </w:r>
          </w:p>
        </w:tc>
      </w:tr>
      <w:tr w:rsidR="00A829AC" w:rsidRPr="00A829AC" w14:paraId="66E7DC11" w14:textId="77777777">
        <w:trPr>
          <w:jc w:val="center"/>
        </w:trPr>
        <w:tc>
          <w:tcPr>
            <w:tcW w:w="7375" w:type="dxa"/>
            <w:gridSpan w:val="3"/>
            <w:tcBorders>
              <w:top w:val="single" w:sz="4" w:space="0" w:color="000000"/>
              <w:left w:val="single" w:sz="4" w:space="0" w:color="000000"/>
              <w:bottom w:val="single" w:sz="4" w:space="0" w:color="000000"/>
              <w:right w:val="single" w:sz="4" w:space="0" w:color="000000"/>
            </w:tcBorders>
            <w:shd w:val="clear" w:color="auto" w:fill="C0C0C0"/>
            <w:tcMar>
              <w:top w:w="10" w:type="dxa"/>
              <w:left w:w="10" w:type="dxa"/>
              <w:bottom w:w="10" w:type="dxa"/>
              <w:right w:w="10" w:type="dxa"/>
            </w:tcMar>
          </w:tcPr>
          <w:p w14:paraId="2F483D9F" w14:textId="77777777" w:rsidR="00A829AC" w:rsidRPr="00A829AC" w:rsidRDefault="00A829AC" w:rsidP="00A829AC">
            <w:pPr>
              <w:widowControl/>
              <w:rPr>
                <w:rFonts w:ascii="Arial" w:hAnsi="Arial" w:cs="Arial"/>
                <w:snapToGrid/>
                <w:color w:val="auto"/>
                <w:sz w:val="20"/>
                <w:szCs w:val="20"/>
              </w:rPr>
            </w:pPr>
            <w:r w:rsidRPr="00A829AC">
              <w:rPr>
                <w:rFonts w:ascii="Arial" w:hAnsi="Arial" w:cs="Arial"/>
                <w:snapToGrid/>
                <w:color w:val="auto"/>
                <w:sz w:val="20"/>
                <w:szCs w:val="20"/>
              </w:rPr>
              <w:t>INFECTIONS AND INFESTATIONS</w:t>
            </w: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0170CF90" w14:textId="77777777" w:rsidR="00A829AC" w:rsidRPr="00A829AC" w:rsidRDefault="00A829AC" w:rsidP="00A829AC">
            <w:pPr>
              <w:widowControl/>
              <w:rPr>
                <w:rFonts w:ascii="Arial" w:hAnsi="Arial" w:cs="Arial"/>
                <w:snapToGrid/>
                <w:color w:val="auto"/>
                <w:sz w:val="20"/>
                <w:szCs w:val="20"/>
              </w:rPr>
            </w:pPr>
          </w:p>
        </w:tc>
        <w:tc>
          <w:tcPr>
            <w:tcW w:w="3162" w:type="dxa"/>
            <w:tcBorders>
              <w:top w:val="single" w:sz="4" w:space="0" w:color="000000"/>
              <w:left w:val="single" w:sz="4" w:space="0" w:color="000000"/>
              <w:bottom w:val="single" w:sz="4" w:space="0" w:color="000000"/>
              <w:right w:val="single" w:sz="4" w:space="0" w:color="000000"/>
            </w:tcBorders>
            <w:shd w:val="clear" w:color="auto" w:fill="C0C0C0"/>
            <w:tcMar>
              <w:top w:w="10" w:type="dxa"/>
              <w:left w:w="10" w:type="dxa"/>
              <w:bottom w:w="10" w:type="dxa"/>
              <w:right w:w="10" w:type="dxa"/>
            </w:tcMar>
          </w:tcPr>
          <w:p w14:paraId="5FD76FC6" w14:textId="77777777" w:rsidR="00A829AC" w:rsidRPr="00A829AC" w:rsidRDefault="00A829AC" w:rsidP="00A829AC">
            <w:pPr>
              <w:widowControl/>
              <w:rPr>
                <w:rFonts w:ascii="Arial" w:hAnsi="Arial" w:cs="Arial"/>
                <w:snapToGrid/>
                <w:color w:val="auto"/>
                <w:sz w:val="20"/>
                <w:szCs w:val="20"/>
              </w:rPr>
            </w:pPr>
          </w:p>
        </w:tc>
      </w:tr>
      <w:tr w:rsidR="00A829AC" w:rsidRPr="00A829AC" w14:paraId="1F9F470B" w14:textId="77777777">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67F25503" w14:textId="77777777" w:rsidR="00A829AC" w:rsidRPr="00A829AC" w:rsidRDefault="00A829AC" w:rsidP="00A829AC">
            <w:pPr>
              <w:widowControl/>
              <w:rPr>
                <w:rFonts w:ascii="Arial" w:hAnsi="Arial" w:cs="Arial"/>
                <w:snapToGrid/>
                <w:color w:val="auto"/>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56B42FF3" w14:textId="77777777" w:rsidR="00A829AC" w:rsidRPr="00A829AC" w:rsidRDefault="00A829AC" w:rsidP="00A829AC">
            <w:pPr>
              <w:widowControl/>
              <w:ind w:left="60"/>
              <w:rPr>
                <w:rFonts w:ascii="Arial" w:hAnsi="Arial" w:cs="Arial"/>
                <w:snapToGrid/>
                <w:color w:val="auto"/>
                <w:sz w:val="18"/>
                <w:szCs w:val="18"/>
              </w:rPr>
            </w:pPr>
            <w:r w:rsidRPr="00A829AC">
              <w:rPr>
                <w:rFonts w:ascii="Arial" w:hAnsi="Arial" w:cs="Arial"/>
                <w:snapToGrid/>
                <w:color w:val="auto"/>
                <w:sz w:val="18"/>
                <w:szCs w:val="18"/>
              </w:rPr>
              <w:t>Infection</w:t>
            </w:r>
            <w:r w:rsidRPr="00A829AC">
              <w:rPr>
                <w:rFonts w:ascii="Arial" w:hAnsi="Arial" w:cs="Arial"/>
                <w:snapToGrid/>
                <w:color w:val="auto"/>
                <w:sz w:val="18"/>
                <w:szCs w:val="18"/>
                <w:vertAlign w:val="superscript"/>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59A071A4" w14:textId="77777777" w:rsidR="00A829AC" w:rsidRPr="00A829AC" w:rsidRDefault="00A829AC" w:rsidP="00A829AC">
            <w:pPr>
              <w:widowControl/>
              <w:rPr>
                <w:rFonts w:ascii="Arial" w:hAnsi="Arial" w:cs="Arial"/>
                <w:snapToGrid/>
                <w:color w:val="auto"/>
                <w:sz w:val="18"/>
                <w:szCs w:val="18"/>
              </w:rPr>
            </w:pP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7B347DC9" w14:textId="77777777" w:rsidR="00A829AC" w:rsidRPr="00A829AC" w:rsidRDefault="00A829AC" w:rsidP="00A829AC">
            <w:pPr>
              <w:widowControl/>
              <w:rPr>
                <w:rFonts w:ascii="Arial" w:hAnsi="Arial" w:cs="Arial"/>
                <w:snapToGrid/>
                <w:color w:val="auto"/>
                <w:sz w:val="18"/>
                <w:szCs w:val="18"/>
              </w:rPr>
            </w:pPr>
          </w:p>
        </w:tc>
        <w:tc>
          <w:tcPr>
            <w:tcW w:w="3162"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tcPr>
          <w:p w14:paraId="27CA86BA" w14:textId="77777777" w:rsidR="00A829AC" w:rsidRPr="00A829AC" w:rsidRDefault="00A829AC" w:rsidP="00A829AC">
            <w:pPr>
              <w:widowControl/>
              <w:rPr>
                <w:rFonts w:ascii="Arial" w:hAnsi="Arial" w:cs="Arial"/>
                <w:snapToGrid/>
                <w:color w:val="auto"/>
                <w:sz w:val="18"/>
                <w:szCs w:val="18"/>
              </w:rPr>
            </w:pPr>
            <w:r w:rsidRPr="00A829AC">
              <w:rPr>
                <w:rFonts w:ascii="Arial" w:hAnsi="Arial" w:cs="Arial"/>
                <w:b/>
                <w:bCs/>
                <w:i/>
                <w:iCs/>
                <w:snapToGrid/>
                <w:color w:val="auto"/>
                <w:sz w:val="18"/>
                <w:szCs w:val="18"/>
              </w:rPr>
              <w:t>Infection</w:t>
            </w:r>
            <w:r w:rsidRPr="00A829AC">
              <w:rPr>
                <w:rFonts w:ascii="Arial" w:hAnsi="Arial" w:cs="Arial"/>
                <w:b/>
                <w:bCs/>
                <w:i/>
                <w:iCs/>
                <w:snapToGrid/>
                <w:color w:val="auto"/>
                <w:sz w:val="18"/>
                <w:szCs w:val="18"/>
                <w:vertAlign w:val="superscript"/>
              </w:rPr>
              <w:t>2</w:t>
            </w:r>
            <w:r w:rsidRPr="00A829AC">
              <w:rPr>
                <w:rFonts w:ascii="Arial" w:hAnsi="Arial" w:cs="Arial"/>
                <w:b/>
                <w:bCs/>
                <w:i/>
                <w:iCs/>
                <w:snapToGrid/>
                <w:color w:val="auto"/>
                <w:sz w:val="18"/>
                <w:szCs w:val="18"/>
              </w:rPr>
              <w:t xml:space="preserve"> (Gr 3)</w:t>
            </w:r>
          </w:p>
        </w:tc>
      </w:tr>
      <w:tr w:rsidR="00A829AC" w:rsidRPr="00A829AC" w14:paraId="5E478B03" w14:textId="77777777">
        <w:trPr>
          <w:jc w:val="center"/>
        </w:trPr>
        <w:tc>
          <w:tcPr>
            <w:tcW w:w="7375" w:type="dxa"/>
            <w:gridSpan w:val="3"/>
            <w:tcBorders>
              <w:top w:val="single" w:sz="4" w:space="0" w:color="000000"/>
              <w:left w:val="single" w:sz="4" w:space="0" w:color="000000"/>
              <w:bottom w:val="single" w:sz="4" w:space="0" w:color="000000"/>
              <w:right w:val="single" w:sz="4" w:space="0" w:color="000000"/>
            </w:tcBorders>
            <w:shd w:val="clear" w:color="auto" w:fill="C0C0C0"/>
            <w:tcMar>
              <w:top w:w="10" w:type="dxa"/>
              <w:left w:w="10" w:type="dxa"/>
              <w:bottom w:w="10" w:type="dxa"/>
              <w:right w:w="10" w:type="dxa"/>
            </w:tcMar>
          </w:tcPr>
          <w:p w14:paraId="3C7530B0" w14:textId="77777777" w:rsidR="00A829AC" w:rsidRPr="00A829AC" w:rsidRDefault="00A829AC" w:rsidP="00A829AC">
            <w:pPr>
              <w:widowControl/>
              <w:rPr>
                <w:rFonts w:ascii="Arial" w:hAnsi="Arial" w:cs="Arial"/>
                <w:snapToGrid/>
                <w:color w:val="auto"/>
                <w:sz w:val="20"/>
                <w:szCs w:val="20"/>
              </w:rPr>
            </w:pPr>
            <w:r w:rsidRPr="00A829AC">
              <w:rPr>
                <w:rFonts w:ascii="Arial" w:hAnsi="Arial" w:cs="Arial"/>
                <w:snapToGrid/>
                <w:color w:val="auto"/>
                <w:sz w:val="20"/>
                <w:szCs w:val="20"/>
              </w:rPr>
              <w:lastRenderedPageBreak/>
              <w:t>INVESTIGATIONS</w:t>
            </w: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76D9928C" w14:textId="77777777" w:rsidR="00A829AC" w:rsidRPr="00A829AC" w:rsidRDefault="00A829AC" w:rsidP="00A829AC">
            <w:pPr>
              <w:widowControl/>
              <w:rPr>
                <w:rFonts w:ascii="Arial" w:hAnsi="Arial" w:cs="Arial"/>
                <w:snapToGrid/>
                <w:color w:val="auto"/>
                <w:sz w:val="20"/>
                <w:szCs w:val="20"/>
              </w:rPr>
            </w:pPr>
          </w:p>
        </w:tc>
        <w:tc>
          <w:tcPr>
            <w:tcW w:w="3162" w:type="dxa"/>
            <w:tcBorders>
              <w:top w:val="single" w:sz="4" w:space="0" w:color="000000"/>
              <w:left w:val="single" w:sz="4" w:space="0" w:color="000000"/>
              <w:bottom w:val="single" w:sz="4" w:space="0" w:color="000000"/>
              <w:right w:val="single" w:sz="4" w:space="0" w:color="000000"/>
            </w:tcBorders>
            <w:shd w:val="clear" w:color="auto" w:fill="C0C0C0"/>
            <w:tcMar>
              <w:top w:w="10" w:type="dxa"/>
              <w:left w:w="10" w:type="dxa"/>
              <w:bottom w:w="10" w:type="dxa"/>
              <w:right w:w="10" w:type="dxa"/>
            </w:tcMar>
          </w:tcPr>
          <w:p w14:paraId="13D7F10F" w14:textId="77777777" w:rsidR="00A829AC" w:rsidRPr="00A829AC" w:rsidRDefault="00A829AC" w:rsidP="00A829AC">
            <w:pPr>
              <w:widowControl/>
              <w:rPr>
                <w:rFonts w:ascii="Arial" w:hAnsi="Arial" w:cs="Arial"/>
                <w:snapToGrid/>
                <w:color w:val="auto"/>
                <w:sz w:val="20"/>
                <w:szCs w:val="20"/>
              </w:rPr>
            </w:pPr>
          </w:p>
        </w:tc>
      </w:tr>
      <w:tr w:rsidR="00A829AC" w:rsidRPr="00A829AC" w14:paraId="6474C736" w14:textId="77777777">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79ACE5A0" w14:textId="77777777" w:rsidR="00A829AC" w:rsidRPr="00A829AC" w:rsidRDefault="00A829AC" w:rsidP="00A829AC">
            <w:pPr>
              <w:widowControl/>
              <w:rPr>
                <w:rFonts w:ascii="Arial" w:hAnsi="Arial" w:cs="Arial"/>
                <w:snapToGrid/>
                <w:color w:val="auto"/>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78F22EC5" w14:textId="77777777" w:rsidR="00A829AC" w:rsidRPr="00A829AC" w:rsidRDefault="00A829AC" w:rsidP="00A829AC">
            <w:pPr>
              <w:widowControl/>
              <w:ind w:left="60"/>
              <w:rPr>
                <w:rFonts w:ascii="Arial" w:hAnsi="Arial" w:cs="Arial"/>
                <w:snapToGrid/>
                <w:color w:val="auto"/>
                <w:sz w:val="18"/>
                <w:szCs w:val="18"/>
              </w:rPr>
            </w:pPr>
            <w:r w:rsidRPr="00A829AC">
              <w:rPr>
                <w:rFonts w:ascii="Arial" w:hAnsi="Arial" w:cs="Arial"/>
                <w:snapToGrid/>
                <w:color w:val="auto"/>
                <w:sz w:val="18"/>
                <w:szCs w:val="18"/>
              </w:rPr>
              <w:t>Alanine aminotransferase increased</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7DF9414F" w14:textId="77777777" w:rsidR="00A829AC" w:rsidRPr="00A829AC" w:rsidRDefault="00A829AC" w:rsidP="00A829AC">
            <w:pPr>
              <w:widowControl/>
              <w:rPr>
                <w:rFonts w:ascii="Arial" w:hAnsi="Arial" w:cs="Arial"/>
                <w:snapToGrid/>
                <w:color w:val="auto"/>
                <w:sz w:val="18"/>
                <w:szCs w:val="18"/>
              </w:rPr>
            </w:pP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5E4B7CBE" w14:textId="77777777" w:rsidR="00A829AC" w:rsidRPr="00A829AC" w:rsidRDefault="00A829AC" w:rsidP="00A829AC">
            <w:pPr>
              <w:widowControl/>
              <w:rPr>
                <w:rFonts w:ascii="Arial" w:hAnsi="Arial" w:cs="Arial"/>
                <w:snapToGrid/>
                <w:color w:val="auto"/>
                <w:sz w:val="18"/>
                <w:szCs w:val="18"/>
              </w:rPr>
            </w:pPr>
          </w:p>
        </w:tc>
        <w:tc>
          <w:tcPr>
            <w:tcW w:w="3162"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tcPr>
          <w:p w14:paraId="10FD6768" w14:textId="77777777" w:rsidR="00A829AC" w:rsidRPr="00A829AC" w:rsidRDefault="00A829AC" w:rsidP="00A829AC">
            <w:pPr>
              <w:widowControl/>
              <w:rPr>
                <w:rFonts w:ascii="Arial" w:hAnsi="Arial" w:cs="Arial"/>
                <w:snapToGrid/>
                <w:color w:val="auto"/>
                <w:sz w:val="18"/>
                <w:szCs w:val="18"/>
              </w:rPr>
            </w:pPr>
            <w:r w:rsidRPr="00A829AC">
              <w:rPr>
                <w:rFonts w:ascii="Arial" w:hAnsi="Arial" w:cs="Arial"/>
                <w:b/>
                <w:bCs/>
                <w:i/>
                <w:iCs/>
                <w:snapToGrid/>
                <w:color w:val="auto"/>
                <w:sz w:val="18"/>
                <w:szCs w:val="18"/>
              </w:rPr>
              <w:t>Alanine aminotransferase increased (Gr 2)</w:t>
            </w:r>
          </w:p>
        </w:tc>
      </w:tr>
      <w:tr w:rsidR="00A829AC" w:rsidRPr="00A829AC" w14:paraId="3612CA40" w14:textId="77777777">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6F0B58ED" w14:textId="77777777" w:rsidR="00A829AC" w:rsidRPr="00A829AC" w:rsidRDefault="00A829AC" w:rsidP="00A829AC">
            <w:pPr>
              <w:widowControl/>
              <w:rPr>
                <w:rFonts w:ascii="Arial" w:hAnsi="Arial" w:cs="Arial"/>
                <w:snapToGrid/>
                <w:color w:val="auto"/>
                <w:sz w:val="18"/>
                <w:szCs w:val="18"/>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215F7509" w14:textId="77777777" w:rsidR="00A829AC" w:rsidRPr="00A829AC" w:rsidRDefault="00A829AC" w:rsidP="00A829AC">
            <w:pPr>
              <w:widowControl/>
              <w:ind w:left="60"/>
              <w:rPr>
                <w:rFonts w:ascii="Arial" w:hAnsi="Arial" w:cs="Arial"/>
                <w:snapToGrid/>
                <w:color w:val="auto"/>
                <w:sz w:val="18"/>
                <w:szCs w:val="18"/>
              </w:rPr>
            </w:pPr>
            <w:r w:rsidRPr="00A829AC">
              <w:rPr>
                <w:rFonts w:ascii="Arial" w:hAnsi="Arial" w:cs="Arial"/>
                <w:snapToGrid/>
                <w:color w:val="auto"/>
                <w:sz w:val="18"/>
                <w:szCs w:val="18"/>
              </w:rPr>
              <w:t>Alkaline phosphatase increased</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66199456" w14:textId="77777777" w:rsidR="00A829AC" w:rsidRPr="00A829AC" w:rsidRDefault="00A829AC" w:rsidP="00A829AC">
            <w:pPr>
              <w:widowControl/>
              <w:rPr>
                <w:rFonts w:ascii="Arial" w:hAnsi="Arial" w:cs="Arial"/>
                <w:snapToGrid/>
                <w:color w:val="auto"/>
                <w:sz w:val="18"/>
                <w:szCs w:val="18"/>
              </w:rPr>
            </w:pP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7E5C9EAD" w14:textId="77777777" w:rsidR="00A829AC" w:rsidRPr="00A829AC" w:rsidRDefault="00A829AC" w:rsidP="00A829AC">
            <w:pPr>
              <w:widowControl/>
              <w:rPr>
                <w:rFonts w:ascii="Arial" w:hAnsi="Arial" w:cs="Arial"/>
                <w:snapToGrid/>
                <w:color w:val="auto"/>
                <w:sz w:val="18"/>
                <w:szCs w:val="18"/>
              </w:rPr>
            </w:pPr>
          </w:p>
        </w:tc>
        <w:tc>
          <w:tcPr>
            <w:tcW w:w="3162"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tcPr>
          <w:p w14:paraId="42404138" w14:textId="77777777" w:rsidR="00A829AC" w:rsidRPr="00A829AC" w:rsidRDefault="00A829AC" w:rsidP="00A829AC">
            <w:pPr>
              <w:widowControl/>
              <w:rPr>
                <w:rFonts w:ascii="Arial" w:hAnsi="Arial" w:cs="Arial"/>
                <w:snapToGrid/>
                <w:color w:val="auto"/>
                <w:sz w:val="18"/>
                <w:szCs w:val="18"/>
              </w:rPr>
            </w:pPr>
            <w:r w:rsidRPr="00A829AC">
              <w:rPr>
                <w:rFonts w:ascii="Arial" w:hAnsi="Arial" w:cs="Arial"/>
                <w:b/>
                <w:bCs/>
                <w:i/>
                <w:iCs/>
                <w:snapToGrid/>
                <w:color w:val="auto"/>
                <w:sz w:val="18"/>
                <w:szCs w:val="18"/>
              </w:rPr>
              <w:t>Alkaline phosphatase increased (Gr 2)</w:t>
            </w:r>
          </w:p>
        </w:tc>
      </w:tr>
      <w:tr w:rsidR="00A829AC" w:rsidRPr="00A829AC" w14:paraId="70D9FCED" w14:textId="77777777">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09E5C8FA" w14:textId="77777777" w:rsidR="00A829AC" w:rsidRPr="00A829AC" w:rsidRDefault="00A829AC" w:rsidP="00A829AC">
            <w:pPr>
              <w:widowControl/>
              <w:rPr>
                <w:rFonts w:ascii="Arial" w:hAnsi="Arial" w:cs="Arial"/>
                <w:snapToGrid/>
                <w:color w:val="auto"/>
                <w:sz w:val="18"/>
                <w:szCs w:val="18"/>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4F5BDC7C" w14:textId="77777777" w:rsidR="00A829AC" w:rsidRPr="00A829AC" w:rsidRDefault="00A829AC" w:rsidP="00A829AC">
            <w:pPr>
              <w:widowControl/>
              <w:ind w:left="60"/>
              <w:rPr>
                <w:rFonts w:ascii="Arial" w:hAnsi="Arial" w:cs="Arial"/>
                <w:snapToGrid/>
                <w:color w:val="auto"/>
                <w:sz w:val="18"/>
                <w:szCs w:val="18"/>
              </w:rPr>
            </w:pPr>
            <w:r w:rsidRPr="00A829AC">
              <w:rPr>
                <w:rFonts w:ascii="Arial" w:hAnsi="Arial" w:cs="Arial"/>
                <w:snapToGrid/>
                <w:color w:val="auto"/>
                <w:sz w:val="18"/>
                <w:szCs w:val="18"/>
              </w:rPr>
              <w:t>Aspartate aminotransferase increased</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12266DB2" w14:textId="77777777" w:rsidR="00A829AC" w:rsidRPr="00A829AC" w:rsidRDefault="00A829AC" w:rsidP="00A829AC">
            <w:pPr>
              <w:widowControl/>
              <w:rPr>
                <w:rFonts w:ascii="Arial" w:hAnsi="Arial" w:cs="Arial"/>
                <w:snapToGrid/>
                <w:color w:val="auto"/>
                <w:sz w:val="18"/>
                <w:szCs w:val="18"/>
              </w:rPr>
            </w:pP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674B07AC" w14:textId="77777777" w:rsidR="00A829AC" w:rsidRPr="00A829AC" w:rsidRDefault="00A829AC" w:rsidP="00A829AC">
            <w:pPr>
              <w:widowControl/>
              <w:rPr>
                <w:rFonts w:ascii="Arial" w:hAnsi="Arial" w:cs="Arial"/>
                <w:snapToGrid/>
                <w:color w:val="auto"/>
                <w:sz w:val="18"/>
                <w:szCs w:val="18"/>
              </w:rPr>
            </w:pPr>
          </w:p>
        </w:tc>
        <w:tc>
          <w:tcPr>
            <w:tcW w:w="3162"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tcPr>
          <w:p w14:paraId="447252A9" w14:textId="77777777" w:rsidR="00A829AC" w:rsidRPr="00A829AC" w:rsidRDefault="00A829AC" w:rsidP="00A829AC">
            <w:pPr>
              <w:widowControl/>
              <w:rPr>
                <w:rFonts w:ascii="Arial" w:hAnsi="Arial" w:cs="Arial"/>
                <w:snapToGrid/>
                <w:color w:val="auto"/>
                <w:sz w:val="18"/>
                <w:szCs w:val="18"/>
              </w:rPr>
            </w:pPr>
            <w:r w:rsidRPr="00A829AC">
              <w:rPr>
                <w:rFonts w:ascii="Arial" w:hAnsi="Arial" w:cs="Arial"/>
                <w:b/>
                <w:bCs/>
                <w:i/>
                <w:iCs/>
                <w:snapToGrid/>
                <w:color w:val="auto"/>
                <w:sz w:val="18"/>
                <w:szCs w:val="18"/>
              </w:rPr>
              <w:t>Aspartate aminotransferase increased (Gr 2)</w:t>
            </w:r>
          </w:p>
        </w:tc>
      </w:tr>
      <w:tr w:rsidR="00A829AC" w:rsidRPr="00A829AC" w14:paraId="26DFF7DC" w14:textId="77777777">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75C900A3" w14:textId="77777777" w:rsidR="00A829AC" w:rsidRPr="00A829AC" w:rsidRDefault="00A829AC" w:rsidP="00A829AC">
            <w:pPr>
              <w:widowControl/>
              <w:rPr>
                <w:rFonts w:ascii="Arial" w:hAnsi="Arial" w:cs="Arial"/>
                <w:snapToGrid/>
                <w:color w:val="auto"/>
                <w:sz w:val="18"/>
                <w:szCs w:val="18"/>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3B2A66D3" w14:textId="77777777" w:rsidR="00A829AC" w:rsidRPr="00A829AC" w:rsidRDefault="00A829AC" w:rsidP="00A829AC">
            <w:pPr>
              <w:widowControl/>
              <w:ind w:left="60"/>
              <w:rPr>
                <w:rFonts w:ascii="Arial" w:hAnsi="Arial" w:cs="Arial"/>
                <w:snapToGrid/>
                <w:color w:val="auto"/>
                <w:sz w:val="18"/>
                <w:szCs w:val="18"/>
              </w:rPr>
            </w:pPr>
            <w:r w:rsidRPr="00A829AC">
              <w:rPr>
                <w:rFonts w:ascii="Arial" w:hAnsi="Arial" w:cs="Arial"/>
                <w:snapToGrid/>
                <w:color w:val="auto"/>
                <w:sz w:val="18"/>
                <w:szCs w:val="18"/>
              </w:rPr>
              <w:t>Blood bicarbonate decreased</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64B77EFF" w14:textId="77777777" w:rsidR="00A829AC" w:rsidRPr="00A829AC" w:rsidRDefault="00A829AC" w:rsidP="00A829AC">
            <w:pPr>
              <w:widowControl/>
              <w:rPr>
                <w:rFonts w:ascii="Arial" w:hAnsi="Arial" w:cs="Arial"/>
                <w:snapToGrid/>
                <w:color w:val="auto"/>
                <w:sz w:val="18"/>
                <w:szCs w:val="18"/>
              </w:rPr>
            </w:pP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6E8FEE60" w14:textId="77777777" w:rsidR="00A829AC" w:rsidRPr="00A829AC" w:rsidRDefault="00A829AC" w:rsidP="00A829AC">
            <w:pPr>
              <w:widowControl/>
              <w:rPr>
                <w:rFonts w:ascii="Arial" w:hAnsi="Arial" w:cs="Arial"/>
                <w:snapToGrid/>
                <w:color w:val="auto"/>
                <w:sz w:val="18"/>
                <w:szCs w:val="18"/>
              </w:rPr>
            </w:pPr>
          </w:p>
        </w:tc>
        <w:tc>
          <w:tcPr>
            <w:tcW w:w="3162"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tcPr>
          <w:p w14:paraId="22B8CEBD" w14:textId="77777777" w:rsidR="00A829AC" w:rsidRPr="00A829AC" w:rsidRDefault="00A829AC" w:rsidP="00A829AC">
            <w:pPr>
              <w:widowControl/>
              <w:rPr>
                <w:rFonts w:ascii="Arial" w:hAnsi="Arial" w:cs="Arial"/>
                <w:snapToGrid/>
                <w:color w:val="auto"/>
                <w:sz w:val="18"/>
                <w:szCs w:val="18"/>
              </w:rPr>
            </w:pPr>
            <w:r w:rsidRPr="00A829AC">
              <w:rPr>
                <w:rFonts w:ascii="Arial" w:hAnsi="Arial" w:cs="Arial"/>
                <w:b/>
                <w:bCs/>
                <w:i/>
                <w:iCs/>
                <w:snapToGrid/>
                <w:color w:val="auto"/>
                <w:sz w:val="18"/>
                <w:szCs w:val="18"/>
              </w:rPr>
              <w:t>Blood bicarbonate decreased (Gr 2)</w:t>
            </w:r>
          </w:p>
        </w:tc>
      </w:tr>
      <w:tr w:rsidR="00A829AC" w:rsidRPr="00A829AC" w14:paraId="724B6AE7" w14:textId="77777777">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79348C88" w14:textId="77777777" w:rsidR="00A829AC" w:rsidRPr="00A829AC" w:rsidRDefault="00A829AC" w:rsidP="00A829AC">
            <w:pPr>
              <w:widowControl/>
              <w:rPr>
                <w:rFonts w:ascii="Arial" w:hAnsi="Arial" w:cs="Arial"/>
                <w:snapToGrid/>
                <w:color w:val="auto"/>
                <w:sz w:val="18"/>
                <w:szCs w:val="18"/>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700046E6" w14:textId="77777777" w:rsidR="00A829AC" w:rsidRPr="00A829AC" w:rsidRDefault="00A829AC" w:rsidP="00A829AC">
            <w:pPr>
              <w:widowControl/>
              <w:ind w:left="60"/>
              <w:rPr>
                <w:rFonts w:ascii="Arial" w:hAnsi="Arial" w:cs="Arial"/>
                <w:snapToGrid/>
                <w:color w:val="auto"/>
                <w:sz w:val="18"/>
                <w:szCs w:val="18"/>
              </w:rPr>
            </w:pPr>
            <w:r w:rsidRPr="00A829AC">
              <w:rPr>
                <w:rFonts w:ascii="Arial" w:hAnsi="Arial" w:cs="Arial"/>
                <w:snapToGrid/>
                <w:color w:val="auto"/>
                <w:sz w:val="18"/>
                <w:szCs w:val="18"/>
              </w:rPr>
              <w:t>Blood bilirubin increased</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55ACCB62" w14:textId="77777777" w:rsidR="00A829AC" w:rsidRPr="00A829AC" w:rsidRDefault="00A829AC" w:rsidP="00A829AC">
            <w:pPr>
              <w:widowControl/>
              <w:rPr>
                <w:rFonts w:ascii="Arial" w:hAnsi="Arial" w:cs="Arial"/>
                <w:snapToGrid/>
                <w:color w:val="auto"/>
                <w:sz w:val="18"/>
                <w:szCs w:val="18"/>
              </w:rPr>
            </w:pP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610342BF" w14:textId="77777777" w:rsidR="00A829AC" w:rsidRPr="00A829AC" w:rsidRDefault="00A829AC" w:rsidP="00A829AC">
            <w:pPr>
              <w:widowControl/>
              <w:rPr>
                <w:rFonts w:ascii="Arial" w:hAnsi="Arial" w:cs="Arial"/>
                <w:snapToGrid/>
                <w:color w:val="auto"/>
                <w:sz w:val="18"/>
                <w:szCs w:val="18"/>
              </w:rPr>
            </w:pPr>
          </w:p>
        </w:tc>
        <w:tc>
          <w:tcPr>
            <w:tcW w:w="3162"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tcPr>
          <w:p w14:paraId="5524728D" w14:textId="77777777" w:rsidR="00A829AC" w:rsidRPr="00A829AC" w:rsidRDefault="00A829AC" w:rsidP="00A829AC">
            <w:pPr>
              <w:widowControl/>
              <w:rPr>
                <w:rFonts w:ascii="Arial" w:hAnsi="Arial" w:cs="Arial"/>
                <w:snapToGrid/>
                <w:color w:val="auto"/>
                <w:sz w:val="18"/>
                <w:szCs w:val="18"/>
              </w:rPr>
            </w:pPr>
            <w:r w:rsidRPr="00A829AC">
              <w:rPr>
                <w:rFonts w:ascii="Arial" w:hAnsi="Arial" w:cs="Arial"/>
                <w:b/>
                <w:bCs/>
                <w:i/>
                <w:iCs/>
                <w:snapToGrid/>
                <w:color w:val="auto"/>
                <w:sz w:val="18"/>
                <w:szCs w:val="18"/>
              </w:rPr>
              <w:t>Blood bilirubin increased (Gr 2)</w:t>
            </w:r>
          </w:p>
        </w:tc>
      </w:tr>
      <w:tr w:rsidR="00A829AC" w:rsidRPr="00A829AC" w14:paraId="58EF72DB" w14:textId="77777777">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52511E65" w14:textId="77777777" w:rsidR="00A829AC" w:rsidRPr="00A829AC" w:rsidRDefault="00A829AC" w:rsidP="00A829AC">
            <w:pPr>
              <w:widowControl/>
              <w:rPr>
                <w:rFonts w:ascii="Arial" w:hAnsi="Arial" w:cs="Arial"/>
                <w:snapToGrid/>
                <w:color w:val="auto"/>
                <w:sz w:val="18"/>
                <w:szCs w:val="18"/>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0D07F9E9" w14:textId="77777777" w:rsidR="00A829AC" w:rsidRPr="00A829AC" w:rsidRDefault="00A829AC" w:rsidP="00A829AC">
            <w:pPr>
              <w:widowControl/>
              <w:ind w:left="60"/>
              <w:rPr>
                <w:rFonts w:ascii="Arial" w:hAnsi="Arial" w:cs="Arial"/>
                <w:snapToGrid/>
                <w:color w:val="auto"/>
                <w:sz w:val="18"/>
                <w:szCs w:val="18"/>
              </w:rPr>
            </w:pPr>
            <w:r w:rsidRPr="00A829AC">
              <w:rPr>
                <w:rFonts w:ascii="Arial" w:hAnsi="Arial" w:cs="Arial"/>
                <w:snapToGrid/>
                <w:color w:val="auto"/>
                <w:sz w:val="18"/>
                <w:szCs w:val="18"/>
              </w:rPr>
              <w:t>Creatinine increased</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060B24BB" w14:textId="77777777" w:rsidR="00A829AC" w:rsidRPr="00A829AC" w:rsidRDefault="00A829AC" w:rsidP="00A829AC">
            <w:pPr>
              <w:widowControl/>
              <w:rPr>
                <w:rFonts w:ascii="Arial" w:hAnsi="Arial" w:cs="Arial"/>
                <w:snapToGrid/>
                <w:color w:val="auto"/>
                <w:sz w:val="18"/>
                <w:szCs w:val="18"/>
              </w:rPr>
            </w:pP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748CDF8A" w14:textId="77777777" w:rsidR="00A829AC" w:rsidRPr="00A829AC" w:rsidRDefault="00A829AC" w:rsidP="00A829AC">
            <w:pPr>
              <w:widowControl/>
              <w:rPr>
                <w:rFonts w:ascii="Arial" w:hAnsi="Arial" w:cs="Arial"/>
                <w:snapToGrid/>
                <w:color w:val="auto"/>
                <w:sz w:val="18"/>
                <w:szCs w:val="18"/>
              </w:rPr>
            </w:pPr>
          </w:p>
        </w:tc>
        <w:tc>
          <w:tcPr>
            <w:tcW w:w="3162"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tcPr>
          <w:p w14:paraId="5B68A785" w14:textId="77777777" w:rsidR="00A829AC" w:rsidRPr="00A829AC" w:rsidRDefault="00A829AC" w:rsidP="00A829AC">
            <w:pPr>
              <w:widowControl/>
              <w:rPr>
                <w:rFonts w:ascii="Arial" w:hAnsi="Arial" w:cs="Arial"/>
                <w:snapToGrid/>
                <w:color w:val="auto"/>
                <w:sz w:val="18"/>
                <w:szCs w:val="18"/>
              </w:rPr>
            </w:pPr>
            <w:r w:rsidRPr="00A829AC">
              <w:rPr>
                <w:rFonts w:ascii="Arial" w:hAnsi="Arial" w:cs="Arial"/>
                <w:b/>
                <w:bCs/>
                <w:i/>
                <w:iCs/>
                <w:snapToGrid/>
                <w:color w:val="auto"/>
                <w:sz w:val="18"/>
                <w:szCs w:val="18"/>
              </w:rPr>
              <w:t>Creatinine increased (Gr 2)</w:t>
            </w:r>
          </w:p>
        </w:tc>
      </w:tr>
      <w:tr w:rsidR="00A829AC" w:rsidRPr="00A829AC" w14:paraId="21CD80A1" w14:textId="77777777">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751617B8" w14:textId="77777777" w:rsidR="00A829AC" w:rsidRPr="00A829AC" w:rsidRDefault="00A829AC" w:rsidP="00A829AC">
            <w:pPr>
              <w:widowControl/>
              <w:rPr>
                <w:rFonts w:ascii="Arial" w:hAnsi="Arial" w:cs="Arial"/>
                <w:snapToGrid/>
                <w:color w:val="auto"/>
                <w:sz w:val="18"/>
                <w:szCs w:val="18"/>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6B98D7B7" w14:textId="77777777" w:rsidR="00A829AC" w:rsidRPr="00A829AC" w:rsidRDefault="00A829AC" w:rsidP="00A829AC">
            <w:pPr>
              <w:widowControl/>
              <w:ind w:left="60"/>
              <w:rPr>
                <w:rFonts w:ascii="Arial" w:hAnsi="Arial" w:cs="Arial"/>
                <w:snapToGrid/>
                <w:color w:val="auto"/>
                <w:sz w:val="18"/>
                <w:szCs w:val="18"/>
              </w:rPr>
            </w:pPr>
            <w:r w:rsidRPr="00A829AC">
              <w:rPr>
                <w:rFonts w:ascii="Arial" w:hAnsi="Arial" w:cs="Arial"/>
                <w:snapToGrid/>
                <w:color w:val="auto"/>
                <w:sz w:val="18"/>
                <w:szCs w:val="18"/>
              </w:rPr>
              <w:t>Electrocardiogram QT corrected interval prolonged</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61987AA5" w14:textId="77777777" w:rsidR="00A829AC" w:rsidRPr="00A829AC" w:rsidRDefault="00A829AC" w:rsidP="00A829AC">
            <w:pPr>
              <w:widowControl/>
              <w:rPr>
                <w:rFonts w:ascii="Arial" w:hAnsi="Arial" w:cs="Arial"/>
                <w:snapToGrid/>
                <w:color w:val="auto"/>
                <w:sz w:val="18"/>
                <w:szCs w:val="18"/>
              </w:rPr>
            </w:pP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31A5ECD3" w14:textId="77777777" w:rsidR="00A829AC" w:rsidRPr="00A829AC" w:rsidRDefault="00A829AC" w:rsidP="00A829AC">
            <w:pPr>
              <w:widowControl/>
              <w:rPr>
                <w:rFonts w:ascii="Arial" w:hAnsi="Arial" w:cs="Arial"/>
                <w:snapToGrid/>
                <w:color w:val="auto"/>
                <w:sz w:val="18"/>
                <w:szCs w:val="18"/>
              </w:rPr>
            </w:pPr>
          </w:p>
        </w:tc>
        <w:tc>
          <w:tcPr>
            <w:tcW w:w="3162"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tcPr>
          <w:p w14:paraId="457B2F2C" w14:textId="77777777" w:rsidR="00A829AC" w:rsidRPr="00A829AC" w:rsidRDefault="00A829AC" w:rsidP="00A829AC">
            <w:pPr>
              <w:widowControl/>
              <w:rPr>
                <w:rFonts w:ascii="Arial" w:hAnsi="Arial" w:cs="Arial"/>
                <w:snapToGrid/>
                <w:color w:val="auto"/>
                <w:sz w:val="18"/>
                <w:szCs w:val="18"/>
              </w:rPr>
            </w:pPr>
            <w:r w:rsidRPr="00A829AC">
              <w:rPr>
                <w:rFonts w:ascii="Arial" w:hAnsi="Arial" w:cs="Arial"/>
                <w:b/>
                <w:bCs/>
                <w:i/>
                <w:iCs/>
                <w:snapToGrid/>
                <w:color w:val="auto"/>
                <w:sz w:val="18"/>
                <w:szCs w:val="18"/>
              </w:rPr>
              <w:t>Electrocardiogram QT corrected interval prolonged (Gr 2)</w:t>
            </w:r>
          </w:p>
        </w:tc>
      </w:tr>
      <w:tr w:rsidR="00A829AC" w:rsidRPr="00A829AC" w14:paraId="2DE56834" w14:textId="77777777">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63CC6B91" w14:textId="77777777" w:rsidR="00A829AC" w:rsidRPr="00A829AC" w:rsidRDefault="00A829AC" w:rsidP="00A829AC">
            <w:pPr>
              <w:widowControl/>
              <w:rPr>
                <w:rFonts w:ascii="Arial" w:hAnsi="Arial" w:cs="Arial"/>
                <w:snapToGrid/>
                <w:color w:val="auto"/>
                <w:sz w:val="18"/>
                <w:szCs w:val="18"/>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344773AA" w14:textId="77777777" w:rsidR="00A829AC" w:rsidRPr="00A829AC" w:rsidRDefault="00A829AC" w:rsidP="00A829AC">
            <w:pPr>
              <w:widowControl/>
              <w:ind w:left="60"/>
              <w:rPr>
                <w:rFonts w:ascii="Arial" w:hAnsi="Arial" w:cs="Arial"/>
                <w:snapToGrid/>
                <w:color w:val="auto"/>
                <w:sz w:val="18"/>
                <w:szCs w:val="18"/>
              </w:rPr>
            </w:pPr>
            <w:r w:rsidRPr="00A829AC">
              <w:rPr>
                <w:rFonts w:ascii="Arial" w:hAnsi="Arial" w:cs="Arial"/>
                <w:snapToGrid/>
                <w:color w:val="auto"/>
                <w:sz w:val="18"/>
                <w:szCs w:val="18"/>
              </w:rPr>
              <w:t>Investigations - Other (Elevated ST and T wave changes)</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342D205E" w14:textId="77777777" w:rsidR="00A829AC" w:rsidRPr="00A829AC" w:rsidRDefault="00A829AC" w:rsidP="00A829AC">
            <w:pPr>
              <w:widowControl/>
              <w:rPr>
                <w:rFonts w:ascii="Arial" w:hAnsi="Arial" w:cs="Arial"/>
                <w:snapToGrid/>
                <w:color w:val="auto"/>
                <w:sz w:val="18"/>
                <w:szCs w:val="18"/>
              </w:rPr>
            </w:pP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423F874C" w14:textId="77777777" w:rsidR="00A829AC" w:rsidRPr="00A829AC" w:rsidRDefault="00A829AC" w:rsidP="00A829AC">
            <w:pPr>
              <w:widowControl/>
              <w:rPr>
                <w:rFonts w:ascii="Arial" w:hAnsi="Arial" w:cs="Arial"/>
                <w:snapToGrid/>
                <w:color w:val="auto"/>
                <w:sz w:val="18"/>
                <w:szCs w:val="18"/>
              </w:rPr>
            </w:pPr>
          </w:p>
        </w:tc>
        <w:tc>
          <w:tcPr>
            <w:tcW w:w="3162"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tcPr>
          <w:p w14:paraId="1A363D96" w14:textId="77777777" w:rsidR="00A829AC" w:rsidRPr="00A829AC" w:rsidRDefault="00A829AC" w:rsidP="00A829AC">
            <w:pPr>
              <w:widowControl/>
              <w:rPr>
                <w:rFonts w:ascii="Arial" w:hAnsi="Arial" w:cs="Arial"/>
                <w:snapToGrid/>
                <w:color w:val="auto"/>
                <w:sz w:val="18"/>
                <w:szCs w:val="18"/>
              </w:rPr>
            </w:pPr>
            <w:r w:rsidRPr="00A829AC">
              <w:rPr>
                <w:rFonts w:ascii="Arial" w:hAnsi="Arial" w:cs="Arial"/>
                <w:b/>
                <w:bCs/>
                <w:i/>
                <w:iCs/>
                <w:snapToGrid/>
                <w:color w:val="auto"/>
                <w:sz w:val="18"/>
                <w:szCs w:val="18"/>
              </w:rPr>
              <w:t>Investigations - Other (Elevated ST and T wave changes) (Gr 2)</w:t>
            </w:r>
          </w:p>
        </w:tc>
      </w:tr>
      <w:tr w:rsidR="00A829AC" w:rsidRPr="00A829AC" w14:paraId="3DEB7DEC" w14:textId="77777777">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54DB5C05" w14:textId="77777777" w:rsidR="00A829AC" w:rsidRPr="00A829AC" w:rsidRDefault="00A829AC" w:rsidP="00A829AC">
            <w:pPr>
              <w:widowControl/>
              <w:rPr>
                <w:rFonts w:ascii="Arial" w:hAnsi="Arial" w:cs="Arial"/>
                <w:snapToGrid/>
                <w:color w:val="auto"/>
                <w:sz w:val="18"/>
                <w:szCs w:val="18"/>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7E661071" w14:textId="77777777" w:rsidR="00A829AC" w:rsidRPr="00A829AC" w:rsidRDefault="00A829AC" w:rsidP="00A829AC">
            <w:pPr>
              <w:widowControl/>
              <w:ind w:left="60"/>
              <w:rPr>
                <w:rFonts w:ascii="Arial" w:hAnsi="Arial" w:cs="Arial"/>
                <w:snapToGrid/>
                <w:color w:val="auto"/>
                <w:sz w:val="18"/>
                <w:szCs w:val="18"/>
              </w:rPr>
            </w:pPr>
            <w:r w:rsidRPr="00A829AC">
              <w:rPr>
                <w:rFonts w:ascii="Arial" w:hAnsi="Arial" w:cs="Arial"/>
                <w:snapToGrid/>
                <w:color w:val="auto"/>
                <w:sz w:val="18"/>
                <w:szCs w:val="18"/>
              </w:rPr>
              <w:t>Lipase increased</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2C91BD15" w14:textId="77777777" w:rsidR="00A829AC" w:rsidRPr="00A829AC" w:rsidRDefault="00A829AC" w:rsidP="00A829AC">
            <w:pPr>
              <w:widowControl/>
              <w:rPr>
                <w:rFonts w:ascii="Arial" w:hAnsi="Arial" w:cs="Arial"/>
                <w:snapToGrid/>
                <w:color w:val="auto"/>
                <w:sz w:val="18"/>
                <w:szCs w:val="18"/>
              </w:rPr>
            </w:pP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6E0F962F" w14:textId="77777777" w:rsidR="00A829AC" w:rsidRPr="00A829AC" w:rsidRDefault="00A829AC" w:rsidP="00A829AC">
            <w:pPr>
              <w:widowControl/>
              <w:rPr>
                <w:rFonts w:ascii="Arial" w:hAnsi="Arial" w:cs="Arial"/>
                <w:snapToGrid/>
                <w:color w:val="auto"/>
                <w:sz w:val="18"/>
                <w:szCs w:val="18"/>
              </w:rPr>
            </w:pPr>
          </w:p>
        </w:tc>
        <w:tc>
          <w:tcPr>
            <w:tcW w:w="3162"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tcPr>
          <w:p w14:paraId="670174D2" w14:textId="77777777" w:rsidR="00A829AC" w:rsidRPr="00A829AC" w:rsidRDefault="00A829AC" w:rsidP="00A829AC">
            <w:pPr>
              <w:widowControl/>
              <w:rPr>
                <w:rFonts w:ascii="Arial" w:hAnsi="Arial" w:cs="Arial"/>
                <w:snapToGrid/>
                <w:color w:val="auto"/>
                <w:sz w:val="18"/>
                <w:szCs w:val="18"/>
              </w:rPr>
            </w:pPr>
            <w:r w:rsidRPr="00A829AC">
              <w:rPr>
                <w:rFonts w:ascii="Arial" w:hAnsi="Arial" w:cs="Arial"/>
                <w:b/>
                <w:bCs/>
                <w:i/>
                <w:iCs/>
                <w:snapToGrid/>
                <w:color w:val="auto"/>
                <w:sz w:val="18"/>
                <w:szCs w:val="18"/>
              </w:rPr>
              <w:t>Lipase increased (Gr 2)</w:t>
            </w:r>
          </w:p>
        </w:tc>
      </w:tr>
      <w:tr w:rsidR="00A829AC" w:rsidRPr="00A829AC" w14:paraId="335F7188" w14:textId="77777777">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0E4A9437" w14:textId="77777777" w:rsidR="00A829AC" w:rsidRPr="00A829AC" w:rsidRDefault="00A829AC" w:rsidP="00A829AC">
            <w:pPr>
              <w:widowControl/>
              <w:rPr>
                <w:rFonts w:ascii="Arial" w:hAnsi="Arial" w:cs="Arial"/>
                <w:snapToGrid/>
                <w:color w:val="auto"/>
                <w:sz w:val="18"/>
                <w:szCs w:val="18"/>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5E24AE69" w14:textId="77777777" w:rsidR="00A829AC" w:rsidRPr="00A829AC" w:rsidRDefault="00A829AC" w:rsidP="00A829AC">
            <w:pPr>
              <w:widowControl/>
              <w:ind w:left="60"/>
              <w:rPr>
                <w:rFonts w:ascii="Arial" w:hAnsi="Arial" w:cs="Arial"/>
                <w:snapToGrid/>
                <w:color w:val="auto"/>
                <w:sz w:val="18"/>
                <w:szCs w:val="18"/>
              </w:rPr>
            </w:pPr>
            <w:r w:rsidRPr="00A829AC">
              <w:rPr>
                <w:rFonts w:ascii="Arial" w:hAnsi="Arial" w:cs="Arial"/>
                <w:snapToGrid/>
                <w:color w:val="auto"/>
                <w:sz w:val="18"/>
                <w:szCs w:val="18"/>
              </w:rPr>
              <w:t>Lymphocyte count decreased</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4043E755" w14:textId="77777777" w:rsidR="00A829AC" w:rsidRPr="00A829AC" w:rsidRDefault="00A829AC" w:rsidP="00A829AC">
            <w:pPr>
              <w:widowControl/>
              <w:rPr>
                <w:rFonts w:ascii="Arial" w:hAnsi="Arial" w:cs="Arial"/>
                <w:snapToGrid/>
                <w:color w:val="auto"/>
                <w:sz w:val="18"/>
                <w:szCs w:val="18"/>
              </w:rPr>
            </w:pP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080E8505" w14:textId="77777777" w:rsidR="00A829AC" w:rsidRPr="00A829AC" w:rsidRDefault="00A829AC" w:rsidP="00A829AC">
            <w:pPr>
              <w:widowControl/>
              <w:rPr>
                <w:rFonts w:ascii="Arial" w:hAnsi="Arial" w:cs="Arial"/>
                <w:snapToGrid/>
                <w:color w:val="auto"/>
                <w:sz w:val="18"/>
                <w:szCs w:val="18"/>
              </w:rPr>
            </w:pPr>
          </w:p>
        </w:tc>
        <w:tc>
          <w:tcPr>
            <w:tcW w:w="3162"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tcPr>
          <w:p w14:paraId="3011BBD4" w14:textId="77777777" w:rsidR="00A829AC" w:rsidRPr="00A829AC" w:rsidRDefault="00A829AC" w:rsidP="00A829AC">
            <w:pPr>
              <w:widowControl/>
              <w:rPr>
                <w:rFonts w:ascii="Arial" w:hAnsi="Arial" w:cs="Arial"/>
                <w:snapToGrid/>
                <w:color w:val="auto"/>
                <w:sz w:val="18"/>
                <w:szCs w:val="18"/>
              </w:rPr>
            </w:pPr>
          </w:p>
        </w:tc>
      </w:tr>
      <w:tr w:rsidR="00A829AC" w:rsidRPr="00A829AC" w14:paraId="529134D0" w14:textId="77777777">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6F934D1D" w14:textId="77777777" w:rsidR="00A829AC" w:rsidRPr="00A829AC" w:rsidRDefault="00A829AC" w:rsidP="00A829AC">
            <w:pPr>
              <w:widowControl/>
              <w:ind w:left="60"/>
              <w:rPr>
                <w:rFonts w:ascii="Arial" w:hAnsi="Arial" w:cs="Arial"/>
                <w:snapToGrid/>
                <w:color w:val="auto"/>
                <w:sz w:val="18"/>
                <w:szCs w:val="18"/>
              </w:rPr>
            </w:pPr>
            <w:r w:rsidRPr="00A829AC">
              <w:rPr>
                <w:rFonts w:ascii="Arial" w:hAnsi="Arial" w:cs="Arial"/>
                <w:snapToGrid/>
                <w:color w:val="auto"/>
                <w:sz w:val="18"/>
                <w:szCs w:val="18"/>
              </w:rPr>
              <w:t>Neutrophil count decreased</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01024228" w14:textId="77777777" w:rsidR="00A829AC" w:rsidRPr="00A829AC" w:rsidRDefault="00A829AC" w:rsidP="00A829AC">
            <w:pPr>
              <w:widowControl/>
              <w:rPr>
                <w:rFonts w:ascii="Arial" w:hAnsi="Arial" w:cs="Arial"/>
                <w:snapToGrid/>
                <w:color w:val="auto"/>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4EB0AC4E" w14:textId="77777777" w:rsidR="00A829AC" w:rsidRPr="00A829AC" w:rsidRDefault="00A829AC" w:rsidP="00A829AC">
            <w:pPr>
              <w:widowControl/>
              <w:rPr>
                <w:rFonts w:ascii="Arial" w:hAnsi="Arial" w:cs="Arial"/>
                <w:snapToGrid/>
                <w:color w:val="auto"/>
                <w:sz w:val="18"/>
                <w:szCs w:val="18"/>
              </w:rPr>
            </w:pP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6ACF19E1" w14:textId="77777777" w:rsidR="00A829AC" w:rsidRPr="00A829AC" w:rsidRDefault="00A829AC" w:rsidP="00A829AC">
            <w:pPr>
              <w:widowControl/>
              <w:rPr>
                <w:rFonts w:ascii="Arial" w:hAnsi="Arial" w:cs="Arial"/>
                <w:snapToGrid/>
                <w:color w:val="auto"/>
                <w:sz w:val="18"/>
                <w:szCs w:val="18"/>
              </w:rPr>
            </w:pPr>
          </w:p>
        </w:tc>
        <w:tc>
          <w:tcPr>
            <w:tcW w:w="3162"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tcPr>
          <w:p w14:paraId="2620C779" w14:textId="77777777" w:rsidR="00A829AC" w:rsidRPr="00A829AC" w:rsidRDefault="00A829AC" w:rsidP="00A829AC">
            <w:pPr>
              <w:widowControl/>
              <w:rPr>
                <w:rFonts w:ascii="Arial" w:hAnsi="Arial" w:cs="Arial"/>
                <w:snapToGrid/>
                <w:color w:val="auto"/>
                <w:sz w:val="18"/>
                <w:szCs w:val="18"/>
              </w:rPr>
            </w:pPr>
            <w:r w:rsidRPr="00A829AC">
              <w:rPr>
                <w:rFonts w:ascii="Arial" w:hAnsi="Arial" w:cs="Arial"/>
                <w:b/>
                <w:bCs/>
                <w:i/>
                <w:iCs/>
                <w:snapToGrid/>
                <w:color w:val="auto"/>
                <w:sz w:val="18"/>
                <w:szCs w:val="18"/>
              </w:rPr>
              <w:t>Neutrophil count decreased (Gr 4)</w:t>
            </w:r>
          </w:p>
        </w:tc>
      </w:tr>
      <w:tr w:rsidR="00A829AC" w:rsidRPr="00A829AC" w14:paraId="3A108D19" w14:textId="77777777">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27A3F0D2" w14:textId="77777777" w:rsidR="00A829AC" w:rsidRPr="00A829AC" w:rsidRDefault="00A829AC" w:rsidP="00A829AC">
            <w:pPr>
              <w:widowControl/>
              <w:ind w:left="60"/>
              <w:rPr>
                <w:rFonts w:ascii="Arial" w:hAnsi="Arial" w:cs="Arial"/>
                <w:snapToGrid/>
                <w:color w:val="auto"/>
                <w:sz w:val="18"/>
                <w:szCs w:val="18"/>
              </w:rPr>
            </w:pPr>
            <w:r w:rsidRPr="00A829AC">
              <w:rPr>
                <w:rFonts w:ascii="Arial" w:hAnsi="Arial" w:cs="Arial"/>
                <w:snapToGrid/>
                <w:color w:val="auto"/>
                <w:sz w:val="18"/>
                <w:szCs w:val="18"/>
              </w:rPr>
              <w:t>Platelet count decreased</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575A7949" w14:textId="77777777" w:rsidR="00A829AC" w:rsidRPr="00A829AC" w:rsidRDefault="00A829AC" w:rsidP="00A829AC">
            <w:pPr>
              <w:widowControl/>
              <w:rPr>
                <w:rFonts w:ascii="Arial" w:hAnsi="Arial" w:cs="Arial"/>
                <w:snapToGrid/>
                <w:color w:val="auto"/>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44EBCCEC" w14:textId="77777777" w:rsidR="00A829AC" w:rsidRPr="00A829AC" w:rsidRDefault="00A829AC" w:rsidP="00A829AC">
            <w:pPr>
              <w:widowControl/>
              <w:rPr>
                <w:rFonts w:ascii="Arial" w:hAnsi="Arial" w:cs="Arial"/>
                <w:snapToGrid/>
                <w:color w:val="auto"/>
                <w:sz w:val="18"/>
                <w:szCs w:val="18"/>
              </w:rPr>
            </w:pP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252146B0" w14:textId="77777777" w:rsidR="00A829AC" w:rsidRPr="00A829AC" w:rsidRDefault="00A829AC" w:rsidP="00A829AC">
            <w:pPr>
              <w:widowControl/>
              <w:rPr>
                <w:rFonts w:ascii="Arial" w:hAnsi="Arial" w:cs="Arial"/>
                <w:snapToGrid/>
                <w:color w:val="auto"/>
                <w:sz w:val="18"/>
                <w:szCs w:val="18"/>
              </w:rPr>
            </w:pPr>
          </w:p>
        </w:tc>
        <w:tc>
          <w:tcPr>
            <w:tcW w:w="3162"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tcPr>
          <w:p w14:paraId="08A19652" w14:textId="77777777" w:rsidR="00A829AC" w:rsidRPr="00A829AC" w:rsidRDefault="00A829AC" w:rsidP="00A829AC">
            <w:pPr>
              <w:widowControl/>
              <w:rPr>
                <w:rFonts w:ascii="Arial" w:hAnsi="Arial" w:cs="Arial"/>
                <w:snapToGrid/>
                <w:color w:val="auto"/>
                <w:sz w:val="18"/>
                <w:szCs w:val="18"/>
              </w:rPr>
            </w:pPr>
            <w:r w:rsidRPr="00A829AC">
              <w:rPr>
                <w:rFonts w:ascii="Arial" w:hAnsi="Arial" w:cs="Arial"/>
                <w:b/>
                <w:bCs/>
                <w:i/>
                <w:iCs/>
                <w:snapToGrid/>
                <w:color w:val="auto"/>
                <w:sz w:val="18"/>
                <w:szCs w:val="18"/>
              </w:rPr>
              <w:t>Platelet count decreased (Gr 4)</w:t>
            </w:r>
          </w:p>
        </w:tc>
      </w:tr>
      <w:tr w:rsidR="00A829AC" w:rsidRPr="00A829AC" w14:paraId="6334F6A5" w14:textId="77777777">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2801D299" w14:textId="77777777" w:rsidR="00A829AC" w:rsidRPr="00A829AC" w:rsidRDefault="00A829AC" w:rsidP="00A829AC">
            <w:pPr>
              <w:widowControl/>
              <w:rPr>
                <w:rFonts w:ascii="Arial" w:hAnsi="Arial" w:cs="Arial"/>
                <w:snapToGrid/>
                <w:color w:val="auto"/>
                <w:sz w:val="18"/>
                <w:szCs w:val="18"/>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68F8FB3D" w14:textId="77777777" w:rsidR="00A829AC" w:rsidRPr="00A829AC" w:rsidRDefault="00A829AC" w:rsidP="00A829AC">
            <w:pPr>
              <w:widowControl/>
              <w:ind w:left="60"/>
              <w:rPr>
                <w:rFonts w:ascii="Arial" w:hAnsi="Arial" w:cs="Arial"/>
                <w:snapToGrid/>
                <w:color w:val="auto"/>
                <w:sz w:val="18"/>
                <w:szCs w:val="18"/>
              </w:rPr>
            </w:pPr>
            <w:r w:rsidRPr="00A829AC">
              <w:rPr>
                <w:rFonts w:ascii="Arial" w:hAnsi="Arial" w:cs="Arial"/>
                <w:snapToGrid/>
                <w:color w:val="auto"/>
                <w:sz w:val="18"/>
                <w:szCs w:val="18"/>
              </w:rPr>
              <w:t>Weight loss</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32CB5430" w14:textId="77777777" w:rsidR="00A829AC" w:rsidRPr="00A829AC" w:rsidRDefault="00A829AC" w:rsidP="00A829AC">
            <w:pPr>
              <w:widowControl/>
              <w:rPr>
                <w:rFonts w:ascii="Arial" w:hAnsi="Arial" w:cs="Arial"/>
                <w:snapToGrid/>
                <w:color w:val="auto"/>
                <w:sz w:val="18"/>
                <w:szCs w:val="18"/>
              </w:rPr>
            </w:pP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3D698709" w14:textId="77777777" w:rsidR="00A829AC" w:rsidRPr="00A829AC" w:rsidRDefault="00A829AC" w:rsidP="00A829AC">
            <w:pPr>
              <w:widowControl/>
              <w:rPr>
                <w:rFonts w:ascii="Arial" w:hAnsi="Arial" w:cs="Arial"/>
                <w:snapToGrid/>
                <w:color w:val="auto"/>
                <w:sz w:val="18"/>
                <w:szCs w:val="18"/>
              </w:rPr>
            </w:pPr>
          </w:p>
        </w:tc>
        <w:tc>
          <w:tcPr>
            <w:tcW w:w="3162"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tcPr>
          <w:p w14:paraId="146E36B2" w14:textId="77777777" w:rsidR="00A829AC" w:rsidRPr="00A829AC" w:rsidRDefault="00A829AC" w:rsidP="00A829AC">
            <w:pPr>
              <w:widowControl/>
              <w:rPr>
                <w:rFonts w:ascii="Arial" w:hAnsi="Arial" w:cs="Arial"/>
                <w:snapToGrid/>
                <w:color w:val="auto"/>
                <w:sz w:val="18"/>
                <w:szCs w:val="18"/>
              </w:rPr>
            </w:pPr>
            <w:r w:rsidRPr="00A829AC">
              <w:rPr>
                <w:rFonts w:ascii="Arial" w:hAnsi="Arial" w:cs="Arial"/>
                <w:b/>
                <w:bCs/>
                <w:i/>
                <w:iCs/>
                <w:snapToGrid/>
                <w:color w:val="auto"/>
                <w:sz w:val="18"/>
                <w:szCs w:val="18"/>
              </w:rPr>
              <w:t>Weight loss (Gr 2)</w:t>
            </w:r>
          </w:p>
        </w:tc>
      </w:tr>
      <w:tr w:rsidR="00A829AC" w:rsidRPr="00A829AC" w14:paraId="4D8706C0" w14:textId="77777777">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01E709B0" w14:textId="77777777" w:rsidR="00A829AC" w:rsidRPr="00A829AC" w:rsidRDefault="00A829AC" w:rsidP="00A829AC">
            <w:pPr>
              <w:widowControl/>
              <w:ind w:left="60"/>
              <w:rPr>
                <w:rFonts w:ascii="Arial" w:hAnsi="Arial" w:cs="Arial"/>
                <w:snapToGrid/>
                <w:color w:val="auto"/>
                <w:sz w:val="18"/>
                <w:szCs w:val="18"/>
              </w:rPr>
            </w:pPr>
            <w:r w:rsidRPr="00A829AC">
              <w:rPr>
                <w:rFonts w:ascii="Arial" w:hAnsi="Arial" w:cs="Arial"/>
                <w:snapToGrid/>
                <w:color w:val="auto"/>
                <w:sz w:val="18"/>
                <w:szCs w:val="18"/>
              </w:rPr>
              <w:t>White blood cell decreased</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176B4E13" w14:textId="77777777" w:rsidR="00A829AC" w:rsidRPr="00A829AC" w:rsidRDefault="00A829AC" w:rsidP="00A829AC">
            <w:pPr>
              <w:widowControl/>
              <w:rPr>
                <w:rFonts w:ascii="Arial" w:hAnsi="Arial" w:cs="Arial"/>
                <w:snapToGrid/>
                <w:color w:val="auto"/>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0A9EFE08" w14:textId="77777777" w:rsidR="00A829AC" w:rsidRPr="00A829AC" w:rsidRDefault="00A829AC" w:rsidP="00A829AC">
            <w:pPr>
              <w:widowControl/>
              <w:rPr>
                <w:rFonts w:ascii="Arial" w:hAnsi="Arial" w:cs="Arial"/>
                <w:snapToGrid/>
                <w:color w:val="auto"/>
                <w:sz w:val="18"/>
                <w:szCs w:val="18"/>
              </w:rPr>
            </w:pP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10843C32" w14:textId="77777777" w:rsidR="00A829AC" w:rsidRPr="00A829AC" w:rsidRDefault="00A829AC" w:rsidP="00A829AC">
            <w:pPr>
              <w:widowControl/>
              <w:rPr>
                <w:rFonts w:ascii="Arial" w:hAnsi="Arial" w:cs="Arial"/>
                <w:snapToGrid/>
                <w:color w:val="auto"/>
                <w:sz w:val="18"/>
                <w:szCs w:val="18"/>
              </w:rPr>
            </w:pPr>
          </w:p>
        </w:tc>
        <w:tc>
          <w:tcPr>
            <w:tcW w:w="3162"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tcPr>
          <w:p w14:paraId="3C0601FC" w14:textId="77777777" w:rsidR="00A829AC" w:rsidRPr="00A829AC" w:rsidRDefault="00A829AC" w:rsidP="00A829AC">
            <w:pPr>
              <w:widowControl/>
              <w:rPr>
                <w:rFonts w:ascii="Arial" w:hAnsi="Arial" w:cs="Arial"/>
                <w:snapToGrid/>
                <w:color w:val="auto"/>
                <w:sz w:val="18"/>
                <w:szCs w:val="18"/>
              </w:rPr>
            </w:pPr>
            <w:r w:rsidRPr="00A829AC">
              <w:rPr>
                <w:rFonts w:ascii="Arial" w:hAnsi="Arial" w:cs="Arial"/>
                <w:b/>
                <w:bCs/>
                <w:i/>
                <w:iCs/>
                <w:snapToGrid/>
                <w:color w:val="auto"/>
                <w:sz w:val="18"/>
                <w:szCs w:val="18"/>
              </w:rPr>
              <w:t>White blood cell decreased (Gr 4)</w:t>
            </w:r>
          </w:p>
        </w:tc>
      </w:tr>
      <w:tr w:rsidR="00A829AC" w:rsidRPr="00A829AC" w14:paraId="45CF5E68" w14:textId="77777777">
        <w:trPr>
          <w:jc w:val="center"/>
        </w:trPr>
        <w:tc>
          <w:tcPr>
            <w:tcW w:w="7375" w:type="dxa"/>
            <w:gridSpan w:val="3"/>
            <w:tcBorders>
              <w:top w:val="single" w:sz="4" w:space="0" w:color="000000"/>
              <w:left w:val="single" w:sz="4" w:space="0" w:color="000000"/>
              <w:bottom w:val="single" w:sz="4" w:space="0" w:color="000000"/>
              <w:right w:val="single" w:sz="4" w:space="0" w:color="000000"/>
            </w:tcBorders>
            <w:shd w:val="clear" w:color="auto" w:fill="C0C0C0"/>
            <w:tcMar>
              <w:top w:w="10" w:type="dxa"/>
              <w:left w:w="10" w:type="dxa"/>
              <w:bottom w:w="10" w:type="dxa"/>
              <w:right w:w="10" w:type="dxa"/>
            </w:tcMar>
          </w:tcPr>
          <w:p w14:paraId="501AC44C" w14:textId="77777777" w:rsidR="00A829AC" w:rsidRPr="00A829AC" w:rsidRDefault="00A829AC" w:rsidP="00A829AC">
            <w:pPr>
              <w:widowControl/>
              <w:rPr>
                <w:rFonts w:ascii="Arial" w:hAnsi="Arial" w:cs="Arial"/>
                <w:snapToGrid/>
                <w:color w:val="auto"/>
                <w:sz w:val="20"/>
                <w:szCs w:val="20"/>
              </w:rPr>
            </w:pPr>
            <w:r w:rsidRPr="00A829AC">
              <w:rPr>
                <w:rFonts w:ascii="Arial" w:hAnsi="Arial" w:cs="Arial"/>
                <w:snapToGrid/>
                <w:color w:val="auto"/>
                <w:sz w:val="20"/>
                <w:szCs w:val="20"/>
              </w:rPr>
              <w:t>METABOLISM AND NUTRITION DISORDERS</w:t>
            </w: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2DE97B91" w14:textId="77777777" w:rsidR="00A829AC" w:rsidRPr="00A829AC" w:rsidRDefault="00A829AC" w:rsidP="00A829AC">
            <w:pPr>
              <w:widowControl/>
              <w:rPr>
                <w:rFonts w:ascii="Arial" w:hAnsi="Arial" w:cs="Arial"/>
                <w:snapToGrid/>
                <w:color w:val="auto"/>
                <w:sz w:val="20"/>
                <w:szCs w:val="20"/>
              </w:rPr>
            </w:pPr>
          </w:p>
        </w:tc>
        <w:tc>
          <w:tcPr>
            <w:tcW w:w="3162" w:type="dxa"/>
            <w:tcBorders>
              <w:top w:val="single" w:sz="4" w:space="0" w:color="000000"/>
              <w:left w:val="single" w:sz="4" w:space="0" w:color="000000"/>
              <w:bottom w:val="single" w:sz="4" w:space="0" w:color="000000"/>
              <w:right w:val="single" w:sz="4" w:space="0" w:color="000000"/>
            </w:tcBorders>
            <w:shd w:val="clear" w:color="auto" w:fill="C0C0C0"/>
            <w:tcMar>
              <w:top w:w="10" w:type="dxa"/>
              <w:left w:w="10" w:type="dxa"/>
              <w:bottom w:w="10" w:type="dxa"/>
              <w:right w:w="10" w:type="dxa"/>
            </w:tcMar>
          </w:tcPr>
          <w:p w14:paraId="713628FD" w14:textId="77777777" w:rsidR="00A829AC" w:rsidRPr="00A829AC" w:rsidRDefault="00A829AC" w:rsidP="00A829AC">
            <w:pPr>
              <w:widowControl/>
              <w:rPr>
                <w:rFonts w:ascii="Arial" w:hAnsi="Arial" w:cs="Arial"/>
                <w:snapToGrid/>
                <w:color w:val="auto"/>
                <w:sz w:val="20"/>
                <w:szCs w:val="20"/>
              </w:rPr>
            </w:pPr>
          </w:p>
        </w:tc>
      </w:tr>
      <w:tr w:rsidR="00A829AC" w:rsidRPr="00A829AC" w14:paraId="7C8C5474" w14:textId="77777777">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3F659638" w14:textId="77777777" w:rsidR="00A829AC" w:rsidRPr="00A829AC" w:rsidRDefault="00A829AC" w:rsidP="00A829AC">
            <w:pPr>
              <w:widowControl/>
              <w:rPr>
                <w:rFonts w:ascii="Arial" w:hAnsi="Arial" w:cs="Arial"/>
                <w:snapToGrid/>
                <w:color w:val="auto"/>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3740C566" w14:textId="77777777" w:rsidR="00A829AC" w:rsidRPr="00A829AC" w:rsidRDefault="00A829AC" w:rsidP="00A829AC">
            <w:pPr>
              <w:widowControl/>
              <w:ind w:left="60"/>
              <w:rPr>
                <w:rFonts w:ascii="Arial" w:hAnsi="Arial" w:cs="Arial"/>
                <w:snapToGrid/>
                <w:color w:val="auto"/>
                <w:sz w:val="18"/>
                <w:szCs w:val="18"/>
              </w:rPr>
            </w:pPr>
            <w:r w:rsidRPr="00A829AC">
              <w:rPr>
                <w:rFonts w:ascii="Arial" w:hAnsi="Arial" w:cs="Arial"/>
                <w:snapToGrid/>
                <w:color w:val="auto"/>
                <w:sz w:val="18"/>
                <w:szCs w:val="18"/>
              </w:rPr>
              <w:t>Anorexia</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4AE1B8D7" w14:textId="77777777" w:rsidR="00A829AC" w:rsidRPr="00A829AC" w:rsidRDefault="00A829AC" w:rsidP="00A829AC">
            <w:pPr>
              <w:widowControl/>
              <w:rPr>
                <w:rFonts w:ascii="Arial" w:hAnsi="Arial" w:cs="Arial"/>
                <w:snapToGrid/>
                <w:color w:val="auto"/>
                <w:sz w:val="18"/>
                <w:szCs w:val="18"/>
              </w:rPr>
            </w:pP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507CE154" w14:textId="77777777" w:rsidR="00A829AC" w:rsidRPr="00A829AC" w:rsidRDefault="00A829AC" w:rsidP="00A829AC">
            <w:pPr>
              <w:widowControl/>
              <w:rPr>
                <w:rFonts w:ascii="Arial" w:hAnsi="Arial" w:cs="Arial"/>
                <w:snapToGrid/>
                <w:color w:val="auto"/>
                <w:sz w:val="18"/>
                <w:szCs w:val="18"/>
              </w:rPr>
            </w:pPr>
          </w:p>
        </w:tc>
        <w:tc>
          <w:tcPr>
            <w:tcW w:w="3162"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tcPr>
          <w:p w14:paraId="61DD2975" w14:textId="77777777" w:rsidR="00A829AC" w:rsidRPr="00A829AC" w:rsidRDefault="00A829AC" w:rsidP="00A829AC">
            <w:pPr>
              <w:widowControl/>
              <w:rPr>
                <w:rFonts w:ascii="Arial" w:hAnsi="Arial" w:cs="Arial"/>
                <w:snapToGrid/>
                <w:color w:val="auto"/>
                <w:sz w:val="18"/>
                <w:szCs w:val="18"/>
              </w:rPr>
            </w:pPr>
            <w:r w:rsidRPr="00A829AC">
              <w:rPr>
                <w:rFonts w:ascii="Arial" w:hAnsi="Arial" w:cs="Arial"/>
                <w:b/>
                <w:bCs/>
                <w:i/>
                <w:iCs/>
                <w:snapToGrid/>
                <w:color w:val="auto"/>
                <w:sz w:val="18"/>
                <w:szCs w:val="18"/>
              </w:rPr>
              <w:t>Anorexia (Gr 2)</w:t>
            </w:r>
          </w:p>
        </w:tc>
      </w:tr>
      <w:tr w:rsidR="00A829AC" w:rsidRPr="00A829AC" w14:paraId="2A05B23D" w14:textId="77777777">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2E90D603" w14:textId="77777777" w:rsidR="00A829AC" w:rsidRPr="00A829AC" w:rsidRDefault="00A829AC" w:rsidP="00A829AC">
            <w:pPr>
              <w:widowControl/>
              <w:rPr>
                <w:rFonts w:ascii="Arial" w:hAnsi="Arial" w:cs="Arial"/>
                <w:snapToGrid/>
                <w:color w:val="auto"/>
                <w:sz w:val="18"/>
                <w:szCs w:val="18"/>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056EEBEA" w14:textId="77777777" w:rsidR="00A829AC" w:rsidRPr="00A829AC" w:rsidRDefault="00A829AC" w:rsidP="00A829AC">
            <w:pPr>
              <w:widowControl/>
              <w:ind w:left="60"/>
              <w:rPr>
                <w:rFonts w:ascii="Arial" w:hAnsi="Arial" w:cs="Arial"/>
                <w:snapToGrid/>
                <w:color w:val="auto"/>
                <w:sz w:val="18"/>
                <w:szCs w:val="18"/>
              </w:rPr>
            </w:pPr>
            <w:r w:rsidRPr="00A829AC">
              <w:rPr>
                <w:rFonts w:ascii="Arial" w:hAnsi="Arial" w:cs="Arial"/>
                <w:snapToGrid/>
                <w:color w:val="auto"/>
                <w:sz w:val="18"/>
                <w:szCs w:val="18"/>
              </w:rPr>
              <w:t>Dehydration</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0B5D13AD" w14:textId="77777777" w:rsidR="00A829AC" w:rsidRPr="00A829AC" w:rsidRDefault="00A829AC" w:rsidP="00A829AC">
            <w:pPr>
              <w:widowControl/>
              <w:rPr>
                <w:rFonts w:ascii="Arial" w:hAnsi="Arial" w:cs="Arial"/>
                <w:snapToGrid/>
                <w:color w:val="auto"/>
                <w:sz w:val="18"/>
                <w:szCs w:val="18"/>
              </w:rPr>
            </w:pP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0CC89903" w14:textId="77777777" w:rsidR="00A829AC" w:rsidRPr="00A829AC" w:rsidRDefault="00A829AC" w:rsidP="00A829AC">
            <w:pPr>
              <w:widowControl/>
              <w:rPr>
                <w:rFonts w:ascii="Arial" w:hAnsi="Arial" w:cs="Arial"/>
                <w:snapToGrid/>
                <w:color w:val="auto"/>
                <w:sz w:val="18"/>
                <w:szCs w:val="18"/>
              </w:rPr>
            </w:pPr>
          </w:p>
        </w:tc>
        <w:tc>
          <w:tcPr>
            <w:tcW w:w="3162"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tcPr>
          <w:p w14:paraId="06A2AE4F" w14:textId="77777777" w:rsidR="00A829AC" w:rsidRPr="00A829AC" w:rsidRDefault="00A829AC" w:rsidP="00A829AC">
            <w:pPr>
              <w:widowControl/>
              <w:rPr>
                <w:rFonts w:ascii="Arial" w:hAnsi="Arial" w:cs="Arial"/>
                <w:snapToGrid/>
                <w:color w:val="auto"/>
                <w:sz w:val="18"/>
                <w:szCs w:val="18"/>
              </w:rPr>
            </w:pPr>
            <w:r w:rsidRPr="00A829AC">
              <w:rPr>
                <w:rFonts w:ascii="Arial" w:hAnsi="Arial" w:cs="Arial"/>
                <w:b/>
                <w:bCs/>
                <w:i/>
                <w:iCs/>
                <w:snapToGrid/>
                <w:color w:val="auto"/>
                <w:sz w:val="18"/>
                <w:szCs w:val="18"/>
              </w:rPr>
              <w:t>Dehydration (Gr 2)</w:t>
            </w:r>
          </w:p>
        </w:tc>
      </w:tr>
      <w:tr w:rsidR="00A829AC" w:rsidRPr="00A829AC" w14:paraId="38D4BFE9" w14:textId="77777777">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3793A813" w14:textId="77777777" w:rsidR="00A829AC" w:rsidRPr="00A829AC" w:rsidRDefault="00A829AC" w:rsidP="00A829AC">
            <w:pPr>
              <w:widowControl/>
              <w:rPr>
                <w:rFonts w:ascii="Arial" w:hAnsi="Arial" w:cs="Arial"/>
                <w:snapToGrid/>
                <w:color w:val="auto"/>
                <w:sz w:val="18"/>
                <w:szCs w:val="18"/>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36A3B98B" w14:textId="77777777" w:rsidR="00A829AC" w:rsidRPr="00A829AC" w:rsidRDefault="00A829AC" w:rsidP="00A829AC">
            <w:pPr>
              <w:widowControl/>
              <w:ind w:left="60"/>
              <w:rPr>
                <w:rFonts w:ascii="Arial" w:hAnsi="Arial" w:cs="Arial"/>
                <w:snapToGrid/>
                <w:color w:val="auto"/>
                <w:sz w:val="18"/>
                <w:szCs w:val="18"/>
              </w:rPr>
            </w:pPr>
            <w:r w:rsidRPr="00A829AC">
              <w:rPr>
                <w:rFonts w:ascii="Arial" w:hAnsi="Arial" w:cs="Arial"/>
                <w:snapToGrid/>
                <w:color w:val="auto"/>
                <w:sz w:val="18"/>
                <w:szCs w:val="18"/>
              </w:rPr>
              <w:t>Hypercalcemia</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4211DEC4" w14:textId="77777777" w:rsidR="00A829AC" w:rsidRPr="00A829AC" w:rsidRDefault="00A829AC" w:rsidP="00A829AC">
            <w:pPr>
              <w:widowControl/>
              <w:rPr>
                <w:rFonts w:ascii="Arial" w:hAnsi="Arial" w:cs="Arial"/>
                <w:snapToGrid/>
                <w:color w:val="auto"/>
                <w:sz w:val="18"/>
                <w:szCs w:val="18"/>
              </w:rPr>
            </w:pP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429BD3CE" w14:textId="77777777" w:rsidR="00A829AC" w:rsidRPr="00A829AC" w:rsidRDefault="00A829AC" w:rsidP="00A829AC">
            <w:pPr>
              <w:widowControl/>
              <w:rPr>
                <w:rFonts w:ascii="Arial" w:hAnsi="Arial" w:cs="Arial"/>
                <w:snapToGrid/>
                <w:color w:val="auto"/>
                <w:sz w:val="18"/>
                <w:szCs w:val="18"/>
              </w:rPr>
            </w:pPr>
          </w:p>
        </w:tc>
        <w:tc>
          <w:tcPr>
            <w:tcW w:w="3162"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tcPr>
          <w:p w14:paraId="6F194E10" w14:textId="77777777" w:rsidR="00A829AC" w:rsidRPr="00A829AC" w:rsidRDefault="00A829AC" w:rsidP="00A829AC">
            <w:pPr>
              <w:widowControl/>
              <w:rPr>
                <w:rFonts w:ascii="Arial" w:hAnsi="Arial" w:cs="Arial"/>
                <w:snapToGrid/>
                <w:color w:val="auto"/>
                <w:sz w:val="18"/>
                <w:szCs w:val="18"/>
              </w:rPr>
            </w:pPr>
            <w:r w:rsidRPr="00A829AC">
              <w:rPr>
                <w:rFonts w:ascii="Arial" w:hAnsi="Arial" w:cs="Arial"/>
                <w:b/>
                <w:bCs/>
                <w:i/>
                <w:iCs/>
                <w:snapToGrid/>
                <w:color w:val="auto"/>
                <w:sz w:val="18"/>
                <w:szCs w:val="18"/>
              </w:rPr>
              <w:t>Hypercalcemia (Gr 2)</w:t>
            </w:r>
          </w:p>
        </w:tc>
      </w:tr>
      <w:tr w:rsidR="00A829AC" w:rsidRPr="00A829AC" w14:paraId="380DEF93" w14:textId="77777777">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54D33079" w14:textId="77777777" w:rsidR="00A829AC" w:rsidRPr="00A829AC" w:rsidRDefault="00A829AC" w:rsidP="00A829AC">
            <w:pPr>
              <w:widowControl/>
              <w:rPr>
                <w:rFonts w:ascii="Arial" w:hAnsi="Arial" w:cs="Arial"/>
                <w:snapToGrid/>
                <w:color w:val="auto"/>
                <w:sz w:val="18"/>
                <w:szCs w:val="18"/>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44F78233" w14:textId="77777777" w:rsidR="00A829AC" w:rsidRPr="00A829AC" w:rsidRDefault="00A829AC" w:rsidP="00A829AC">
            <w:pPr>
              <w:widowControl/>
              <w:ind w:left="60"/>
              <w:rPr>
                <w:rFonts w:ascii="Arial" w:hAnsi="Arial" w:cs="Arial"/>
                <w:snapToGrid/>
                <w:color w:val="auto"/>
                <w:sz w:val="18"/>
                <w:szCs w:val="18"/>
              </w:rPr>
            </w:pPr>
            <w:r w:rsidRPr="00A829AC">
              <w:rPr>
                <w:rFonts w:ascii="Arial" w:hAnsi="Arial" w:cs="Arial"/>
                <w:snapToGrid/>
                <w:color w:val="auto"/>
                <w:sz w:val="18"/>
                <w:szCs w:val="18"/>
              </w:rPr>
              <w:t>Hyperkalemia</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664ABC1C" w14:textId="77777777" w:rsidR="00A829AC" w:rsidRPr="00A829AC" w:rsidRDefault="00A829AC" w:rsidP="00A829AC">
            <w:pPr>
              <w:widowControl/>
              <w:rPr>
                <w:rFonts w:ascii="Arial" w:hAnsi="Arial" w:cs="Arial"/>
                <w:snapToGrid/>
                <w:color w:val="auto"/>
                <w:sz w:val="18"/>
                <w:szCs w:val="18"/>
              </w:rPr>
            </w:pP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5C1F795A" w14:textId="77777777" w:rsidR="00A829AC" w:rsidRPr="00A829AC" w:rsidRDefault="00A829AC" w:rsidP="00A829AC">
            <w:pPr>
              <w:widowControl/>
              <w:rPr>
                <w:rFonts w:ascii="Arial" w:hAnsi="Arial" w:cs="Arial"/>
                <w:snapToGrid/>
                <w:color w:val="auto"/>
                <w:sz w:val="18"/>
                <w:szCs w:val="18"/>
              </w:rPr>
            </w:pPr>
          </w:p>
        </w:tc>
        <w:tc>
          <w:tcPr>
            <w:tcW w:w="3162"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tcPr>
          <w:p w14:paraId="3E7F6336" w14:textId="77777777" w:rsidR="00A829AC" w:rsidRPr="00A829AC" w:rsidRDefault="00A829AC" w:rsidP="00A829AC">
            <w:pPr>
              <w:widowControl/>
              <w:rPr>
                <w:rFonts w:ascii="Arial" w:hAnsi="Arial" w:cs="Arial"/>
                <w:snapToGrid/>
                <w:color w:val="auto"/>
                <w:sz w:val="18"/>
                <w:szCs w:val="18"/>
              </w:rPr>
            </w:pPr>
            <w:r w:rsidRPr="00A829AC">
              <w:rPr>
                <w:rFonts w:ascii="Arial" w:hAnsi="Arial" w:cs="Arial"/>
                <w:b/>
                <w:bCs/>
                <w:i/>
                <w:iCs/>
                <w:snapToGrid/>
                <w:color w:val="auto"/>
                <w:sz w:val="18"/>
                <w:szCs w:val="18"/>
              </w:rPr>
              <w:t>Hyperkalemia (Gr 2)</w:t>
            </w:r>
          </w:p>
        </w:tc>
      </w:tr>
      <w:tr w:rsidR="00A829AC" w:rsidRPr="00A829AC" w14:paraId="1F8A1A59" w14:textId="77777777">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09ACB5E5" w14:textId="77777777" w:rsidR="00A829AC" w:rsidRPr="00A829AC" w:rsidRDefault="00A829AC" w:rsidP="00A829AC">
            <w:pPr>
              <w:widowControl/>
              <w:rPr>
                <w:rFonts w:ascii="Arial" w:hAnsi="Arial" w:cs="Arial"/>
                <w:snapToGrid/>
                <w:color w:val="auto"/>
                <w:sz w:val="18"/>
                <w:szCs w:val="18"/>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41CABD5A" w14:textId="77777777" w:rsidR="00A829AC" w:rsidRPr="00A829AC" w:rsidRDefault="00A829AC" w:rsidP="00A829AC">
            <w:pPr>
              <w:widowControl/>
              <w:ind w:left="60"/>
              <w:rPr>
                <w:rFonts w:ascii="Arial" w:hAnsi="Arial" w:cs="Arial"/>
                <w:snapToGrid/>
                <w:color w:val="auto"/>
                <w:sz w:val="18"/>
                <w:szCs w:val="18"/>
              </w:rPr>
            </w:pPr>
            <w:r w:rsidRPr="00A829AC">
              <w:rPr>
                <w:rFonts w:ascii="Arial" w:hAnsi="Arial" w:cs="Arial"/>
                <w:snapToGrid/>
                <w:color w:val="auto"/>
                <w:sz w:val="18"/>
                <w:szCs w:val="18"/>
              </w:rPr>
              <w:t>Hypoalbuminemia</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19CEF127" w14:textId="77777777" w:rsidR="00A829AC" w:rsidRPr="00A829AC" w:rsidRDefault="00A829AC" w:rsidP="00A829AC">
            <w:pPr>
              <w:widowControl/>
              <w:rPr>
                <w:rFonts w:ascii="Arial" w:hAnsi="Arial" w:cs="Arial"/>
                <w:snapToGrid/>
                <w:color w:val="auto"/>
                <w:sz w:val="18"/>
                <w:szCs w:val="18"/>
              </w:rPr>
            </w:pP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33061546" w14:textId="77777777" w:rsidR="00A829AC" w:rsidRPr="00A829AC" w:rsidRDefault="00A829AC" w:rsidP="00A829AC">
            <w:pPr>
              <w:widowControl/>
              <w:rPr>
                <w:rFonts w:ascii="Arial" w:hAnsi="Arial" w:cs="Arial"/>
                <w:snapToGrid/>
                <w:color w:val="auto"/>
                <w:sz w:val="18"/>
                <w:szCs w:val="18"/>
              </w:rPr>
            </w:pPr>
          </w:p>
        </w:tc>
        <w:tc>
          <w:tcPr>
            <w:tcW w:w="3162"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tcPr>
          <w:p w14:paraId="0B6AE970" w14:textId="77777777" w:rsidR="00A829AC" w:rsidRPr="00A829AC" w:rsidRDefault="00A829AC" w:rsidP="00A829AC">
            <w:pPr>
              <w:widowControl/>
              <w:rPr>
                <w:rFonts w:ascii="Arial" w:hAnsi="Arial" w:cs="Arial"/>
                <w:snapToGrid/>
                <w:color w:val="auto"/>
                <w:sz w:val="18"/>
                <w:szCs w:val="18"/>
              </w:rPr>
            </w:pPr>
            <w:r w:rsidRPr="00A829AC">
              <w:rPr>
                <w:rFonts w:ascii="Arial" w:hAnsi="Arial" w:cs="Arial"/>
                <w:b/>
                <w:bCs/>
                <w:i/>
                <w:iCs/>
                <w:snapToGrid/>
                <w:color w:val="auto"/>
                <w:sz w:val="18"/>
                <w:szCs w:val="18"/>
              </w:rPr>
              <w:t>Hypoalbuminemia (Gr 2)</w:t>
            </w:r>
          </w:p>
        </w:tc>
      </w:tr>
      <w:tr w:rsidR="00A829AC" w:rsidRPr="00A829AC" w14:paraId="5BFD610D" w14:textId="77777777">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102185B4" w14:textId="77777777" w:rsidR="00A829AC" w:rsidRPr="00A829AC" w:rsidRDefault="00A829AC" w:rsidP="00A829AC">
            <w:pPr>
              <w:widowControl/>
              <w:rPr>
                <w:rFonts w:ascii="Arial" w:hAnsi="Arial" w:cs="Arial"/>
                <w:snapToGrid/>
                <w:color w:val="auto"/>
                <w:sz w:val="18"/>
                <w:szCs w:val="18"/>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7112F4CC" w14:textId="77777777" w:rsidR="00A829AC" w:rsidRPr="00A829AC" w:rsidRDefault="00A829AC" w:rsidP="00A829AC">
            <w:pPr>
              <w:widowControl/>
              <w:ind w:left="60"/>
              <w:rPr>
                <w:rFonts w:ascii="Arial" w:hAnsi="Arial" w:cs="Arial"/>
                <w:snapToGrid/>
                <w:color w:val="auto"/>
                <w:sz w:val="18"/>
                <w:szCs w:val="18"/>
              </w:rPr>
            </w:pPr>
            <w:r w:rsidRPr="00A829AC">
              <w:rPr>
                <w:rFonts w:ascii="Arial" w:hAnsi="Arial" w:cs="Arial"/>
                <w:snapToGrid/>
                <w:color w:val="auto"/>
                <w:sz w:val="18"/>
                <w:szCs w:val="18"/>
              </w:rPr>
              <w:t>Hypokalemia</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7F462EF7" w14:textId="77777777" w:rsidR="00A829AC" w:rsidRPr="00A829AC" w:rsidRDefault="00A829AC" w:rsidP="00A829AC">
            <w:pPr>
              <w:widowControl/>
              <w:rPr>
                <w:rFonts w:ascii="Arial" w:hAnsi="Arial" w:cs="Arial"/>
                <w:snapToGrid/>
                <w:color w:val="auto"/>
                <w:sz w:val="18"/>
                <w:szCs w:val="18"/>
              </w:rPr>
            </w:pP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4284B97C" w14:textId="77777777" w:rsidR="00A829AC" w:rsidRPr="00A829AC" w:rsidRDefault="00A829AC" w:rsidP="00A829AC">
            <w:pPr>
              <w:widowControl/>
              <w:rPr>
                <w:rFonts w:ascii="Arial" w:hAnsi="Arial" w:cs="Arial"/>
                <w:snapToGrid/>
                <w:color w:val="auto"/>
                <w:sz w:val="18"/>
                <w:szCs w:val="18"/>
              </w:rPr>
            </w:pPr>
          </w:p>
        </w:tc>
        <w:tc>
          <w:tcPr>
            <w:tcW w:w="3162"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tcPr>
          <w:p w14:paraId="78CC9858" w14:textId="77777777" w:rsidR="00A829AC" w:rsidRPr="00A829AC" w:rsidRDefault="00A829AC" w:rsidP="00A829AC">
            <w:pPr>
              <w:widowControl/>
              <w:rPr>
                <w:rFonts w:ascii="Arial" w:hAnsi="Arial" w:cs="Arial"/>
                <w:snapToGrid/>
                <w:color w:val="auto"/>
                <w:sz w:val="18"/>
                <w:szCs w:val="18"/>
              </w:rPr>
            </w:pPr>
            <w:r w:rsidRPr="00A829AC">
              <w:rPr>
                <w:rFonts w:ascii="Arial" w:hAnsi="Arial" w:cs="Arial"/>
                <w:b/>
                <w:bCs/>
                <w:i/>
                <w:iCs/>
                <w:snapToGrid/>
                <w:color w:val="auto"/>
                <w:sz w:val="18"/>
                <w:szCs w:val="18"/>
              </w:rPr>
              <w:t>Hypokalemia (Gr 2)</w:t>
            </w:r>
          </w:p>
        </w:tc>
      </w:tr>
      <w:tr w:rsidR="00A829AC" w:rsidRPr="00A829AC" w14:paraId="74F02290" w14:textId="77777777">
        <w:trPr>
          <w:jc w:val="center"/>
        </w:trPr>
        <w:tc>
          <w:tcPr>
            <w:tcW w:w="7375" w:type="dxa"/>
            <w:gridSpan w:val="3"/>
            <w:tcBorders>
              <w:top w:val="single" w:sz="4" w:space="0" w:color="000000"/>
              <w:left w:val="single" w:sz="4" w:space="0" w:color="000000"/>
              <w:bottom w:val="single" w:sz="4" w:space="0" w:color="000000"/>
              <w:right w:val="single" w:sz="4" w:space="0" w:color="000000"/>
            </w:tcBorders>
            <w:shd w:val="clear" w:color="auto" w:fill="C0C0C0"/>
            <w:tcMar>
              <w:top w:w="10" w:type="dxa"/>
              <w:left w:w="10" w:type="dxa"/>
              <w:bottom w:w="10" w:type="dxa"/>
              <w:right w:w="10" w:type="dxa"/>
            </w:tcMar>
          </w:tcPr>
          <w:p w14:paraId="22811DF2" w14:textId="77777777" w:rsidR="00A829AC" w:rsidRPr="00A829AC" w:rsidRDefault="00A829AC" w:rsidP="00A829AC">
            <w:pPr>
              <w:widowControl/>
              <w:rPr>
                <w:rFonts w:ascii="Arial" w:hAnsi="Arial" w:cs="Arial"/>
                <w:snapToGrid/>
                <w:color w:val="auto"/>
                <w:sz w:val="20"/>
                <w:szCs w:val="20"/>
              </w:rPr>
            </w:pPr>
            <w:r w:rsidRPr="00A829AC">
              <w:rPr>
                <w:rFonts w:ascii="Arial" w:hAnsi="Arial" w:cs="Arial"/>
                <w:snapToGrid/>
                <w:color w:val="auto"/>
                <w:sz w:val="20"/>
                <w:szCs w:val="20"/>
              </w:rPr>
              <w:t>MUSCULOSKELETAL AND CONNECTIVE TISSUE DISORDERS</w:t>
            </w: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4E6687CF" w14:textId="77777777" w:rsidR="00A829AC" w:rsidRPr="00A829AC" w:rsidRDefault="00A829AC" w:rsidP="00A829AC">
            <w:pPr>
              <w:widowControl/>
              <w:rPr>
                <w:rFonts w:ascii="Arial" w:hAnsi="Arial" w:cs="Arial"/>
                <w:snapToGrid/>
                <w:color w:val="auto"/>
                <w:sz w:val="20"/>
                <w:szCs w:val="20"/>
              </w:rPr>
            </w:pPr>
          </w:p>
        </w:tc>
        <w:tc>
          <w:tcPr>
            <w:tcW w:w="3162" w:type="dxa"/>
            <w:tcBorders>
              <w:top w:val="single" w:sz="4" w:space="0" w:color="000000"/>
              <w:left w:val="single" w:sz="4" w:space="0" w:color="000000"/>
              <w:bottom w:val="single" w:sz="4" w:space="0" w:color="000000"/>
              <w:right w:val="single" w:sz="4" w:space="0" w:color="000000"/>
            </w:tcBorders>
            <w:shd w:val="clear" w:color="auto" w:fill="C0C0C0"/>
            <w:tcMar>
              <w:top w:w="10" w:type="dxa"/>
              <w:left w:w="10" w:type="dxa"/>
              <w:bottom w:w="10" w:type="dxa"/>
              <w:right w:w="10" w:type="dxa"/>
            </w:tcMar>
          </w:tcPr>
          <w:p w14:paraId="4E74E132" w14:textId="77777777" w:rsidR="00A829AC" w:rsidRPr="00A829AC" w:rsidRDefault="00A829AC" w:rsidP="00A829AC">
            <w:pPr>
              <w:widowControl/>
              <w:rPr>
                <w:rFonts w:ascii="Arial" w:hAnsi="Arial" w:cs="Arial"/>
                <w:snapToGrid/>
                <w:color w:val="auto"/>
                <w:sz w:val="20"/>
                <w:szCs w:val="20"/>
              </w:rPr>
            </w:pPr>
          </w:p>
        </w:tc>
      </w:tr>
      <w:tr w:rsidR="00A829AC" w:rsidRPr="00A829AC" w14:paraId="6A2798AB" w14:textId="77777777">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3B6AE1A1" w14:textId="77777777" w:rsidR="00A829AC" w:rsidRPr="00A829AC" w:rsidRDefault="00A829AC" w:rsidP="00A829AC">
            <w:pPr>
              <w:widowControl/>
              <w:rPr>
                <w:rFonts w:ascii="Arial" w:hAnsi="Arial" w:cs="Arial"/>
                <w:snapToGrid/>
                <w:color w:val="auto"/>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0E5EA5F3" w14:textId="77777777" w:rsidR="00A829AC" w:rsidRPr="00A829AC" w:rsidRDefault="00A829AC" w:rsidP="00A829AC">
            <w:pPr>
              <w:widowControl/>
              <w:ind w:left="60"/>
              <w:rPr>
                <w:rFonts w:ascii="Arial" w:hAnsi="Arial" w:cs="Arial"/>
                <w:snapToGrid/>
                <w:color w:val="auto"/>
                <w:sz w:val="18"/>
                <w:szCs w:val="18"/>
              </w:rPr>
            </w:pPr>
            <w:r w:rsidRPr="00A829AC">
              <w:rPr>
                <w:rFonts w:ascii="Arial" w:hAnsi="Arial" w:cs="Arial"/>
                <w:snapToGrid/>
                <w:color w:val="auto"/>
                <w:sz w:val="18"/>
                <w:szCs w:val="18"/>
              </w:rPr>
              <w:t>Myalgia</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60110130" w14:textId="77777777" w:rsidR="00A829AC" w:rsidRPr="00A829AC" w:rsidRDefault="00A829AC" w:rsidP="00A829AC">
            <w:pPr>
              <w:widowControl/>
              <w:rPr>
                <w:rFonts w:ascii="Arial" w:hAnsi="Arial" w:cs="Arial"/>
                <w:snapToGrid/>
                <w:color w:val="auto"/>
                <w:sz w:val="18"/>
                <w:szCs w:val="18"/>
              </w:rPr>
            </w:pP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07678B32" w14:textId="77777777" w:rsidR="00A829AC" w:rsidRPr="00A829AC" w:rsidRDefault="00A829AC" w:rsidP="00A829AC">
            <w:pPr>
              <w:widowControl/>
              <w:rPr>
                <w:rFonts w:ascii="Arial" w:hAnsi="Arial" w:cs="Arial"/>
                <w:snapToGrid/>
                <w:color w:val="auto"/>
                <w:sz w:val="18"/>
                <w:szCs w:val="18"/>
              </w:rPr>
            </w:pPr>
          </w:p>
        </w:tc>
        <w:tc>
          <w:tcPr>
            <w:tcW w:w="3162"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tcPr>
          <w:p w14:paraId="2A53C133" w14:textId="77777777" w:rsidR="00A829AC" w:rsidRPr="00A829AC" w:rsidRDefault="00A829AC" w:rsidP="00A829AC">
            <w:pPr>
              <w:widowControl/>
              <w:rPr>
                <w:rFonts w:ascii="Arial" w:hAnsi="Arial" w:cs="Arial"/>
                <w:snapToGrid/>
                <w:color w:val="auto"/>
                <w:sz w:val="18"/>
                <w:szCs w:val="18"/>
              </w:rPr>
            </w:pPr>
          </w:p>
        </w:tc>
      </w:tr>
      <w:tr w:rsidR="00A829AC" w:rsidRPr="00A829AC" w14:paraId="364EAF28" w14:textId="77777777">
        <w:trPr>
          <w:jc w:val="center"/>
        </w:trPr>
        <w:tc>
          <w:tcPr>
            <w:tcW w:w="7375" w:type="dxa"/>
            <w:gridSpan w:val="3"/>
            <w:tcBorders>
              <w:top w:val="single" w:sz="4" w:space="0" w:color="000000"/>
              <w:left w:val="single" w:sz="4" w:space="0" w:color="000000"/>
              <w:bottom w:val="single" w:sz="4" w:space="0" w:color="000000"/>
              <w:right w:val="single" w:sz="4" w:space="0" w:color="000000"/>
            </w:tcBorders>
            <w:shd w:val="clear" w:color="auto" w:fill="C0C0C0"/>
            <w:tcMar>
              <w:top w:w="10" w:type="dxa"/>
              <w:left w:w="10" w:type="dxa"/>
              <w:bottom w:w="10" w:type="dxa"/>
              <w:right w:w="10" w:type="dxa"/>
            </w:tcMar>
          </w:tcPr>
          <w:p w14:paraId="0C18BB7B" w14:textId="77777777" w:rsidR="00A829AC" w:rsidRPr="00A829AC" w:rsidRDefault="00A829AC" w:rsidP="00A829AC">
            <w:pPr>
              <w:widowControl/>
              <w:rPr>
                <w:rFonts w:ascii="Arial" w:hAnsi="Arial" w:cs="Arial"/>
                <w:snapToGrid/>
                <w:color w:val="auto"/>
                <w:sz w:val="20"/>
                <w:szCs w:val="20"/>
              </w:rPr>
            </w:pPr>
            <w:r w:rsidRPr="00A829AC">
              <w:rPr>
                <w:rFonts w:ascii="Arial" w:hAnsi="Arial" w:cs="Arial"/>
                <w:snapToGrid/>
                <w:color w:val="auto"/>
                <w:sz w:val="20"/>
                <w:szCs w:val="20"/>
              </w:rPr>
              <w:t>NERVOUS SYSTEM DISORDERS</w:t>
            </w: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2BDD0B9E" w14:textId="77777777" w:rsidR="00A829AC" w:rsidRPr="00A829AC" w:rsidRDefault="00A829AC" w:rsidP="00A829AC">
            <w:pPr>
              <w:widowControl/>
              <w:rPr>
                <w:rFonts w:ascii="Arial" w:hAnsi="Arial" w:cs="Arial"/>
                <w:snapToGrid/>
                <w:color w:val="auto"/>
                <w:sz w:val="20"/>
                <w:szCs w:val="20"/>
              </w:rPr>
            </w:pPr>
          </w:p>
        </w:tc>
        <w:tc>
          <w:tcPr>
            <w:tcW w:w="3162" w:type="dxa"/>
            <w:tcBorders>
              <w:top w:val="single" w:sz="4" w:space="0" w:color="000000"/>
              <w:left w:val="single" w:sz="4" w:space="0" w:color="000000"/>
              <w:bottom w:val="single" w:sz="4" w:space="0" w:color="000000"/>
              <w:right w:val="single" w:sz="4" w:space="0" w:color="000000"/>
            </w:tcBorders>
            <w:shd w:val="clear" w:color="auto" w:fill="C0C0C0"/>
            <w:tcMar>
              <w:top w:w="10" w:type="dxa"/>
              <w:left w:w="10" w:type="dxa"/>
              <w:bottom w:w="10" w:type="dxa"/>
              <w:right w:w="10" w:type="dxa"/>
            </w:tcMar>
          </w:tcPr>
          <w:p w14:paraId="5A136D23" w14:textId="77777777" w:rsidR="00A829AC" w:rsidRPr="00A829AC" w:rsidRDefault="00A829AC" w:rsidP="00A829AC">
            <w:pPr>
              <w:widowControl/>
              <w:rPr>
                <w:rFonts w:ascii="Arial" w:hAnsi="Arial" w:cs="Arial"/>
                <w:snapToGrid/>
                <w:color w:val="auto"/>
                <w:sz w:val="20"/>
                <w:szCs w:val="20"/>
              </w:rPr>
            </w:pPr>
          </w:p>
        </w:tc>
      </w:tr>
      <w:tr w:rsidR="00A829AC" w:rsidRPr="00A829AC" w14:paraId="6DF69A0A" w14:textId="77777777">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03A26A66" w14:textId="77777777" w:rsidR="00A829AC" w:rsidRPr="00A829AC" w:rsidRDefault="00A829AC" w:rsidP="00A829AC">
            <w:pPr>
              <w:widowControl/>
              <w:rPr>
                <w:rFonts w:ascii="Arial" w:hAnsi="Arial" w:cs="Arial"/>
                <w:snapToGrid/>
                <w:color w:val="auto"/>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08D88EDE" w14:textId="77777777" w:rsidR="00A829AC" w:rsidRPr="00A829AC" w:rsidRDefault="00A829AC" w:rsidP="00A829AC">
            <w:pPr>
              <w:widowControl/>
              <w:ind w:left="60"/>
              <w:rPr>
                <w:rFonts w:ascii="Arial" w:hAnsi="Arial" w:cs="Arial"/>
                <w:snapToGrid/>
                <w:color w:val="auto"/>
                <w:sz w:val="18"/>
                <w:szCs w:val="18"/>
              </w:rPr>
            </w:pPr>
            <w:r w:rsidRPr="00A829AC">
              <w:rPr>
                <w:rFonts w:ascii="Arial" w:hAnsi="Arial" w:cs="Arial"/>
                <w:snapToGrid/>
                <w:color w:val="auto"/>
                <w:sz w:val="18"/>
                <w:szCs w:val="18"/>
              </w:rPr>
              <w:t>Dizziness</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76ED9CE2" w14:textId="77777777" w:rsidR="00A829AC" w:rsidRPr="00A829AC" w:rsidRDefault="00A829AC" w:rsidP="00A829AC">
            <w:pPr>
              <w:widowControl/>
              <w:rPr>
                <w:rFonts w:ascii="Arial" w:hAnsi="Arial" w:cs="Arial"/>
                <w:snapToGrid/>
                <w:color w:val="auto"/>
                <w:sz w:val="18"/>
                <w:szCs w:val="18"/>
              </w:rPr>
            </w:pP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14A879D3" w14:textId="77777777" w:rsidR="00A829AC" w:rsidRPr="00A829AC" w:rsidRDefault="00A829AC" w:rsidP="00A829AC">
            <w:pPr>
              <w:widowControl/>
              <w:rPr>
                <w:rFonts w:ascii="Arial" w:hAnsi="Arial" w:cs="Arial"/>
                <w:snapToGrid/>
                <w:color w:val="auto"/>
                <w:sz w:val="18"/>
                <w:szCs w:val="18"/>
              </w:rPr>
            </w:pPr>
          </w:p>
        </w:tc>
        <w:tc>
          <w:tcPr>
            <w:tcW w:w="3162"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tcPr>
          <w:p w14:paraId="1E564089" w14:textId="77777777" w:rsidR="00A829AC" w:rsidRPr="00A829AC" w:rsidRDefault="00A829AC" w:rsidP="00A829AC">
            <w:pPr>
              <w:widowControl/>
              <w:rPr>
                <w:rFonts w:ascii="Arial" w:hAnsi="Arial" w:cs="Arial"/>
                <w:snapToGrid/>
                <w:color w:val="auto"/>
                <w:sz w:val="18"/>
                <w:szCs w:val="18"/>
              </w:rPr>
            </w:pPr>
          </w:p>
        </w:tc>
      </w:tr>
      <w:tr w:rsidR="00A829AC" w:rsidRPr="00A829AC" w14:paraId="09B49841" w14:textId="77777777">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28805C68" w14:textId="77777777" w:rsidR="00A829AC" w:rsidRPr="00A829AC" w:rsidRDefault="00A829AC" w:rsidP="00A829AC">
            <w:pPr>
              <w:widowControl/>
              <w:rPr>
                <w:rFonts w:ascii="Arial" w:hAnsi="Arial" w:cs="Arial"/>
                <w:snapToGrid/>
                <w:color w:val="auto"/>
                <w:sz w:val="18"/>
                <w:szCs w:val="18"/>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5F65D579" w14:textId="77777777" w:rsidR="00A829AC" w:rsidRPr="00A829AC" w:rsidRDefault="00A829AC" w:rsidP="00A829AC">
            <w:pPr>
              <w:widowControl/>
              <w:ind w:left="60"/>
              <w:rPr>
                <w:rFonts w:ascii="Arial" w:hAnsi="Arial" w:cs="Arial"/>
                <w:snapToGrid/>
                <w:color w:val="auto"/>
                <w:sz w:val="18"/>
                <w:szCs w:val="18"/>
              </w:rPr>
            </w:pPr>
            <w:r w:rsidRPr="00A829AC">
              <w:rPr>
                <w:rFonts w:ascii="Arial" w:hAnsi="Arial" w:cs="Arial"/>
                <w:snapToGrid/>
                <w:color w:val="auto"/>
                <w:sz w:val="18"/>
                <w:szCs w:val="18"/>
              </w:rPr>
              <w:t>Dysgeusia</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60BB7F09" w14:textId="77777777" w:rsidR="00A829AC" w:rsidRPr="00A829AC" w:rsidRDefault="00A829AC" w:rsidP="00A829AC">
            <w:pPr>
              <w:widowControl/>
              <w:rPr>
                <w:rFonts w:ascii="Arial" w:hAnsi="Arial" w:cs="Arial"/>
                <w:snapToGrid/>
                <w:color w:val="auto"/>
                <w:sz w:val="18"/>
                <w:szCs w:val="18"/>
              </w:rPr>
            </w:pP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140574AF" w14:textId="77777777" w:rsidR="00A829AC" w:rsidRPr="00A829AC" w:rsidRDefault="00A829AC" w:rsidP="00A829AC">
            <w:pPr>
              <w:widowControl/>
              <w:rPr>
                <w:rFonts w:ascii="Arial" w:hAnsi="Arial" w:cs="Arial"/>
                <w:snapToGrid/>
                <w:color w:val="auto"/>
                <w:sz w:val="18"/>
                <w:szCs w:val="18"/>
              </w:rPr>
            </w:pPr>
          </w:p>
        </w:tc>
        <w:tc>
          <w:tcPr>
            <w:tcW w:w="3162"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tcPr>
          <w:p w14:paraId="305A0D14" w14:textId="77777777" w:rsidR="00A829AC" w:rsidRPr="00A829AC" w:rsidRDefault="00A829AC" w:rsidP="00A829AC">
            <w:pPr>
              <w:widowControl/>
              <w:rPr>
                <w:rFonts w:ascii="Arial" w:hAnsi="Arial" w:cs="Arial"/>
                <w:snapToGrid/>
                <w:color w:val="auto"/>
                <w:sz w:val="18"/>
                <w:szCs w:val="18"/>
              </w:rPr>
            </w:pPr>
            <w:r w:rsidRPr="00A829AC">
              <w:rPr>
                <w:rFonts w:ascii="Arial" w:hAnsi="Arial" w:cs="Arial"/>
                <w:b/>
                <w:bCs/>
                <w:i/>
                <w:iCs/>
                <w:snapToGrid/>
                <w:color w:val="auto"/>
                <w:sz w:val="18"/>
                <w:szCs w:val="18"/>
              </w:rPr>
              <w:t>Dysgeusia (Gr 2)</w:t>
            </w:r>
          </w:p>
        </w:tc>
      </w:tr>
      <w:tr w:rsidR="00A829AC" w:rsidRPr="00A829AC" w14:paraId="312419C0" w14:textId="77777777">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70419CE0" w14:textId="77777777" w:rsidR="00A829AC" w:rsidRPr="00A829AC" w:rsidRDefault="00A829AC" w:rsidP="00A829AC">
            <w:pPr>
              <w:widowControl/>
              <w:rPr>
                <w:rFonts w:ascii="Arial" w:hAnsi="Arial" w:cs="Arial"/>
                <w:snapToGrid/>
                <w:color w:val="auto"/>
                <w:sz w:val="18"/>
                <w:szCs w:val="18"/>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202C1E1C" w14:textId="77777777" w:rsidR="00A829AC" w:rsidRPr="00A829AC" w:rsidRDefault="00A829AC" w:rsidP="00A829AC">
            <w:pPr>
              <w:widowControl/>
              <w:ind w:left="60"/>
              <w:rPr>
                <w:rFonts w:ascii="Arial" w:hAnsi="Arial" w:cs="Arial"/>
                <w:snapToGrid/>
                <w:color w:val="auto"/>
                <w:sz w:val="18"/>
                <w:szCs w:val="18"/>
              </w:rPr>
            </w:pPr>
            <w:r w:rsidRPr="00A829AC">
              <w:rPr>
                <w:rFonts w:ascii="Arial" w:hAnsi="Arial" w:cs="Arial"/>
                <w:snapToGrid/>
                <w:color w:val="auto"/>
                <w:sz w:val="18"/>
                <w:szCs w:val="18"/>
              </w:rPr>
              <w:t>Headache</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578BDED4" w14:textId="77777777" w:rsidR="00A829AC" w:rsidRPr="00A829AC" w:rsidRDefault="00A829AC" w:rsidP="00A829AC">
            <w:pPr>
              <w:widowControl/>
              <w:rPr>
                <w:rFonts w:ascii="Arial" w:hAnsi="Arial" w:cs="Arial"/>
                <w:snapToGrid/>
                <w:color w:val="auto"/>
                <w:sz w:val="18"/>
                <w:szCs w:val="18"/>
              </w:rPr>
            </w:pP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2BF04FDF" w14:textId="77777777" w:rsidR="00A829AC" w:rsidRPr="00A829AC" w:rsidRDefault="00A829AC" w:rsidP="00A829AC">
            <w:pPr>
              <w:widowControl/>
              <w:rPr>
                <w:rFonts w:ascii="Arial" w:hAnsi="Arial" w:cs="Arial"/>
                <w:snapToGrid/>
                <w:color w:val="auto"/>
                <w:sz w:val="18"/>
                <w:szCs w:val="18"/>
              </w:rPr>
            </w:pPr>
          </w:p>
        </w:tc>
        <w:tc>
          <w:tcPr>
            <w:tcW w:w="3162"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tcPr>
          <w:p w14:paraId="3D34E438" w14:textId="77777777" w:rsidR="00A829AC" w:rsidRPr="00A829AC" w:rsidRDefault="00A829AC" w:rsidP="00A829AC">
            <w:pPr>
              <w:widowControl/>
              <w:rPr>
                <w:rFonts w:ascii="Arial" w:hAnsi="Arial" w:cs="Arial"/>
                <w:snapToGrid/>
                <w:color w:val="auto"/>
                <w:sz w:val="18"/>
                <w:szCs w:val="18"/>
              </w:rPr>
            </w:pPr>
          </w:p>
        </w:tc>
      </w:tr>
      <w:tr w:rsidR="00A829AC" w:rsidRPr="00A829AC" w14:paraId="24ED0857" w14:textId="77777777">
        <w:trPr>
          <w:jc w:val="center"/>
        </w:trPr>
        <w:tc>
          <w:tcPr>
            <w:tcW w:w="7375" w:type="dxa"/>
            <w:gridSpan w:val="3"/>
            <w:tcBorders>
              <w:top w:val="single" w:sz="4" w:space="0" w:color="000000"/>
              <w:left w:val="single" w:sz="4" w:space="0" w:color="000000"/>
              <w:bottom w:val="single" w:sz="4" w:space="0" w:color="000000"/>
              <w:right w:val="single" w:sz="4" w:space="0" w:color="000000"/>
            </w:tcBorders>
            <w:shd w:val="clear" w:color="auto" w:fill="C0C0C0"/>
            <w:tcMar>
              <w:top w:w="10" w:type="dxa"/>
              <w:left w:w="10" w:type="dxa"/>
              <w:bottom w:w="10" w:type="dxa"/>
              <w:right w:w="10" w:type="dxa"/>
            </w:tcMar>
          </w:tcPr>
          <w:p w14:paraId="50FCB9AF" w14:textId="77777777" w:rsidR="00A829AC" w:rsidRPr="00A829AC" w:rsidRDefault="00A829AC" w:rsidP="00A829AC">
            <w:pPr>
              <w:widowControl/>
              <w:rPr>
                <w:rFonts w:ascii="Arial" w:hAnsi="Arial" w:cs="Arial"/>
                <w:snapToGrid/>
                <w:color w:val="auto"/>
                <w:sz w:val="20"/>
                <w:szCs w:val="20"/>
              </w:rPr>
            </w:pPr>
            <w:r w:rsidRPr="00A829AC">
              <w:rPr>
                <w:rFonts w:ascii="Arial" w:hAnsi="Arial" w:cs="Arial"/>
                <w:snapToGrid/>
                <w:color w:val="auto"/>
                <w:sz w:val="20"/>
                <w:szCs w:val="20"/>
              </w:rPr>
              <w:t>RESPIRATORY, THORACIC AND MEDIASTINAL DISORDERS</w:t>
            </w: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0A6C4DBD" w14:textId="77777777" w:rsidR="00A829AC" w:rsidRPr="00A829AC" w:rsidRDefault="00A829AC" w:rsidP="00A829AC">
            <w:pPr>
              <w:widowControl/>
              <w:rPr>
                <w:rFonts w:ascii="Arial" w:hAnsi="Arial" w:cs="Arial"/>
                <w:snapToGrid/>
                <w:color w:val="auto"/>
                <w:sz w:val="20"/>
                <w:szCs w:val="20"/>
              </w:rPr>
            </w:pPr>
          </w:p>
        </w:tc>
        <w:tc>
          <w:tcPr>
            <w:tcW w:w="3162" w:type="dxa"/>
            <w:tcBorders>
              <w:top w:val="single" w:sz="4" w:space="0" w:color="000000"/>
              <w:left w:val="single" w:sz="4" w:space="0" w:color="000000"/>
              <w:bottom w:val="single" w:sz="4" w:space="0" w:color="000000"/>
              <w:right w:val="single" w:sz="4" w:space="0" w:color="000000"/>
            </w:tcBorders>
            <w:shd w:val="clear" w:color="auto" w:fill="C0C0C0"/>
            <w:tcMar>
              <w:top w:w="10" w:type="dxa"/>
              <w:left w:w="10" w:type="dxa"/>
              <w:bottom w:w="10" w:type="dxa"/>
              <w:right w:w="10" w:type="dxa"/>
            </w:tcMar>
          </w:tcPr>
          <w:p w14:paraId="77EEF2FF" w14:textId="77777777" w:rsidR="00A829AC" w:rsidRPr="00A829AC" w:rsidRDefault="00A829AC" w:rsidP="00A829AC">
            <w:pPr>
              <w:widowControl/>
              <w:rPr>
                <w:rFonts w:ascii="Arial" w:hAnsi="Arial" w:cs="Arial"/>
                <w:snapToGrid/>
                <w:color w:val="auto"/>
                <w:sz w:val="20"/>
                <w:szCs w:val="20"/>
              </w:rPr>
            </w:pPr>
          </w:p>
        </w:tc>
      </w:tr>
      <w:tr w:rsidR="00A829AC" w:rsidRPr="00A829AC" w14:paraId="1DDB7ABD" w14:textId="77777777">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3465B411" w14:textId="77777777" w:rsidR="00A829AC" w:rsidRPr="00A829AC" w:rsidRDefault="00A829AC" w:rsidP="00A829AC">
            <w:pPr>
              <w:widowControl/>
              <w:rPr>
                <w:rFonts w:ascii="Arial" w:hAnsi="Arial" w:cs="Arial"/>
                <w:snapToGrid/>
                <w:color w:val="auto"/>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3CB9CE70" w14:textId="77777777" w:rsidR="00A829AC" w:rsidRPr="00A829AC" w:rsidRDefault="00A829AC" w:rsidP="00A829AC">
            <w:pPr>
              <w:widowControl/>
              <w:ind w:left="60"/>
              <w:rPr>
                <w:rFonts w:ascii="Arial" w:hAnsi="Arial" w:cs="Arial"/>
                <w:snapToGrid/>
                <w:color w:val="auto"/>
                <w:sz w:val="18"/>
                <w:szCs w:val="18"/>
              </w:rPr>
            </w:pPr>
            <w:r w:rsidRPr="00A829AC">
              <w:rPr>
                <w:rFonts w:ascii="Arial" w:hAnsi="Arial" w:cs="Arial"/>
                <w:snapToGrid/>
                <w:color w:val="auto"/>
                <w:sz w:val="18"/>
                <w:szCs w:val="18"/>
              </w:rPr>
              <w:t>Cough</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3F31657F" w14:textId="77777777" w:rsidR="00A829AC" w:rsidRPr="00A829AC" w:rsidRDefault="00A829AC" w:rsidP="00A829AC">
            <w:pPr>
              <w:widowControl/>
              <w:rPr>
                <w:rFonts w:ascii="Arial" w:hAnsi="Arial" w:cs="Arial"/>
                <w:snapToGrid/>
                <w:color w:val="auto"/>
                <w:sz w:val="18"/>
                <w:szCs w:val="18"/>
              </w:rPr>
            </w:pP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650F8590" w14:textId="77777777" w:rsidR="00A829AC" w:rsidRPr="00A829AC" w:rsidRDefault="00A829AC" w:rsidP="00A829AC">
            <w:pPr>
              <w:widowControl/>
              <w:rPr>
                <w:rFonts w:ascii="Arial" w:hAnsi="Arial" w:cs="Arial"/>
                <w:snapToGrid/>
                <w:color w:val="auto"/>
                <w:sz w:val="18"/>
                <w:szCs w:val="18"/>
              </w:rPr>
            </w:pPr>
          </w:p>
        </w:tc>
        <w:tc>
          <w:tcPr>
            <w:tcW w:w="3162"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tcPr>
          <w:p w14:paraId="1F83C9A5" w14:textId="77777777" w:rsidR="00A829AC" w:rsidRPr="00A829AC" w:rsidRDefault="00A829AC" w:rsidP="00A829AC">
            <w:pPr>
              <w:widowControl/>
              <w:rPr>
                <w:rFonts w:ascii="Arial" w:hAnsi="Arial" w:cs="Arial"/>
                <w:snapToGrid/>
                <w:color w:val="auto"/>
                <w:sz w:val="18"/>
                <w:szCs w:val="18"/>
              </w:rPr>
            </w:pPr>
            <w:r w:rsidRPr="00A829AC">
              <w:rPr>
                <w:rFonts w:ascii="Arial" w:hAnsi="Arial" w:cs="Arial"/>
                <w:b/>
                <w:bCs/>
                <w:i/>
                <w:iCs/>
                <w:snapToGrid/>
                <w:color w:val="auto"/>
                <w:sz w:val="18"/>
                <w:szCs w:val="18"/>
              </w:rPr>
              <w:t>Cough (Gr 2)</w:t>
            </w:r>
          </w:p>
        </w:tc>
      </w:tr>
      <w:tr w:rsidR="00A829AC" w:rsidRPr="00A829AC" w14:paraId="76CE75D6" w14:textId="77777777">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08005631" w14:textId="77777777" w:rsidR="00A829AC" w:rsidRPr="00A829AC" w:rsidRDefault="00A829AC" w:rsidP="00A829AC">
            <w:pPr>
              <w:widowControl/>
              <w:rPr>
                <w:rFonts w:ascii="Arial" w:hAnsi="Arial" w:cs="Arial"/>
                <w:snapToGrid/>
                <w:color w:val="auto"/>
                <w:sz w:val="18"/>
                <w:szCs w:val="18"/>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0FF74BC1" w14:textId="77777777" w:rsidR="00A829AC" w:rsidRPr="00A829AC" w:rsidRDefault="00A829AC" w:rsidP="00A829AC">
            <w:pPr>
              <w:widowControl/>
              <w:ind w:left="60"/>
              <w:rPr>
                <w:rFonts w:ascii="Arial" w:hAnsi="Arial" w:cs="Arial"/>
                <w:snapToGrid/>
                <w:color w:val="auto"/>
                <w:sz w:val="18"/>
                <w:szCs w:val="18"/>
              </w:rPr>
            </w:pPr>
            <w:r w:rsidRPr="00A829AC">
              <w:rPr>
                <w:rFonts w:ascii="Arial" w:hAnsi="Arial" w:cs="Arial"/>
                <w:snapToGrid/>
                <w:color w:val="auto"/>
                <w:sz w:val="18"/>
                <w:szCs w:val="18"/>
              </w:rPr>
              <w:t>Dyspnea</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1D21D633" w14:textId="77777777" w:rsidR="00A829AC" w:rsidRPr="00A829AC" w:rsidRDefault="00A829AC" w:rsidP="00A829AC">
            <w:pPr>
              <w:widowControl/>
              <w:rPr>
                <w:rFonts w:ascii="Arial" w:hAnsi="Arial" w:cs="Arial"/>
                <w:snapToGrid/>
                <w:color w:val="auto"/>
                <w:sz w:val="18"/>
                <w:szCs w:val="18"/>
              </w:rPr>
            </w:pP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36232703" w14:textId="77777777" w:rsidR="00A829AC" w:rsidRPr="00A829AC" w:rsidRDefault="00A829AC" w:rsidP="00A829AC">
            <w:pPr>
              <w:widowControl/>
              <w:rPr>
                <w:rFonts w:ascii="Arial" w:hAnsi="Arial" w:cs="Arial"/>
                <w:snapToGrid/>
                <w:color w:val="auto"/>
                <w:sz w:val="18"/>
                <w:szCs w:val="18"/>
              </w:rPr>
            </w:pPr>
          </w:p>
        </w:tc>
        <w:tc>
          <w:tcPr>
            <w:tcW w:w="3162"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tcPr>
          <w:p w14:paraId="7D9C78AD" w14:textId="77777777" w:rsidR="00A829AC" w:rsidRPr="00A829AC" w:rsidRDefault="00A829AC" w:rsidP="00A829AC">
            <w:pPr>
              <w:widowControl/>
              <w:rPr>
                <w:rFonts w:ascii="Arial" w:hAnsi="Arial" w:cs="Arial"/>
                <w:snapToGrid/>
                <w:color w:val="auto"/>
                <w:sz w:val="18"/>
                <w:szCs w:val="18"/>
              </w:rPr>
            </w:pPr>
            <w:r w:rsidRPr="00A829AC">
              <w:rPr>
                <w:rFonts w:ascii="Arial" w:hAnsi="Arial" w:cs="Arial"/>
                <w:b/>
                <w:bCs/>
                <w:i/>
                <w:iCs/>
                <w:snapToGrid/>
                <w:color w:val="auto"/>
                <w:sz w:val="18"/>
                <w:szCs w:val="18"/>
              </w:rPr>
              <w:t>Dyspnea (Gr 2)</w:t>
            </w:r>
          </w:p>
        </w:tc>
      </w:tr>
      <w:tr w:rsidR="00A829AC" w:rsidRPr="00A829AC" w14:paraId="7B060E87" w14:textId="77777777">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698B8FA5" w14:textId="77777777" w:rsidR="00A829AC" w:rsidRPr="00A829AC" w:rsidRDefault="00A829AC" w:rsidP="00A829AC">
            <w:pPr>
              <w:widowControl/>
              <w:rPr>
                <w:rFonts w:ascii="Arial" w:hAnsi="Arial" w:cs="Arial"/>
                <w:snapToGrid/>
                <w:color w:val="auto"/>
                <w:sz w:val="18"/>
                <w:szCs w:val="18"/>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2A12A55A" w14:textId="77777777" w:rsidR="00A829AC" w:rsidRPr="00A829AC" w:rsidRDefault="00A829AC" w:rsidP="00A829AC">
            <w:pPr>
              <w:widowControl/>
              <w:ind w:left="60"/>
              <w:rPr>
                <w:rFonts w:ascii="Arial" w:hAnsi="Arial" w:cs="Arial"/>
                <w:snapToGrid/>
                <w:color w:val="auto"/>
                <w:sz w:val="18"/>
                <w:szCs w:val="18"/>
              </w:rPr>
            </w:pPr>
            <w:r w:rsidRPr="00A829AC">
              <w:rPr>
                <w:rFonts w:ascii="Arial" w:hAnsi="Arial" w:cs="Arial"/>
                <w:snapToGrid/>
                <w:color w:val="auto"/>
                <w:sz w:val="18"/>
                <w:szCs w:val="18"/>
              </w:rPr>
              <w:t>Hypoxia</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285E4391" w14:textId="77777777" w:rsidR="00A829AC" w:rsidRPr="00A829AC" w:rsidRDefault="00A829AC" w:rsidP="00A829AC">
            <w:pPr>
              <w:widowControl/>
              <w:rPr>
                <w:rFonts w:ascii="Arial" w:hAnsi="Arial" w:cs="Arial"/>
                <w:snapToGrid/>
                <w:color w:val="auto"/>
                <w:sz w:val="18"/>
                <w:szCs w:val="18"/>
              </w:rPr>
            </w:pP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4352CB4C" w14:textId="77777777" w:rsidR="00A829AC" w:rsidRPr="00A829AC" w:rsidRDefault="00A829AC" w:rsidP="00A829AC">
            <w:pPr>
              <w:widowControl/>
              <w:rPr>
                <w:rFonts w:ascii="Arial" w:hAnsi="Arial" w:cs="Arial"/>
                <w:snapToGrid/>
                <w:color w:val="auto"/>
                <w:sz w:val="18"/>
                <w:szCs w:val="18"/>
              </w:rPr>
            </w:pPr>
          </w:p>
        </w:tc>
        <w:tc>
          <w:tcPr>
            <w:tcW w:w="3162"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tcPr>
          <w:p w14:paraId="5A4DF03C" w14:textId="77777777" w:rsidR="00A829AC" w:rsidRPr="00A829AC" w:rsidRDefault="00A829AC" w:rsidP="00A829AC">
            <w:pPr>
              <w:widowControl/>
              <w:rPr>
                <w:rFonts w:ascii="Arial" w:hAnsi="Arial" w:cs="Arial"/>
                <w:snapToGrid/>
                <w:color w:val="auto"/>
                <w:sz w:val="18"/>
                <w:szCs w:val="18"/>
              </w:rPr>
            </w:pPr>
            <w:r w:rsidRPr="00A829AC">
              <w:rPr>
                <w:rFonts w:ascii="Arial" w:hAnsi="Arial" w:cs="Arial"/>
                <w:b/>
                <w:bCs/>
                <w:i/>
                <w:iCs/>
                <w:snapToGrid/>
                <w:color w:val="auto"/>
                <w:sz w:val="18"/>
                <w:szCs w:val="18"/>
              </w:rPr>
              <w:t>Hypoxia (Gr 3)</w:t>
            </w:r>
          </w:p>
        </w:tc>
      </w:tr>
      <w:tr w:rsidR="00A829AC" w:rsidRPr="00A829AC" w14:paraId="3A03F41D" w14:textId="77777777">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32683DFD" w14:textId="77777777" w:rsidR="00A829AC" w:rsidRPr="00A829AC" w:rsidRDefault="00A829AC" w:rsidP="00A829AC">
            <w:pPr>
              <w:widowControl/>
              <w:rPr>
                <w:rFonts w:ascii="Arial" w:hAnsi="Arial" w:cs="Arial"/>
                <w:snapToGrid/>
                <w:color w:val="auto"/>
                <w:sz w:val="18"/>
                <w:szCs w:val="18"/>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641EF0F1" w14:textId="77777777" w:rsidR="00A829AC" w:rsidRPr="00A829AC" w:rsidRDefault="00A829AC" w:rsidP="00A829AC">
            <w:pPr>
              <w:widowControl/>
              <w:rPr>
                <w:rFonts w:ascii="Arial" w:hAnsi="Arial" w:cs="Arial"/>
                <w:snapToGrid/>
                <w:color w:val="auto"/>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120E4C2F" w14:textId="77777777" w:rsidR="00A829AC" w:rsidRPr="00A829AC" w:rsidRDefault="00A829AC" w:rsidP="00A829AC">
            <w:pPr>
              <w:widowControl/>
              <w:ind w:left="60"/>
              <w:rPr>
                <w:rFonts w:ascii="Arial" w:hAnsi="Arial" w:cs="Arial"/>
                <w:snapToGrid/>
                <w:color w:val="auto"/>
                <w:sz w:val="18"/>
                <w:szCs w:val="18"/>
              </w:rPr>
            </w:pPr>
            <w:r w:rsidRPr="00A829AC">
              <w:rPr>
                <w:rFonts w:ascii="Arial" w:hAnsi="Arial" w:cs="Arial"/>
                <w:snapToGrid/>
                <w:color w:val="auto"/>
                <w:sz w:val="18"/>
                <w:szCs w:val="18"/>
              </w:rPr>
              <w:t>Pneumonitis</w:t>
            </w: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498D5980" w14:textId="77777777" w:rsidR="00A829AC" w:rsidRPr="00A829AC" w:rsidRDefault="00A829AC" w:rsidP="00A829AC">
            <w:pPr>
              <w:widowControl/>
              <w:rPr>
                <w:rFonts w:ascii="Arial" w:hAnsi="Arial" w:cs="Arial"/>
                <w:snapToGrid/>
                <w:color w:val="auto"/>
                <w:sz w:val="18"/>
                <w:szCs w:val="18"/>
              </w:rPr>
            </w:pPr>
          </w:p>
        </w:tc>
        <w:tc>
          <w:tcPr>
            <w:tcW w:w="3162"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tcPr>
          <w:p w14:paraId="4EAF66B4" w14:textId="77777777" w:rsidR="00A829AC" w:rsidRPr="00A829AC" w:rsidRDefault="00A829AC" w:rsidP="00A829AC">
            <w:pPr>
              <w:widowControl/>
              <w:rPr>
                <w:rFonts w:ascii="Arial" w:hAnsi="Arial" w:cs="Arial"/>
                <w:snapToGrid/>
                <w:color w:val="auto"/>
                <w:sz w:val="18"/>
                <w:szCs w:val="18"/>
              </w:rPr>
            </w:pPr>
          </w:p>
        </w:tc>
      </w:tr>
      <w:tr w:rsidR="00A829AC" w:rsidRPr="00A829AC" w14:paraId="6051EDDA" w14:textId="77777777">
        <w:trPr>
          <w:jc w:val="center"/>
        </w:trPr>
        <w:tc>
          <w:tcPr>
            <w:tcW w:w="7375" w:type="dxa"/>
            <w:gridSpan w:val="3"/>
            <w:tcBorders>
              <w:top w:val="single" w:sz="4" w:space="0" w:color="000000"/>
              <w:left w:val="single" w:sz="4" w:space="0" w:color="000000"/>
              <w:bottom w:val="single" w:sz="4" w:space="0" w:color="000000"/>
              <w:right w:val="single" w:sz="4" w:space="0" w:color="000000"/>
            </w:tcBorders>
            <w:shd w:val="clear" w:color="auto" w:fill="C0C0C0"/>
            <w:tcMar>
              <w:top w:w="10" w:type="dxa"/>
              <w:left w:w="10" w:type="dxa"/>
              <w:bottom w:w="10" w:type="dxa"/>
              <w:right w:w="10" w:type="dxa"/>
            </w:tcMar>
          </w:tcPr>
          <w:p w14:paraId="44B8C584" w14:textId="77777777" w:rsidR="00A829AC" w:rsidRPr="00A829AC" w:rsidRDefault="00A829AC" w:rsidP="00A829AC">
            <w:pPr>
              <w:widowControl/>
              <w:rPr>
                <w:rFonts w:ascii="Arial" w:hAnsi="Arial" w:cs="Arial"/>
                <w:snapToGrid/>
                <w:color w:val="auto"/>
                <w:sz w:val="20"/>
                <w:szCs w:val="20"/>
              </w:rPr>
            </w:pPr>
            <w:r w:rsidRPr="00A829AC">
              <w:rPr>
                <w:rFonts w:ascii="Arial" w:hAnsi="Arial" w:cs="Arial"/>
                <w:snapToGrid/>
                <w:color w:val="auto"/>
                <w:sz w:val="20"/>
                <w:szCs w:val="20"/>
              </w:rPr>
              <w:t>SKIN AND SUBCUTANEOUS TISSUE DISORDERS</w:t>
            </w: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7F7E2FA4" w14:textId="77777777" w:rsidR="00A829AC" w:rsidRPr="00A829AC" w:rsidRDefault="00A829AC" w:rsidP="00A829AC">
            <w:pPr>
              <w:widowControl/>
              <w:rPr>
                <w:rFonts w:ascii="Arial" w:hAnsi="Arial" w:cs="Arial"/>
                <w:snapToGrid/>
                <w:color w:val="auto"/>
                <w:sz w:val="20"/>
                <w:szCs w:val="20"/>
              </w:rPr>
            </w:pPr>
          </w:p>
        </w:tc>
        <w:tc>
          <w:tcPr>
            <w:tcW w:w="3162" w:type="dxa"/>
            <w:tcBorders>
              <w:top w:val="single" w:sz="4" w:space="0" w:color="000000"/>
              <w:left w:val="single" w:sz="4" w:space="0" w:color="000000"/>
              <w:bottom w:val="single" w:sz="4" w:space="0" w:color="000000"/>
              <w:right w:val="single" w:sz="4" w:space="0" w:color="000000"/>
            </w:tcBorders>
            <w:shd w:val="clear" w:color="auto" w:fill="C0C0C0"/>
            <w:tcMar>
              <w:top w:w="10" w:type="dxa"/>
              <w:left w:w="10" w:type="dxa"/>
              <w:bottom w:w="10" w:type="dxa"/>
              <w:right w:w="10" w:type="dxa"/>
            </w:tcMar>
          </w:tcPr>
          <w:p w14:paraId="26F6ACDA" w14:textId="77777777" w:rsidR="00A829AC" w:rsidRPr="00A829AC" w:rsidRDefault="00A829AC" w:rsidP="00A829AC">
            <w:pPr>
              <w:widowControl/>
              <w:rPr>
                <w:rFonts w:ascii="Arial" w:hAnsi="Arial" w:cs="Arial"/>
                <w:snapToGrid/>
                <w:color w:val="auto"/>
                <w:sz w:val="20"/>
                <w:szCs w:val="20"/>
              </w:rPr>
            </w:pPr>
          </w:p>
        </w:tc>
      </w:tr>
      <w:tr w:rsidR="00A829AC" w:rsidRPr="00A829AC" w14:paraId="55994A95" w14:textId="77777777">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421EA90D" w14:textId="77777777" w:rsidR="00A829AC" w:rsidRPr="00A829AC" w:rsidRDefault="00A829AC" w:rsidP="00A829AC">
            <w:pPr>
              <w:widowControl/>
              <w:rPr>
                <w:rFonts w:ascii="Arial" w:hAnsi="Arial" w:cs="Arial"/>
                <w:snapToGrid/>
                <w:color w:val="auto"/>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2D481DEF" w14:textId="77777777" w:rsidR="00A829AC" w:rsidRPr="00A829AC" w:rsidRDefault="00A829AC" w:rsidP="00A829AC">
            <w:pPr>
              <w:widowControl/>
              <w:ind w:left="60"/>
              <w:rPr>
                <w:rFonts w:ascii="Arial" w:hAnsi="Arial" w:cs="Arial"/>
                <w:snapToGrid/>
                <w:color w:val="auto"/>
                <w:sz w:val="18"/>
                <w:szCs w:val="18"/>
              </w:rPr>
            </w:pPr>
            <w:r w:rsidRPr="00A829AC">
              <w:rPr>
                <w:rFonts w:ascii="Arial" w:hAnsi="Arial" w:cs="Arial"/>
                <w:snapToGrid/>
                <w:color w:val="auto"/>
                <w:sz w:val="18"/>
                <w:szCs w:val="18"/>
              </w:rPr>
              <w:t>Alopecia</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42B114DE" w14:textId="77777777" w:rsidR="00A829AC" w:rsidRPr="00A829AC" w:rsidRDefault="00A829AC" w:rsidP="00A829AC">
            <w:pPr>
              <w:widowControl/>
              <w:rPr>
                <w:rFonts w:ascii="Arial" w:hAnsi="Arial" w:cs="Arial"/>
                <w:snapToGrid/>
                <w:color w:val="auto"/>
                <w:sz w:val="18"/>
                <w:szCs w:val="18"/>
              </w:rPr>
            </w:pP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1E7A6796" w14:textId="77777777" w:rsidR="00A829AC" w:rsidRPr="00A829AC" w:rsidRDefault="00A829AC" w:rsidP="00A829AC">
            <w:pPr>
              <w:widowControl/>
              <w:rPr>
                <w:rFonts w:ascii="Arial" w:hAnsi="Arial" w:cs="Arial"/>
                <w:snapToGrid/>
                <w:color w:val="auto"/>
                <w:sz w:val="18"/>
                <w:szCs w:val="18"/>
              </w:rPr>
            </w:pPr>
          </w:p>
        </w:tc>
        <w:tc>
          <w:tcPr>
            <w:tcW w:w="3162"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tcPr>
          <w:p w14:paraId="58E49E49" w14:textId="77777777" w:rsidR="00A829AC" w:rsidRPr="00A829AC" w:rsidRDefault="00A829AC" w:rsidP="00A829AC">
            <w:pPr>
              <w:widowControl/>
              <w:rPr>
                <w:rFonts w:ascii="Arial" w:hAnsi="Arial" w:cs="Arial"/>
                <w:snapToGrid/>
                <w:color w:val="auto"/>
                <w:sz w:val="18"/>
                <w:szCs w:val="18"/>
              </w:rPr>
            </w:pPr>
            <w:r w:rsidRPr="00A829AC">
              <w:rPr>
                <w:rFonts w:ascii="Arial" w:hAnsi="Arial" w:cs="Arial"/>
                <w:b/>
                <w:bCs/>
                <w:i/>
                <w:iCs/>
                <w:snapToGrid/>
                <w:color w:val="auto"/>
                <w:sz w:val="18"/>
                <w:szCs w:val="18"/>
              </w:rPr>
              <w:t>Alopecia (Gr 2)</w:t>
            </w:r>
          </w:p>
        </w:tc>
      </w:tr>
      <w:tr w:rsidR="00A829AC" w:rsidRPr="00A829AC" w14:paraId="388A877E" w14:textId="77777777">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74CF1DD4" w14:textId="77777777" w:rsidR="00A829AC" w:rsidRPr="00A829AC" w:rsidRDefault="00A829AC" w:rsidP="00A829AC">
            <w:pPr>
              <w:widowControl/>
              <w:rPr>
                <w:rFonts w:ascii="Arial" w:hAnsi="Arial" w:cs="Arial"/>
                <w:snapToGrid/>
                <w:color w:val="auto"/>
                <w:sz w:val="18"/>
                <w:szCs w:val="18"/>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48B836D7" w14:textId="77777777" w:rsidR="00A829AC" w:rsidRPr="00A829AC" w:rsidRDefault="00A829AC" w:rsidP="00A829AC">
            <w:pPr>
              <w:widowControl/>
              <w:ind w:left="60"/>
              <w:rPr>
                <w:rFonts w:ascii="Arial" w:hAnsi="Arial" w:cs="Arial"/>
                <w:snapToGrid/>
                <w:color w:val="auto"/>
                <w:sz w:val="18"/>
                <w:szCs w:val="18"/>
              </w:rPr>
            </w:pPr>
            <w:r w:rsidRPr="00A829AC">
              <w:rPr>
                <w:rFonts w:ascii="Arial" w:hAnsi="Arial" w:cs="Arial"/>
                <w:snapToGrid/>
                <w:color w:val="auto"/>
                <w:sz w:val="18"/>
                <w:szCs w:val="18"/>
              </w:rPr>
              <w:t>Rash maculo-papular</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5E1CB470" w14:textId="77777777" w:rsidR="00A829AC" w:rsidRPr="00A829AC" w:rsidRDefault="00A829AC" w:rsidP="00A829AC">
            <w:pPr>
              <w:widowControl/>
              <w:rPr>
                <w:rFonts w:ascii="Arial" w:hAnsi="Arial" w:cs="Arial"/>
                <w:snapToGrid/>
                <w:color w:val="auto"/>
                <w:sz w:val="18"/>
                <w:szCs w:val="18"/>
              </w:rPr>
            </w:pP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0E4320D4" w14:textId="77777777" w:rsidR="00A829AC" w:rsidRPr="00A829AC" w:rsidRDefault="00A829AC" w:rsidP="00A829AC">
            <w:pPr>
              <w:widowControl/>
              <w:rPr>
                <w:rFonts w:ascii="Arial" w:hAnsi="Arial" w:cs="Arial"/>
                <w:snapToGrid/>
                <w:color w:val="auto"/>
                <w:sz w:val="18"/>
                <w:szCs w:val="18"/>
              </w:rPr>
            </w:pPr>
          </w:p>
        </w:tc>
        <w:tc>
          <w:tcPr>
            <w:tcW w:w="3162"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tcPr>
          <w:p w14:paraId="404F2D52" w14:textId="77777777" w:rsidR="00A829AC" w:rsidRPr="00A829AC" w:rsidRDefault="00A829AC" w:rsidP="00A829AC">
            <w:pPr>
              <w:widowControl/>
              <w:rPr>
                <w:rFonts w:ascii="Arial" w:hAnsi="Arial" w:cs="Arial"/>
                <w:snapToGrid/>
                <w:color w:val="auto"/>
                <w:sz w:val="18"/>
                <w:szCs w:val="18"/>
              </w:rPr>
            </w:pPr>
            <w:r w:rsidRPr="00A829AC">
              <w:rPr>
                <w:rFonts w:ascii="Arial" w:hAnsi="Arial" w:cs="Arial"/>
                <w:b/>
                <w:bCs/>
                <w:i/>
                <w:iCs/>
                <w:snapToGrid/>
                <w:color w:val="auto"/>
                <w:sz w:val="18"/>
                <w:szCs w:val="18"/>
              </w:rPr>
              <w:t>Rash maculo-papular (Gr 2)</w:t>
            </w:r>
          </w:p>
        </w:tc>
      </w:tr>
      <w:tr w:rsidR="00A829AC" w:rsidRPr="00A829AC" w14:paraId="3F42D1A5" w14:textId="77777777">
        <w:trPr>
          <w:jc w:val="center"/>
        </w:trPr>
        <w:tc>
          <w:tcPr>
            <w:tcW w:w="7375" w:type="dxa"/>
            <w:gridSpan w:val="3"/>
            <w:tcBorders>
              <w:top w:val="single" w:sz="4" w:space="0" w:color="000000"/>
              <w:left w:val="single" w:sz="4" w:space="0" w:color="000000"/>
              <w:bottom w:val="single" w:sz="4" w:space="0" w:color="000000"/>
              <w:right w:val="single" w:sz="4" w:space="0" w:color="000000"/>
            </w:tcBorders>
            <w:shd w:val="clear" w:color="auto" w:fill="C0C0C0"/>
            <w:tcMar>
              <w:top w:w="10" w:type="dxa"/>
              <w:left w:w="10" w:type="dxa"/>
              <w:bottom w:w="10" w:type="dxa"/>
              <w:right w:w="10" w:type="dxa"/>
            </w:tcMar>
          </w:tcPr>
          <w:p w14:paraId="357CCB69" w14:textId="77777777" w:rsidR="00A829AC" w:rsidRPr="00A829AC" w:rsidRDefault="00A829AC" w:rsidP="00A829AC">
            <w:pPr>
              <w:widowControl/>
              <w:rPr>
                <w:rFonts w:ascii="Arial" w:hAnsi="Arial" w:cs="Arial"/>
                <w:snapToGrid/>
                <w:color w:val="auto"/>
                <w:sz w:val="20"/>
                <w:szCs w:val="20"/>
              </w:rPr>
            </w:pPr>
            <w:r w:rsidRPr="00A829AC">
              <w:rPr>
                <w:rFonts w:ascii="Arial" w:hAnsi="Arial" w:cs="Arial"/>
                <w:snapToGrid/>
                <w:color w:val="auto"/>
                <w:sz w:val="20"/>
                <w:szCs w:val="20"/>
              </w:rPr>
              <w:t>VASCULAR DISORDERS</w:t>
            </w: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0F943E6F" w14:textId="77777777" w:rsidR="00A829AC" w:rsidRPr="00A829AC" w:rsidRDefault="00A829AC" w:rsidP="00A829AC">
            <w:pPr>
              <w:widowControl/>
              <w:rPr>
                <w:rFonts w:ascii="Arial" w:hAnsi="Arial" w:cs="Arial"/>
                <w:snapToGrid/>
                <w:color w:val="auto"/>
                <w:sz w:val="20"/>
                <w:szCs w:val="20"/>
              </w:rPr>
            </w:pPr>
          </w:p>
        </w:tc>
        <w:tc>
          <w:tcPr>
            <w:tcW w:w="3162" w:type="dxa"/>
            <w:tcBorders>
              <w:top w:val="single" w:sz="4" w:space="0" w:color="000000"/>
              <w:left w:val="single" w:sz="4" w:space="0" w:color="000000"/>
              <w:bottom w:val="single" w:sz="4" w:space="0" w:color="000000"/>
              <w:right w:val="single" w:sz="4" w:space="0" w:color="000000"/>
            </w:tcBorders>
            <w:shd w:val="clear" w:color="auto" w:fill="C0C0C0"/>
            <w:tcMar>
              <w:top w:w="10" w:type="dxa"/>
              <w:left w:w="10" w:type="dxa"/>
              <w:bottom w:w="10" w:type="dxa"/>
              <w:right w:w="10" w:type="dxa"/>
            </w:tcMar>
          </w:tcPr>
          <w:p w14:paraId="452BE025" w14:textId="77777777" w:rsidR="00A829AC" w:rsidRPr="00A829AC" w:rsidRDefault="00A829AC" w:rsidP="00A829AC">
            <w:pPr>
              <w:widowControl/>
              <w:rPr>
                <w:rFonts w:ascii="Arial" w:hAnsi="Arial" w:cs="Arial"/>
                <w:snapToGrid/>
                <w:color w:val="auto"/>
                <w:sz w:val="20"/>
                <w:szCs w:val="20"/>
              </w:rPr>
            </w:pPr>
          </w:p>
        </w:tc>
      </w:tr>
      <w:tr w:rsidR="00A829AC" w:rsidRPr="00A829AC" w14:paraId="110CC2F8" w14:textId="77777777">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0171777E" w14:textId="77777777" w:rsidR="00A829AC" w:rsidRPr="00A829AC" w:rsidRDefault="00A829AC" w:rsidP="00A829AC">
            <w:pPr>
              <w:widowControl/>
              <w:rPr>
                <w:rFonts w:ascii="Arial" w:hAnsi="Arial" w:cs="Arial"/>
                <w:snapToGrid/>
                <w:color w:val="auto"/>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7901DA5D" w14:textId="77777777" w:rsidR="00A829AC" w:rsidRPr="00A829AC" w:rsidRDefault="00A829AC" w:rsidP="00A829AC">
            <w:pPr>
              <w:widowControl/>
              <w:ind w:left="60"/>
              <w:rPr>
                <w:rFonts w:ascii="Arial" w:hAnsi="Arial" w:cs="Arial"/>
                <w:snapToGrid/>
                <w:color w:val="auto"/>
                <w:sz w:val="18"/>
                <w:szCs w:val="18"/>
              </w:rPr>
            </w:pPr>
            <w:r w:rsidRPr="00A829AC">
              <w:rPr>
                <w:rFonts w:ascii="Arial" w:hAnsi="Arial" w:cs="Arial"/>
                <w:snapToGrid/>
                <w:color w:val="auto"/>
                <w:sz w:val="18"/>
                <w:szCs w:val="18"/>
              </w:rPr>
              <w:t>Flushing</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57230777" w14:textId="77777777" w:rsidR="00A829AC" w:rsidRPr="00A829AC" w:rsidRDefault="00A829AC" w:rsidP="00A829AC">
            <w:pPr>
              <w:widowControl/>
              <w:rPr>
                <w:rFonts w:ascii="Arial" w:hAnsi="Arial" w:cs="Arial"/>
                <w:snapToGrid/>
                <w:color w:val="auto"/>
                <w:sz w:val="18"/>
                <w:szCs w:val="18"/>
              </w:rPr>
            </w:pP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75E231F9" w14:textId="77777777" w:rsidR="00A829AC" w:rsidRPr="00A829AC" w:rsidRDefault="00A829AC" w:rsidP="00A829AC">
            <w:pPr>
              <w:widowControl/>
              <w:rPr>
                <w:rFonts w:ascii="Arial" w:hAnsi="Arial" w:cs="Arial"/>
                <w:snapToGrid/>
                <w:color w:val="auto"/>
                <w:sz w:val="18"/>
                <w:szCs w:val="18"/>
              </w:rPr>
            </w:pPr>
          </w:p>
        </w:tc>
        <w:tc>
          <w:tcPr>
            <w:tcW w:w="3162"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tcPr>
          <w:p w14:paraId="01A4242F" w14:textId="77777777" w:rsidR="00A829AC" w:rsidRPr="00A829AC" w:rsidRDefault="00A829AC" w:rsidP="00A829AC">
            <w:pPr>
              <w:widowControl/>
              <w:rPr>
                <w:rFonts w:ascii="Arial" w:hAnsi="Arial" w:cs="Arial"/>
                <w:snapToGrid/>
                <w:color w:val="auto"/>
                <w:sz w:val="18"/>
                <w:szCs w:val="18"/>
              </w:rPr>
            </w:pPr>
            <w:r w:rsidRPr="00A829AC">
              <w:rPr>
                <w:rFonts w:ascii="Arial" w:hAnsi="Arial" w:cs="Arial"/>
                <w:b/>
                <w:bCs/>
                <w:i/>
                <w:iCs/>
                <w:snapToGrid/>
                <w:color w:val="auto"/>
                <w:sz w:val="18"/>
                <w:szCs w:val="18"/>
              </w:rPr>
              <w:t>Flushing (Gr 2)</w:t>
            </w:r>
          </w:p>
        </w:tc>
      </w:tr>
      <w:tr w:rsidR="00A829AC" w:rsidRPr="00A829AC" w14:paraId="301F5FFA" w14:textId="77777777">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31A057CC" w14:textId="77777777" w:rsidR="00A829AC" w:rsidRPr="00A829AC" w:rsidRDefault="00A829AC" w:rsidP="00A829AC">
            <w:pPr>
              <w:widowControl/>
              <w:rPr>
                <w:rFonts w:ascii="Arial" w:hAnsi="Arial" w:cs="Arial"/>
                <w:snapToGrid/>
                <w:color w:val="auto"/>
                <w:sz w:val="18"/>
                <w:szCs w:val="18"/>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6F54F8D2" w14:textId="77777777" w:rsidR="00A829AC" w:rsidRPr="00A829AC" w:rsidRDefault="00A829AC" w:rsidP="00A829AC">
            <w:pPr>
              <w:widowControl/>
              <w:ind w:left="60"/>
              <w:rPr>
                <w:rFonts w:ascii="Arial" w:hAnsi="Arial" w:cs="Arial"/>
                <w:snapToGrid/>
                <w:color w:val="auto"/>
                <w:sz w:val="18"/>
                <w:szCs w:val="18"/>
              </w:rPr>
            </w:pPr>
            <w:r w:rsidRPr="00A829AC">
              <w:rPr>
                <w:rFonts w:ascii="Arial" w:hAnsi="Arial" w:cs="Arial"/>
                <w:snapToGrid/>
                <w:color w:val="auto"/>
                <w:sz w:val="18"/>
                <w:szCs w:val="18"/>
              </w:rPr>
              <w:t>Hypertension</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29DA9254" w14:textId="77777777" w:rsidR="00A829AC" w:rsidRPr="00A829AC" w:rsidRDefault="00A829AC" w:rsidP="00A829AC">
            <w:pPr>
              <w:widowControl/>
              <w:rPr>
                <w:rFonts w:ascii="Arial" w:hAnsi="Arial" w:cs="Arial"/>
                <w:snapToGrid/>
                <w:color w:val="auto"/>
                <w:sz w:val="18"/>
                <w:szCs w:val="18"/>
              </w:rPr>
            </w:pP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412C7051" w14:textId="77777777" w:rsidR="00A829AC" w:rsidRPr="00A829AC" w:rsidRDefault="00A829AC" w:rsidP="00A829AC">
            <w:pPr>
              <w:widowControl/>
              <w:rPr>
                <w:rFonts w:ascii="Arial" w:hAnsi="Arial" w:cs="Arial"/>
                <w:snapToGrid/>
                <w:color w:val="auto"/>
                <w:sz w:val="18"/>
                <w:szCs w:val="18"/>
              </w:rPr>
            </w:pPr>
          </w:p>
        </w:tc>
        <w:tc>
          <w:tcPr>
            <w:tcW w:w="3162"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tcPr>
          <w:p w14:paraId="60DD980F" w14:textId="77777777" w:rsidR="00A829AC" w:rsidRPr="00A829AC" w:rsidRDefault="00A829AC" w:rsidP="00A829AC">
            <w:pPr>
              <w:widowControl/>
              <w:rPr>
                <w:rFonts w:ascii="Arial" w:hAnsi="Arial" w:cs="Arial"/>
                <w:snapToGrid/>
                <w:color w:val="auto"/>
                <w:sz w:val="18"/>
                <w:szCs w:val="18"/>
              </w:rPr>
            </w:pPr>
            <w:r w:rsidRPr="00A829AC">
              <w:rPr>
                <w:rFonts w:ascii="Arial" w:hAnsi="Arial" w:cs="Arial"/>
                <w:b/>
                <w:bCs/>
                <w:i/>
                <w:iCs/>
                <w:snapToGrid/>
                <w:color w:val="auto"/>
                <w:sz w:val="18"/>
                <w:szCs w:val="18"/>
              </w:rPr>
              <w:t>Hypertension (Gr 2)</w:t>
            </w:r>
          </w:p>
        </w:tc>
      </w:tr>
      <w:tr w:rsidR="00A829AC" w:rsidRPr="00A829AC" w14:paraId="404336BF" w14:textId="77777777">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3EB1BC35" w14:textId="77777777" w:rsidR="00A829AC" w:rsidRPr="00A829AC" w:rsidRDefault="00A829AC" w:rsidP="00A829AC">
            <w:pPr>
              <w:widowControl/>
              <w:rPr>
                <w:rFonts w:ascii="Arial" w:hAnsi="Arial" w:cs="Arial"/>
                <w:snapToGrid/>
                <w:color w:val="auto"/>
                <w:sz w:val="18"/>
                <w:szCs w:val="18"/>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438E148C" w14:textId="77777777" w:rsidR="00A829AC" w:rsidRPr="00A829AC" w:rsidRDefault="00A829AC" w:rsidP="00A829AC">
            <w:pPr>
              <w:widowControl/>
              <w:ind w:left="60"/>
              <w:rPr>
                <w:rFonts w:ascii="Arial" w:hAnsi="Arial" w:cs="Arial"/>
                <w:snapToGrid/>
                <w:color w:val="auto"/>
                <w:sz w:val="18"/>
                <w:szCs w:val="18"/>
              </w:rPr>
            </w:pPr>
            <w:r w:rsidRPr="00A829AC">
              <w:rPr>
                <w:rFonts w:ascii="Arial" w:hAnsi="Arial" w:cs="Arial"/>
                <w:snapToGrid/>
                <w:color w:val="auto"/>
                <w:sz w:val="18"/>
                <w:szCs w:val="18"/>
              </w:rPr>
              <w:t>Hypotension</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14:paraId="3CB709CA" w14:textId="77777777" w:rsidR="00A829AC" w:rsidRPr="00A829AC" w:rsidRDefault="00A829AC" w:rsidP="00A829AC">
            <w:pPr>
              <w:widowControl/>
              <w:rPr>
                <w:rFonts w:ascii="Arial" w:hAnsi="Arial" w:cs="Arial"/>
                <w:snapToGrid/>
                <w:color w:val="auto"/>
                <w:sz w:val="18"/>
                <w:szCs w:val="18"/>
              </w:rPr>
            </w:pPr>
          </w:p>
        </w:tc>
        <w:tc>
          <w:tcPr>
            <w:tcW w:w="90" w:type="dxa"/>
            <w:tcBorders>
              <w:top w:val="single" w:sz="4" w:space="0" w:color="000000"/>
              <w:left w:val="single" w:sz="4" w:space="0" w:color="000000"/>
              <w:bottom w:val="single" w:sz="4" w:space="0" w:color="000000"/>
              <w:right w:val="single" w:sz="4" w:space="0" w:color="000000"/>
            </w:tcBorders>
            <w:shd w:val="clear" w:color="auto" w:fill="000000"/>
            <w:tcMar>
              <w:top w:w="10" w:type="dxa"/>
              <w:left w:w="10" w:type="dxa"/>
              <w:bottom w:w="10" w:type="dxa"/>
              <w:right w:w="10" w:type="dxa"/>
            </w:tcMar>
          </w:tcPr>
          <w:p w14:paraId="54FF566F" w14:textId="77777777" w:rsidR="00A829AC" w:rsidRPr="00A829AC" w:rsidRDefault="00A829AC" w:rsidP="00A829AC">
            <w:pPr>
              <w:widowControl/>
              <w:rPr>
                <w:rFonts w:ascii="Arial" w:hAnsi="Arial" w:cs="Arial"/>
                <w:snapToGrid/>
                <w:color w:val="auto"/>
                <w:sz w:val="18"/>
                <w:szCs w:val="18"/>
              </w:rPr>
            </w:pPr>
          </w:p>
        </w:tc>
        <w:tc>
          <w:tcPr>
            <w:tcW w:w="3162" w:type="dxa"/>
            <w:tcBorders>
              <w:top w:val="single" w:sz="4" w:space="0" w:color="000000"/>
              <w:left w:val="single" w:sz="4" w:space="0" w:color="000000"/>
              <w:bottom w:val="single" w:sz="4" w:space="0" w:color="000000"/>
              <w:right w:val="single" w:sz="4" w:space="0" w:color="000000"/>
            </w:tcBorders>
            <w:shd w:val="clear" w:color="auto" w:fill="CCFFCC"/>
            <w:tcMar>
              <w:top w:w="10" w:type="dxa"/>
              <w:left w:w="10" w:type="dxa"/>
              <w:bottom w:w="10" w:type="dxa"/>
              <w:right w:w="10" w:type="dxa"/>
            </w:tcMar>
          </w:tcPr>
          <w:p w14:paraId="62A3C82C" w14:textId="77777777" w:rsidR="00A829AC" w:rsidRPr="00A829AC" w:rsidRDefault="00A829AC" w:rsidP="00A829AC">
            <w:pPr>
              <w:widowControl/>
              <w:rPr>
                <w:rFonts w:ascii="Arial" w:hAnsi="Arial" w:cs="Arial"/>
                <w:snapToGrid/>
                <w:color w:val="auto"/>
                <w:sz w:val="18"/>
                <w:szCs w:val="18"/>
              </w:rPr>
            </w:pPr>
            <w:r w:rsidRPr="00A829AC">
              <w:rPr>
                <w:rFonts w:ascii="Arial" w:hAnsi="Arial" w:cs="Arial"/>
                <w:b/>
                <w:bCs/>
                <w:i/>
                <w:iCs/>
                <w:snapToGrid/>
                <w:color w:val="auto"/>
                <w:sz w:val="18"/>
                <w:szCs w:val="18"/>
              </w:rPr>
              <w:t>Hypotension (Gr 2)</w:t>
            </w:r>
          </w:p>
        </w:tc>
      </w:tr>
    </w:tbl>
    <w:p w14:paraId="6D981367" w14:textId="77777777" w:rsidR="00A829AC" w:rsidRPr="00A829AC" w:rsidRDefault="00A829AC" w:rsidP="00A829AC">
      <w:pPr>
        <w:widowControl/>
        <w:rPr>
          <w:rFonts w:ascii="Arial" w:hAnsi="Arial" w:cs="Arial"/>
          <w:snapToGrid/>
          <w:color w:val="auto"/>
          <w:sz w:val="20"/>
          <w:szCs w:val="20"/>
          <w:vertAlign w:val="superscript"/>
        </w:rPr>
      </w:pPr>
    </w:p>
    <w:p w14:paraId="7E2D4456" w14:textId="77777777" w:rsidR="00A829AC" w:rsidRPr="00A829AC" w:rsidRDefault="00A829AC" w:rsidP="00A829AC">
      <w:pPr>
        <w:widowControl/>
        <w:rPr>
          <w:rFonts w:ascii="Arial" w:hAnsi="Arial" w:cs="Arial"/>
          <w:snapToGrid/>
          <w:color w:val="auto"/>
          <w:sz w:val="20"/>
          <w:szCs w:val="20"/>
        </w:rPr>
      </w:pPr>
      <w:r w:rsidRPr="00A829AC">
        <w:rPr>
          <w:rFonts w:ascii="Arial" w:hAnsi="Arial" w:cs="Arial"/>
          <w:snapToGrid/>
          <w:color w:val="auto"/>
          <w:sz w:val="20"/>
          <w:szCs w:val="20"/>
          <w:vertAlign w:val="superscript"/>
        </w:rPr>
        <w:lastRenderedPageBreak/>
        <w:t>1</w:t>
      </w:r>
      <w:r w:rsidRPr="00A829AC">
        <w:rPr>
          <w:rFonts w:ascii="Arial" w:hAnsi="Arial" w:cs="Arial"/>
          <w:snapToGrid/>
          <w:color w:val="auto"/>
          <w:sz w:val="20"/>
          <w:szCs w:val="20"/>
        </w:rPr>
        <w:t xml:space="preserve">This table will be updated as the toxicity profile of the agent is revised.  Updates will be distributed to all Principal Investigators at the time of revision.  The current version can be obtained by contacting </w:t>
      </w:r>
      <w:r w:rsidRPr="00A829AC">
        <w:rPr>
          <w:rFonts w:ascii="Arial" w:hAnsi="Arial" w:cs="Arial"/>
          <w:snapToGrid/>
          <w:color w:val="0000FF"/>
          <w:sz w:val="20"/>
          <w:szCs w:val="20"/>
          <w:u w:val="single"/>
        </w:rPr>
        <w:t>PIO@CTEP.NCI.NIH.GOV</w:t>
      </w:r>
      <w:r w:rsidRPr="00A829AC">
        <w:rPr>
          <w:rFonts w:ascii="Arial" w:hAnsi="Arial" w:cs="Arial"/>
          <w:snapToGrid/>
          <w:color w:val="auto"/>
          <w:sz w:val="20"/>
          <w:szCs w:val="20"/>
        </w:rPr>
        <w:t>.  Your name, the name of the investigator, the protocol and the agent should be included in the e-mail.</w:t>
      </w:r>
    </w:p>
    <w:p w14:paraId="29A38311" w14:textId="77777777" w:rsidR="00A829AC" w:rsidRPr="00A829AC" w:rsidRDefault="00A829AC" w:rsidP="00A829AC">
      <w:pPr>
        <w:widowControl/>
        <w:rPr>
          <w:rFonts w:ascii="Arial" w:hAnsi="Arial" w:cs="Arial"/>
          <w:snapToGrid/>
          <w:color w:val="auto"/>
          <w:sz w:val="20"/>
          <w:szCs w:val="20"/>
        </w:rPr>
      </w:pPr>
    </w:p>
    <w:p w14:paraId="00E7E557" w14:textId="77777777" w:rsidR="00A829AC" w:rsidRPr="00A829AC" w:rsidRDefault="00A829AC" w:rsidP="00A829AC">
      <w:pPr>
        <w:widowControl/>
        <w:rPr>
          <w:rFonts w:ascii="Arial" w:hAnsi="Arial" w:cs="Arial"/>
          <w:noProof/>
          <w:snapToGrid/>
          <w:color w:val="auto"/>
          <w:sz w:val="20"/>
          <w:szCs w:val="20"/>
        </w:rPr>
      </w:pPr>
      <w:bookmarkStart w:id="114" w:name="_ENREF_2"/>
      <w:r w:rsidRPr="00A829AC">
        <w:rPr>
          <w:rFonts w:ascii="Arial" w:hAnsi="Arial" w:cs="Arial"/>
          <w:noProof/>
          <w:snapToGrid/>
          <w:color w:val="auto"/>
          <w:sz w:val="20"/>
          <w:szCs w:val="20"/>
          <w:vertAlign w:val="superscript"/>
        </w:rPr>
        <w:t>2</w:t>
      </w:r>
      <w:r w:rsidRPr="00A829AC">
        <w:rPr>
          <w:rFonts w:ascii="Arial" w:hAnsi="Arial" w:cs="Arial"/>
          <w:noProof/>
          <w:snapToGrid/>
          <w:color w:val="auto"/>
          <w:sz w:val="20"/>
          <w:szCs w:val="20"/>
        </w:rPr>
        <w:t>Infection includes all 75 sites of infection under the INFECTIONS AND INFESTATIONS SOC.</w:t>
      </w:r>
      <w:bookmarkEnd w:id="114"/>
    </w:p>
    <w:p w14:paraId="5B55FCFE" w14:textId="77777777" w:rsidR="00A829AC" w:rsidRPr="00A829AC" w:rsidRDefault="00A829AC" w:rsidP="00A829AC">
      <w:pPr>
        <w:widowControl/>
        <w:rPr>
          <w:rFonts w:ascii="Arial" w:hAnsi="Arial" w:cs="Arial"/>
          <w:b/>
          <w:bCs/>
          <w:snapToGrid/>
          <w:color w:val="auto"/>
          <w:sz w:val="20"/>
          <w:szCs w:val="20"/>
        </w:rPr>
      </w:pPr>
    </w:p>
    <w:p w14:paraId="0CD77392" w14:textId="77777777" w:rsidR="00A829AC" w:rsidRPr="00A829AC" w:rsidRDefault="00A829AC" w:rsidP="00A829AC">
      <w:pPr>
        <w:widowControl/>
        <w:rPr>
          <w:rFonts w:ascii="Arial" w:hAnsi="Arial" w:cs="Arial"/>
          <w:b/>
          <w:bCs/>
          <w:snapToGrid/>
          <w:color w:val="auto"/>
          <w:sz w:val="20"/>
          <w:szCs w:val="20"/>
        </w:rPr>
      </w:pPr>
      <w:r w:rsidRPr="00A829AC">
        <w:rPr>
          <w:rFonts w:ascii="Arial" w:hAnsi="Arial" w:cs="Arial"/>
          <w:b/>
          <w:bCs/>
          <w:snapToGrid/>
          <w:color w:val="auto"/>
          <w:sz w:val="20"/>
          <w:szCs w:val="20"/>
        </w:rPr>
        <w:t>Adverse events reported on Triapine</w:t>
      </w:r>
      <w:r w:rsidRPr="00A829AC">
        <w:rPr>
          <w:rFonts w:ascii="Arial" w:hAnsi="Arial" w:cs="Arial"/>
          <w:b/>
          <w:bCs/>
          <w:snapToGrid/>
          <w:color w:val="auto"/>
          <w:sz w:val="20"/>
          <w:szCs w:val="20"/>
          <w:vertAlign w:val="superscript"/>
        </w:rPr>
        <w:t>®</w:t>
      </w:r>
      <w:r w:rsidRPr="00A829AC">
        <w:rPr>
          <w:rFonts w:ascii="Arial" w:hAnsi="Arial" w:cs="Arial"/>
          <w:b/>
          <w:bCs/>
          <w:snapToGrid/>
          <w:color w:val="auto"/>
          <w:sz w:val="20"/>
          <w:szCs w:val="20"/>
        </w:rPr>
        <w:t xml:space="preserve"> trials, but for which there is insufficient evidence to suggest that there was a reasonable possibility that Triapine</w:t>
      </w:r>
      <w:r w:rsidRPr="00A829AC">
        <w:rPr>
          <w:rFonts w:ascii="Arial" w:hAnsi="Arial" w:cs="Arial"/>
          <w:b/>
          <w:bCs/>
          <w:snapToGrid/>
          <w:color w:val="auto"/>
          <w:sz w:val="20"/>
          <w:szCs w:val="20"/>
          <w:vertAlign w:val="superscript"/>
        </w:rPr>
        <w:t>®</w:t>
      </w:r>
      <w:r w:rsidRPr="00A829AC">
        <w:rPr>
          <w:rFonts w:ascii="Arial" w:hAnsi="Arial" w:cs="Arial"/>
          <w:b/>
          <w:bCs/>
          <w:snapToGrid/>
          <w:color w:val="auto"/>
          <w:sz w:val="20"/>
          <w:szCs w:val="20"/>
        </w:rPr>
        <w:t xml:space="preserve"> caused the adverse event:</w:t>
      </w:r>
    </w:p>
    <w:p w14:paraId="40795812" w14:textId="77777777" w:rsidR="00A829AC" w:rsidRPr="00A829AC" w:rsidRDefault="00A829AC" w:rsidP="00A829AC">
      <w:pPr>
        <w:widowControl/>
        <w:rPr>
          <w:rFonts w:ascii="Arial" w:hAnsi="Arial" w:cs="Arial"/>
          <w:snapToGrid/>
          <w:color w:val="auto"/>
          <w:sz w:val="20"/>
          <w:szCs w:val="20"/>
        </w:rPr>
      </w:pPr>
    </w:p>
    <w:p w14:paraId="0A346E94" w14:textId="77777777" w:rsidR="00A829AC" w:rsidRPr="00A829AC" w:rsidRDefault="00A829AC" w:rsidP="00A829AC">
      <w:pPr>
        <w:widowControl/>
        <w:rPr>
          <w:rFonts w:ascii="Arial" w:hAnsi="Arial" w:cs="Arial"/>
          <w:snapToGrid/>
          <w:color w:val="auto"/>
          <w:sz w:val="20"/>
          <w:szCs w:val="20"/>
        </w:rPr>
      </w:pPr>
      <w:r w:rsidRPr="00A829AC">
        <w:rPr>
          <w:rFonts w:ascii="Arial" w:hAnsi="Arial" w:cs="Arial"/>
          <w:b/>
          <w:bCs/>
          <w:snapToGrid/>
          <w:color w:val="auto"/>
          <w:sz w:val="20"/>
          <w:szCs w:val="20"/>
        </w:rPr>
        <w:t>BLOOD AND LYMPHATIC SYSTEM DISORDERS</w:t>
      </w:r>
      <w:r w:rsidRPr="00A829AC">
        <w:rPr>
          <w:rFonts w:ascii="Arial" w:hAnsi="Arial" w:cs="Arial"/>
          <w:snapToGrid/>
          <w:color w:val="auto"/>
          <w:sz w:val="20"/>
          <w:szCs w:val="20"/>
        </w:rPr>
        <w:t xml:space="preserve"> - Blood and lymphatic system disorders - Other (spleen disorder); Blood and lymphatic system disorders - Other (monocytosis); Disseminated intravascular coagulation; Hemolytic uremic syndrome; Leukocytosis; Thrombotic thrombocytopenic purpura</w:t>
      </w:r>
    </w:p>
    <w:p w14:paraId="1882D48C" w14:textId="77777777" w:rsidR="00A829AC" w:rsidRPr="00A829AC" w:rsidRDefault="00A829AC" w:rsidP="00A829AC">
      <w:pPr>
        <w:widowControl/>
        <w:rPr>
          <w:rFonts w:ascii="Arial" w:hAnsi="Arial" w:cs="Arial"/>
          <w:snapToGrid/>
          <w:color w:val="auto"/>
          <w:sz w:val="20"/>
          <w:szCs w:val="20"/>
        </w:rPr>
      </w:pPr>
      <w:r w:rsidRPr="00A829AC">
        <w:rPr>
          <w:rFonts w:ascii="Arial" w:hAnsi="Arial" w:cs="Arial"/>
          <w:b/>
          <w:bCs/>
          <w:snapToGrid/>
          <w:color w:val="auto"/>
          <w:sz w:val="20"/>
          <w:szCs w:val="20"/>
        </w:rPr>
        <w:t>CARDIAC DISORDERS</w:t>
      </w:r>
      <w:r w:rsidRPr="00A829AC">
        <w:rPr>
          <w:rFonts w:ascii="Arial" w:hAnsi="Arial" w:cs="Arial"/>
          <w:snapToGrid/>
          <w:color w:val="auto"/>
          <w:sz w:val="20"/>
          <w:szCs w:val="20"/>
        </w:rPr>
        <w:t xml:space="preserve"> - Atrial fibrillation; Cardiac disorders - Other (cardiovascular edema); Cardiac disorders - Other (premature ventricular contraction); Myocardial infarction; Palpitations; Pericardial effusion; Restrictive cardiomyopathy; Sinus tachycardia; Ventricular tachycardia</w:t>
      </w:r>
    </w:p>
    <w:p w14:paraId="6E20BBD9" w14:textId="77777777" w:rsidR="00A829AC" w:rsidRPr="00A829AC" w:rsidRDefault="00A829AC" w:rsidP="00A829AC">
      <w:pPr>
        <w:widowControl/>
        <w:rPr>
          <w:rFonts w:ascii="Arial" w:hAnsi="Arial" w:cs="Arial"/>
          <w:snapToGrid/>
          <w:color w:val="auto"/>
          <w:sz w:val="20"/>
          <w:szCs w:val="20"/>
        </w:rPr>
      </w:pPr>
      <w:r w:rsidRPr="00A829AC">
        <w:rPr>
          <w:rFonts w:ascii="Arial" w:hAnsi="Arial" w:cs="Arial"/>
          <w:b/>
          <w:bCs/>
          <w:snapToGrid/>
          <w:color w:val="auto"/>
          <w:sz w:val="20"/>
          <w:szCs w:val="20"/>
        </w:rPr>
        <w:t>EAR AND LABYRINTH DISORDERS</w:t>
      </w:r>
      <w:r w:rsidRPr="00A829AC">
        <w:rPr>
          <w:rFonts w:ascii="Arial" w:hAnsi="Arial" w:cs="Arial"/>
          <w:snapToGrid/>
          <w:color w:val="auto"/>
          <w:sz w:val="20"/>
          <w:szCs w:val="20"/>
        </w:rPr>
        <w:t xml:space="preserve"> - Ear and labyrinth disorders - Other (ear congestion); Ear and labyrinth disorders - Other (hyperacusis); Ear pain; Hearing impaired; Middle ear inflammation; Tinnitus; Vertigo</w:t>
      </w:r>
    </w:p>
    <w:p w14:paraId="78D36E7D" w14:textId="77777777" w:rsidR="00A829AC" w:rsidRPr="00A829AC" w:rsidRDefault="00A829AC" w:rsidP="00A829AC">
      <w:pPr>
        <w:widowControl/>
        <w:rPr>
          <w:rFonts w:ascii="Arial" w:hAnsi="Arial" w:cs="Arial"/>
          <w:snapToGrid/>
          <w:color w:val="auto"/>
          <w:sz w:val="20"/>
          <w:szCs w:val="20"/>
        </w:rPr>
      </w:pPr>
      <w:r w:rsidRPr="00A829AC">
        <w:rPr>
          <w:rFonts w:ascii="Arial" w:hAnsi="Arial" w:cs="Arial"/>
          <w:b/>
          <w:bCs/>
          <w:snapToGrid/>
          <w:color w:val="auto"/>
          <w:sz w:val="20"/>
          <w:szCs w:val="20"/>
        </w:rPr>
        <w:t>EYE DISORDERS</w:t>
      </w:r>
      <w:r w:rsidRPr="00A829AC">
        <w:rPr>
          <w:rFonts w:ascii="Arial" w:hAnsi="Arial" w:cs="Arial"/>
          <w:snapToGrid/>
          <w:color w:val="auto"/>
          <w:sz w:val="20"/>
          <w:szCs w:val="20"/>
        </w:rPr>
        <w:t xml:space="preserve"> - Dry eye; Watering eyes</w:t>
      </w:r>
    </w:p>
    <w:p w14:paraId="62429896" w14:textId="77777777" w:rsidR="00A829AC" w:rsidRPr="00A829AC" w:rsidRDefault="00A829AC" w:rsidP="00A829AC">
      <w:pPr>
        <w:widowControl/>
        <w:rPr>
          <w:rFonts w:ascii="Arial" w:hAnsi="Arial" w:cs="Arial"/>
          <w:snapToGrid/>
          <w:color w:val="auto"/>
          <w:sz w:val="20"/>
          <w:szCs w:val="20"/>
        </w:rPr>
      </w:pPr>
      <w:r w:rsidRPr="00A829AC">
        <w:rPr>
          <w:rFonts w:ascii="Arial" w:hAnsi="Arial" w:cs="Arial"/>
          <w:b/>
          <w:bCs/>
          <w:snapToGrid/>
          <w:color w:val="auto"/>
          <w:sz w:val="20"/>
          <w:szCs w:val="20"/>
        </w:rPr>
        <w:t>GASTROINTESTINAL DISORDERS</w:t>
      </w:r>
      <w:r w:rsidRPr="00A829AC">
        <w:rPr>
          <w:rFonts w:ascii="Arial" w:hAnsi="Arial" w:cs="Arial"/>
          <w:snapToGrid/>
          <w:color w:val="auto"/>
          <w:sz w:val="20"/>
          <w:szCs w:val="20"/>
        </w:rPr>
        <w:t xml:space="preserve"> - Abdominal pain; Ascites; Dry mouth; Dysphagia; Esophagitis; Flatulence; Gastrointestinal disorders - Other (glossitis); Gastrointestinal disorders - Other (leukoplakia of the mouth); Gastrointestinal disorders - Other (mouth ulceration); Gastrointestinal disorders - Other (salivary hypersecretion); Gastrointestinal disorders - Other (steatorrhea); Gastrointestinal disorders - Other (stool discoloration); Gastrointestinal disorders - Other (tongue discoloration); Hemorrhoids; Ileus; Oral hemorrhage; Pancreatitis; Rectal hemorrhage; Small intestinal obstruction</w:t>
      </w:r>
    </w:p>
    <w:p w14:paraId="2FE490FA" w14:textId="77777777" w:rsidR="00A829AC" w:rsidRPr="00A829AC" w:rsidRDefault="00A829AC" w:rsidP="00A829AC">
      <w:pPr>
        <w:widowControl/>
        <w:rPr>
          <w:rFonts w:ascii="Arial" w:hAnsi="Arial" w:cs="Arial"/>
          <w:snapToGrid/>
          <w:color w:val="auto"/>
          <w:sz w:val="20"/>
          <w:szCs w:val="20"/>
        </w:rPr>
      </w:pPr>
      <w:r w:rsidRPr="00A829AC">
        <w:rPr>
          <w:rFonts w:ascii="Arial" w:hAnsi="Arial" w:cs="Arial"/>
          <w:b/>
          <w:bCs/>
          <w:snapToGrid/>
          <w:color w:val="auto"/>
          <w:sz w:val="20"/>
          <w:szCs w:val="20"/>
        </w:rPr>
        <w:t>GENERAL DISORDERS AND ADMINISTRATION SITE CONDITIONS</w:t>
      </w:r>
      <w:r w:rsidRPr="00A829AC">
        <w:rPr>
          <w:rFonts w:ascii="Arial" w:hAnsi="Arial" w:cs="Arial"/>
          <w:snapToGrid/>
          <w:color w:val="auto"/>
          <w:sz w:val="20"/>
          <w:szCs w:val="20"/>
        </w:rPr>
        <w:t xml:space="preserve"> - Death NOS; Edema face; Edema limbs; Flu like symptoms; General disorders and administration site conditions - Other (extravasation); Malaise; Non-cardiac chest pain; Pain; Sudden death NOS</w:t>
      </w:r>
    </w:p>
    <w:p w14:paraId="6E9AA288" w14:textId="77777777" w:rsidR="00A829AC" w:rsidRPr="00A829AC" w:rsidRDefault="00A829AC" w:rsidP="00A829AC">
      <w:pPr>
        <w:widowControl/>
        <w:rPr>
          <w:rFonts w:ascii="Arial" w:hAnsi="Arial" w:cs="Arial"/>
          <w:snapToGrid/>
          <w:color w:val="auto"/>
          <w:sz w:val="20"/>
          <w:szCs w:val="20"/>
        </w:rPr>
      </w:pPr>
      <w:r w:rsidRPr="00A829AC">
        <w:rPr>
          <w:rFonts w:ascii="Arial" w:hAnsi="Arial" w:cs="Arial"/>
          <w:b/>
          <w:bCs/>
          <w:snapToGrid/>
          <w:color w:val="auto"/>
          <w:sz w:val="20"/>
          <w:szCs w:val="20"/>
        </w:rPr>
        <w:t>HEPATOBILIARY DISORDERS</w:t>
      </w:r>
      <w:r w:rsidRPr="00A829AC">
        <w:rPr>
          <w:rFonts w:ascii="Arial" w:hAnsi="Arial" w:cs="Arial"/>
          <w:snapToGrid/>
          <w:color w:val="auto"/>
          <w:sz w:val="20"/>
          <w:szCs w:val="20"/>
        </w:rPr>
        <w:t xml:space="preserve"> - Hepatobiliary disorders - Other (hepatomegaly); Hepatobiliary disorders - Other (jaundice); Hepatobiliary disorders - Other (liver tenderness)</w:t>
      </w:r>
    </w:p>
    <w:p w14:paraId="3D5A21D5" w14:textId="77777777" w:rsidR="00A829AC" w:rsidRPr="00A829AC" w:rsidRDefault="00A829AC" w:rsidP="00A829AC">
      <w:pPr>
        <w:widowControl/>
        <w:rPr>
          <w:rFonts w:ascii="Arial" w:hAnsi="Arial" w:cs="Arial"/>
          <w:snapToGrid/>
          <w:color w:val="auto"/>
          <w:sz w:val="20"/>
          <w:szCs w:val="20"/>
        </w:rPr>
      </w:pPr>
      <w:r w:rsidRPr="00A829AC">
        <w:rPr>
          <w:rFonts w:ascii="Arial" w:hAnsi="Arial" w:cs="Arial"/>
          <w:b/>
          <w:bCs/>
          <w:snapToGrid/>
          <w:color w:val="auto"/>
          <w:sz w:val="20"/>
          <w:szCs w:val="20"/>
        </w:rPr>
        <w:t>IMMUNE SYSTEM DISORDERS</w:t>
      </w:r>
      <w:r w:rsidRPr="00A829AC">
        <w:rPr>
          <w:rFonts w:ascii="Arial" w:hAnsi="Arial" w:cs="Arial"/>
          <w:snapToGrid/>
          <w:color w:val="auto"/>
          <w:sz w:val="20"/>
          <w:szCs w:val="20"/>
        </w:rPr>
        <w:t xml:space="preserve"> - Allergic reaction; Anaphylaxis; Cytokine release syndrome</w:t>
      </w:r>
    </w:p>
    <w:p w14:paraId="45D0CDE8" w14:textId="77777777" w:rsidR="00A829AC" w:rsidRPr="00A829AC" w:rsidRDefault="00A829AC" w:rsidP="00A829AC">
      <w:pPr>
        <w:widowControl/>
        <w:rPr>
          <w:rFonts w:ascii="Arial" w:hAnsi="Arial" w:cs="Arial"/>
          <w:snapToGrid/>
          <w:color w:val="auto"/>
          <w:sz w:val="20"/>
          <w:szCs w:val="20"/>
        </w:rPr>
      </w:pPr>
      <w:r w:rsidRPr="00A829AC">
        <w:rPr>
          <w:rFonts w:ascii="Arial" w:hAnsi="Arial" w:cs="Arial"/>
          <w:b/>
          <w:bCs/>
          <w:snapToGrid/>
          <w:color w:val="auto"/>
          <w:sz w:val="20"/>
          <w:szCs w:val="20"/>
        </w:rPr>
        <w:t>INJURY, POISONING AND PROCEDURAL COMPLICATIONS</w:t>
      </w:r>
      <w:r w:rsidRPr="00A829AC">
        <w:rPr>
          <w:rFonts w:ascii="Arial" w:hAnsi="Arial" w:cs="Arial"/>
          <w:snapToGrid/>
          <w:color w:val="auto"/>
          <w:sz w:val="20"/>
          <w:szCs w:val="20"/>
        </w:rPr>
        <w:t xml:space="preserve"> - Infusion related reaction</w:t>
      </w:r>
    </w:p>
    <w:p w14:paraId="76781BD6" w14:textId="77777777" w:rsidR="00A829AC" w:rsidRPr="00A829AC" w:rsidRDefault="00A829AC" w:rsidP="00A829AC">
      <w:pPr>
        <w:widowControl/>
        <w:rPr>
          <w:rFonts w:ascii="Arial" w:hAnsi="Arial" w:cs="Arial"/>
          <w:snapToGrid/>
          <w:color w:val="auto"/>
          <w:sz w:val="20"/>
          <w:szCs w:val="20"/>
        </w:rPr>
      </w:pPr>
      <w:r w:rsidRPr="00A829AC">
        <w:rPr>
          <w:rFonts w:ascii="Arial" w:hAnsi="Arial" w:cs="Arial"/>
          <w:b/>
          <w:bCs/>
          <w:snapToGrid/>
          <w:color w:val="auto"/>
          <w:sz w:val="20"/>
          <w:szCs w:val="20"/>
        </w:rPr>
        <w:t>INVESTIGATIONS</w:t>
      </w:r>
      <w:r w:rsidRPr="00A829AC">
        <w:rPr>
          <w:rFonts w:ascii="Arial" w:hAnsi="Arial" w:cs="Arial"/>
          <w:snapToGrid/>
          <w:color w:val="auto"/>
          <w:sz w:val="20"/>
          <w:szCs w:val="20"/>
        </w:rPr>
        <w:t xml:space="preserve"> - Activated partial thromboplastin time prolonged; Blood lactate dehydrogenase increased; CPK increased; Cholesterol high; GGT increased; INR increased; Investigations - Other (BUN increased); Investigations - Other (C-reactive protein increased); Investigations - Other (NPN increased); Investigations - Other (PT decreased); Investigations - Other (sedimentation rate increased); Serum amylase increased; Weight gain</w:t>
      </w:r>
    </w:p>
    <w:p w14:paraId="78D0E9C8" w14:textId="77777777" w:rsidR="00A829AC" w:rsidRPr="00A829AC" w:rsidRDefault="00A829AC" w:rsidP="00A829AC">
      <w:pPr>
        <w:widowControl/>
        <w:rPr>
          <w:rFonts w:ascii="Arial" w:hAnsi="Arial" w:cs="Arial"/>
          <w:snapToGrid/>
          <w:color w:val="auto"/>
          <w:sz w:val="20"/>
          <w:szCs w:val="20"/>
        </w:rPr>
      </w:pPr>
      <w:r w:rsidRPr="00A829AC">
        <w:rPr>
          <w:rFonts w:ascii="Arial" w:hAnsi="Arial" w:cs="Arial"/>
          <w:b/>
          <w:bCs/>
          <w:snapToGrid/>
          <w:color w:val="auto"/>
          <w:sz w:val="20"/>
          <w:szCs w:val="20"/>
        </w:rPr>
        <w:t>METABOLISM AND NUTRITION DISORDERS</w:t>
      </w:r>
      <w:r w:rsidRPr="00A829AC">
        <w:rPr>
          <w:rFonts w:ascii="Arial" w:hAnsi="Arial" w:cs="Arial"/>
          <w:snapToGrid/>
          <w:color w:val="auto"/>
          <w:sz w:val="20"/>
          <w:szCs w:val="20"/>
        </w:rPr>
        <w:t xml:space="preserve"> - Acidosis; Alkalosis; Hyperglycemia; Hypernatremia; Hyperuricemia; Hypocalcemia; Hypoglycemia; Hypomagnesemia; Hyponatremia; Hypophosphatemia; Iron overload; Metabolism and nutrition disorders - Other (hypoproteinemia); Tumor lysis syndrome</w:t>
      </w:r>
    </w:p>
    <w:p w14:paraId="01A5A668" w14:textId="77777777" w:rsidR="00A829AC" w:rsidRPr="00A829AC" w:rsidRDefault="00A829AC" w:rsidP="00A829AC">
      <w:pPr>
        <w:widowControl/>
        <w:rPr>
          <w:rFonts w:ascii="Arial" w:hAnsi="Arial" w:cs="Arial"/>
          <w:snapToGrid/>
          <w:color w:val="auto"/>
          <w:sz w:val="20"/>
          <w:szCs w:val="20"/>
        </w:rPr>
      </w:pPr>
      <w:r w:rsidRPr="00A829AC">
        <w:rPr>
          <w:rFonts w:ascii="Arial" w:hAnsi="Arial" w:cs="Arial"/>
          <w:b/>
          <w:bCs/>
          <w:snapToGrid/>
          <w:color w:val="auto"/>
          <w:sz w:val="20"/>
          <w:szCs w:val="20"/>
        </w:rPr>
        <w:t>MUSCULOSKELETAL AND CONNECTIVE TISSUE DISORDERS</w:t>
      </w:r>
      <w:r w:rsidRPr="00A829AC">
        <w:rPr>
          <w:rFonts w:ascii="Arial" w:hAnsi="Arial" w:cs="Arial"/>
          <w:snapToGrid/>
          <w:color w:val="auto"/>
          <w:sz w:val="20"/>
          <w:szCs w:val="20"/>
        </w:rPr>
        <w:t xml:space="preserve"> - Arthralgia; Arthritis; Back pain; Bone pain; Chest wall pain; Generalized muscle weakness; Musculoskeletal and connective tissue disorder - Other (hypertonia); Musculoskeletal and connective tissue disorder - Other (leg cramps); Musculoskeletal and connective tissue disorder - Other (myoglobin); Musculoskeletal and connective tissue disorder - Other (twitching); Pain in extremity</w:t>
      </w:r>
    </w:p>
    <w:p w14:paraId="4AED83ED" w14:textId="77777777" w:rsidR="00A829AC" w:rsidRPr="00A829AC" w:rsidRDefault="00A829AC" w:rsidP="00A829AC">
      <w:pPr>
        <w:widowControl/>
        <w:rPr>
          <w:rFonts w:ascii="Arial" w:hAnsi="Arial" w:cs="Arial"/>
          <w:snapToGrid/>
          <w:color w:val="auto"/>
          <w:sz w:val="20"/>
          <w:szCs w:val="20"/>
        </w:rPr>
      </w:pPr>
      <w:r w:rsidRPr="00A829AC">
        <w:rPr>
          <w:rFonts w:ascii="Arial" w:hAnsi="Arial" w:cs="Arial"/>
          <w:b/>
          <w:bCs/>
          <w:snapToGrid/>
          <w:color w:val="auto"/>
          <w:sz w:val="20"/>
          <w:szCs w:val="20"/>
        </w:rPr>
        <w:t>NERVOUS SYSTEM DISORDERS</w:t>
      </w:r>
      <w:r w:rsidRPr="00A829AC">
        <w:rPr>
          <w:rFonts w:ascii="Arial" w:hAnsi="Arial" w:cs="Arial"/>
          <w:snapToGrid/>
          <w:color w:val="auto"/>
          <w:sz w:val="20"/>
          <w:szCs w:val="20"/>
        </w:rPr>
        <w:t xml:space="preserve"> - Amnesia; Cognitive disturbance; Depressed level of consciousness; Dysesthesia; Intracranial hemorrhage; Ischemia cerebrovascular; Lethargy; Nervous system disorders - Other (cerebellar toxicity); Nervous system disorders - Other (reflexes decreased); Paresthesia; Peripheral motor neuropathy; Peripheral sensory neuropathy; Seizure; Somnolence; Syncope; Tremor</w:t>
      </w:r>
    </w:p>
    <w:p w14:paraId="14EAF205" w14:textId="77777777" w:rsidR="00A829AC" w:rsidRPr="00A829AC" w:rsidRDefault="00A829AC" w:rsidP="00A829AC">
      <w:pPr>
        <w:widowControl/>
        <w:rPr>
          <w:rFonts w:ascii="Arial" w:hAnsi="Arial" w:cs="Arial"/>
          <w:snapToGrid/>
          <w:color w:val="auto"/>
          <w:sz w:val="20"/>
          <w:szCs w:val="20"/>
        </w:rPr>
      </w:pPr>
      <w:r w:rsidRPr="00A829AC">
        <w:rPr>
          <w:rFonts w:ascii="Arial" w:hAnsi="Arial" w:cs="Arial"/>
          <w:b/>
          <w:bCs/>
          <w:snapToGrid/>
          <w:color w:val="auto"/>
          <w:sz w:val="20"/>
          <w:szCs w:val="20"/>
        </w:rPr>
        <w:t>PSYCHIATRIC DISORDERS</w:t>
      </w:r>
      <w:r w:rsidRPr="00A829AC">
        <w:rPr>
          <w:rFonts w:ascii="Arial" w:hAnsi="Arial" w:cs="Arial"/>
          <w:snapToGrid/>
          <w:color w:val="auto"/>
          <w:sz w:val="20"/>
          <w:szCs w:val="20"/>
        </w:rPr>
        <w:t xml:space="preserve"> - Anxiety; Confusion; Delayed orgasm; Delirium; Depression; Insomnia; Personality change</w:t>
      </w:r>
    </w:p>
    <w:p w14:paraId="14535D5F" w14:textId="77777777" w:rsidR="00A829AC" w:rsidRPr="00A829AC" w:rsidRDefault="00A829AC" w:rsidP="00A829AC">
      <w:pPr>
        <w:widowControl/>
        <w:rPr>
          <w:rFonts w:ascii="Arial" w:hAnsi="Arial" w:cs="Arial"/>
          <w:snapToGrid/>
          <w:color w:val="auto"/>
          <w:sz w:val="20"/>
          <w:szCs w:val="20"/>
        </w:rPr>
      </w:pPr>
      <w:r w:rsidRPr="00A829AC">
        <w:rPr>
          <w:rFonts w:ascii="Arial" w:hAnsi="Arial" w:cs="Arial"/>
          <w:b/>
          <w:bCs/>
          <w:snapToGrid/>
          <w:color w:val="auto"/>
          <w:sz w:val="20"/>
          <w:szCs w:val="20"/>
        </w:rPr>
        <w:t>RENAL AND URINARY DISORDERS</w:t>
      </w:r>
      <w:r w:rsidRPr="00A829AC">
        <w:rPr>
          <w:rFonts w:ascii="Arial" w:hAnsi="Arial" w:cs="Arial"/>
          <w:snapToGrid/>
          <w:color w:val="auto"/>
          <w:sz w:val="20"/>
          <w:szCs w:val="20"/>
        </w:rPr>
        <w:t xml:space="preserve"> - Acute kidney injury; Cystitis noninfective; Hematuria; Urinary frequency; Urinary tract pain; Urine discoloration</w:t>
      </w:r>
    </w:p>
    <w:p w14:paraId="5D31B7CA" w14:textId="77777777" w:rsidR="00A829AC" w:rsidRPr="00A829AC" w:rsidRDefault="00A829AC" w:rsidP="00A829AC">
      <w:pPr>
        <w:widowControl/>
        <w:rPr>
          <w:rFonts w:ascii="Arial" w:hAnsi="Arial" w:cs="Arial"/>
          <w:snapToGrid/>
          <w:color w:val="auto"/>
          <w:sz w:val="20"/>
          <w:szCs w:val="20"/>
        </w:rPr>
      </w:pPr>
      <w:r w:rsidRPr="00A829AC">
        <w:rPr>
          <w:rFonts w:ascii="Arial" w:hAnsi="Arial" w:cs="Arial"/>
          <w:b/>
          <w:bCs/>
          <w:snapToGrid/>
          <w:color w:val="auto"/>
          <w:sz w:val="20"/>
          <w:szCs w:val="20"/>
        </w:rPr>
        <w:lastRenderedPageBreak/>
        <w:t>REPRODUCTIVE SYSTEM AND BREAST DISORDERS</w:t>
      </w:r>
      <w:r w:rsidRPr="00A829AC">
        <w:rPr>
          <w:rFonts w:ascii="Arial" w:hAnsi="Arial" w:cs="Arial"/>
          <w:snapToGrid/>
          <w:color w:val="auto"/>
          <w:sz w:val="20"/>
          <w:szCs w:val="20"/>
        </w:rPr>
        <w:t xml:space="preserve"> - Erectile dysfunction; Genital edema; Vaginal hemorrhage</w:t>
      </w:r>
    </w:p>
    <w:p w14:paraId="576495A6" w14:textId="77777777" w:rsidR="00A829AC" w:rsidRPr="00A829AC" w:rsidRDefault="00A829AC" w:rsidP="00A829AC">
      <w:pPr>
        <w:widowControl/>
        <w:rPr>
          <w:rFonts w:ascii="Arial" w:hAnsi="Arial" w:cs="Arial"/>
          <w:snapToGrid/>
          <w:color w:val="auto"/>
          <w:sz w:val="20"/>
          <w:szCs w:val="20"/>
        </w:rPr>
      </w:pPr>
      <w:r w:rsidRPr="00A829AC">
        <w:rPr>
          <w:rFonts w:ascii="Arial" w:hAnsi="Arial" w:cs="Arial"/>
          <w:b/>
          <w:bCs/>
          <w:snapToGrid/>
          <w:color w:val="auto"/>
          <w:sz w:val="20"/>
          <w:szCs w:val="20"/>
        </w:rPr>
        <w:t>RESPIRATORY, THORACIC AND MEDIASTINAL DISORDERS</w:t>
      </w:r>
      <w:r w:rsidRPr="00A829AC">
        <w:rPr>
          <w:rFonts w:ascii="Arial" w:hAnsi="Arial" w:cs="Arial"/>
          <w:snapToGrid/>
          <w:color w:val="auto"/>
          <w:sz w:val="20"/>
          <w:szCs w:val="20"/>
        </w:rPr>
        <w:t xml:space="preserve"> - Adult respiratory distress syndrome; Apnea; Epistaxis; Hiccups; Laryngospasm; Pleural effusion; Voice alteration</w:t>
      </w:r>
    </w:p>
    <w:p w14:paraId="48CDF644" w14:textId="77777777" w:rsidR="00A829AC" w:rsidRPr="00A829AC" w:rsidRDefault="00A829AC" w:rsidP="00A829AC">
      <w:pPr>
        <w:widowControl/>
        <w:rPr>
          <w:rFonts w:ascii="Arial" w:hAnsi="Arial" w:cs="Arial"/>
          <w:snapToGrid/>
          <w:color w:val="auto"/>
          <w:sz w:val="20"/>
          <w:szCs w:val="20"/>
        </w:rPr>
      </w:pPr>
      <w:r w:rsidRPr="00A829AC">
        <w:rPr>
          <w:rFonts w:ascii="Arial" w:hAnsi="Arial" w:cs="Arial"/>
          <w:b/>
          <w:bCs/>
          <w:snapToGrid/>
          <w:color w:val="auto"/>
          <w:sz w:val="20"/>
          <w:szCs w:val="20"/>
        </w:rPr>
        <w:t>SKIN AND SUBCUTANEOUS TISSUE DISORDERS</w:t>
      </w:r>
      <w:r w:rsidRPr="00A829AC">
        <w:rPr>
          <w:rFonts w:ascii="Arial" w:hAnsi="Arial" w:cs="Arial"/>
          <w:snapToGrid/>
          <w:color w:val="auto"/>
          <w:sz w:val="20"/>
          <w:szCs w:val="20"/>
        </w:rPr>
        <w:t xml:space="preserve"> - Dry skin; Erythema multiforme; Hirsutism; Hyperhidrosis; Photosensitivity; Pruritus; Skin and subcutaneous tissue disorders - Other (Skin nodule); Skin ulceration; Stevens-Johnson syndrome</w:t>
      </w:r>
    </w:p>
    <w:p w14:paraId="206D7D4D" w14:textId="77777777" w:rsidR="00A829AC" w:rsidRPr="00A829AC" w:rsidRDefault="00A829AC" w:rsidP="00A829AC">
      <w:pPr>
        <w:widowControl/>
        <w:rPr>
          <w:rFonts w:ascii="Arial" w:hAnsi="Arial" w:cs="Arial"/>
          <w:snapToGrid/>
          <w:color w:val="auto"/>
          <w:sz w:val="20"/>
          <w:szCs w:val="20"/>
        </w:rPr>
      </w:pPr>
      <w:r w:rsidRPr="00A829AC">
        <w:rPr>
          <w:rFonts w:ascii="Arial" w:hAnsi="Arial" w:cs="Arial"/>
          <w:b/>
          <w:bCs/>
          <w:snapToGrid/>
          <w:color w:val="auto"/>
          <w:sz w:val="20"/>
          <w:szCs w:val="20"/>
        </w:rPr>
        <w:t>VASCULAR DISORDERS</w:t>
      </w:r>
      <w:r w:rsidRPr="00A829AC">
        <w:rPr>
          <w:rFonts w:ascii="Arial" w:hAnsi="Arial" w:cs="Arial"/>
          <w:snapToGrid/>
          <w:color w:val="auto"/>
          <w:sz w:val="20"/>
          <w:szCs w:val="20"/>
        </w:rPr>
        <w:t xml:space="preserve"> - Hematoma; Phlebitis; Thromboembolic event; Vascular disorders - Other (pallor); Vascular disorders - Other (vasodilation)</w:t>
      </w:r>
    </w:p>
    <w:p w14:paraId="236CAA59" w14:textId="77777777" w:rsidR="00A829AC" w:rsidRPr="00A829AC" w:rsidRDefault="00A829AC" w:rsidP="00A829AC">
      <w:pPr>
        <w:widowControl/>
        <w:rPr>
          <w:rFonts w:ascii="Arial" w:hAnsi="Arial" w:cs="Arial"/>
          <w:snapToGrid/>
          <w:color w:val="auto"/>
          <w:sz w:val="20"/>
          <w:szCs w:val="20"/>
        </w:rPr>
      </w:pPr>
    </w:p>
    <w:p w14:paraId="1ACFD4BA" w14:textId="77777777" w:rsidR="00A829AC" w:rsidRPr="00A829AC" w:rsidRDefault="00A829AC" w:rsidP="00A829AC">
      <w:pPr>
        <w:widowControl/>
        <w:rPr>
          <w:rFonts w:ascii="Arial" w:hAnsi="Arial" w:cs="Arial"/>
          <w:snapToGrid/>
          <w:color w:val="auto"/>
          <w:sz w:val="20"/>
          <w:szCs w:val="20"/>
        </w:rPr>
      </w:pPr>
      <w:r w:rsidRPr="00A829AC">
        <w:rPr>
          <w:rFonts w:ascii="Arial" w:hAnsi="Arial" w:cs="Arial"/>
          <w:b/>
          <w:bCs/>
          <w:snapToGrid/>
          <w:color w:val="auto"/>
          <w:sz w:val="20"/>
          <w:szCs w:val="20"/>
        </w:rPr>
        <w:t>Note</w:t>
      </w:r>
      <w:r w:rsidRPr="00A829AC">
        <w:rPr>
          <w:rFonts w:ascii="Arial" w:hAnsi="Arial" w:cs="Arial"/>
          <w:snapToGrid/>
          <w:color w:val="auto"/>
          <w:sz w:val="20"/>
          <w:szCs w:val="20"/>
        </w:rPr>
        <w:t>: Triapine</w:t>
      </w:r>
      <w:r w:rsidRPr="00A829AC">
        <w:rPr>
          <w:rFonts w:ascii="Arial" w:hAnsi="Arial" w:cs="Arial"/>
          <w:snapToGrid/>
          <w:color w:val="auto"/>
          <w:sz w:val="20"/>
          <w:szCs w:val="20"/>
          <w:vertAlign w:val="superscript"/>
        </w:rPr>
        <w:t>®</w:t>
      </w:r>
      <w:r w:rsidRPr="00A829AC">
        <w:rPr>
          <w:rFonts w:ascii="Arial" w:hAnsi="Arial" w:cs="Arial"/>
          <w:snapToGrid/>
          <w:color w:val="auto"/>
          <w:sz w:val="20"/>
          <w:szCs w:val="20"/>
        </w:rPr>
        <w:t xml:space="preserve"> in combination with other agents could cause an exacerbation of any adverse event currently known to be caused by the other agent, or the combination may result in events never previously associated with either agent.</w:t>
      </w:r>
    </w:p>
    <w:p w14:paraId="01A4A348" w14:textId="77777777" w:rsidR="009E246E" w:rsidRPr="00267967" w:rsidRDefault="009E246E" w:rsidP="0060526B">
      <w:pPr>
        <w:pStyle w:val="BodyTextIndent"/>
        <w:tabs>
          <w:tab w:val="clear" w:pos="-1056"/>
          <w:tab w:val="clear" w:pos="-720"/>
          <w:tab w:val="clear" w:pos="0"/>
          <w:tab w:val="clear" w:pos="348"/>
          <w:tab w:val="clear" w:pos="720"/>
          <w:tab w:val="clear" w:pos="1092"/>
          <w:tab w:val="clear" w:pos="1438"/>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s>
        <w:ind w:left="0"/>
        <w:rPr>
          <w:iCs/>
        </w:rPr>
      </w:pPr>
    </w:p>
    <w:p w14:paraId="2418B29C" w14:textId="77777777" w:rsidR="009E246E" w:rsidRPr="004C65CC" w:rsidRDefault="009E246E" w:rsidP="00C94562">
      <w:pPr>
        <w:pStyle w:val="Heading2"/>
      </w:pPr>
      <w:bookmarkStart w:id="115" w:name="_Toc318813019"/>
      <w:bookmarkStart w:id="116" w:name="_Toc176419930"/>
      <w:r w:rsidRPr="004C65CC">
        <w:t>Adverse Event Characteristics</w:t>
      </w:r>
      <w:bookmarkEnd w:id="115"/>
      <w:bookmarkEnd w:id="116"/>
      <w:r w:rsidRPr="004C65CC">
        <w:t xml:space="preserve"> </w:t>
      </w:r>
    </w:p>
    <w:p w14:paraId="6288E004" w14:textId="77777777" w:rsidR="009E246E" w:rsidRPr="007300F3" w:rsidRDefault="009E246E" w:rsidP="009E246E"/>
    <w:p w14:paraId="3806DA86" w14:textId="7C709B2A" w:rsidR="009E246E" w:rsidRPr="00A12150" w:rsidRDefault="009E246E" w:rsidP="00562B10">
      <w:pPr>
        <w:pStyle w:val="ListParagraph"/>
        <w:numPr>
          <w:ilvl w:val="0"/>
          <w:numId w:val="23"/>
        </w:numPr>
        <w:rPr>
          <w:bCs/>
          <w:iCs/>
        </w:rPr>
      </w:pPr>
      <w:r w:rsidRPr="00A12150">
        <w:rPr>
          <w:b/>
          <w:bCs/>
        </w:rPr>
        <w:t xml:space="preserve">CTCAE term (AE description) and grade:  </w:t>
      </w:r>
      <w:r w:rsidRPr="00A12150">
        <w:rPr>
          <w:bCs/>
          <w:iCs/>
        </w:rPr>
        <w:t xml:space="preserve">The descriptions and grading scales found in the revised NCI Common Terminology Criteria for Adverse Events (CTCAE) version </w:t>
      </w:r>
      <w:r w:rsidR="00592BD5">
        <w:rPr>
          <w:bCs/>
          <w:iCs/>
        </w:rPr>
        <w:t>5.0</w:t>
      </w:r>
      <w:r w:rsidRPr="00A12150">
        <w:rPr>
          <w:bCs/>
          <w:iCs/>
        </w:rPr>
        <w:t xml:space="preserve"> will be utilized for AE reporting.  All appropriate treatment areas should have access to a copy of the CTCAE version </w:t>
      </w:r>
      <w:r w:rsidR="00592BD5">
        <w:rPr>
          <w:bCs/>
          <w:iCs/>
        </w:rPr>
        <w:t>5.0</w:t>
      </w:r>
      <w:r w:rsidRPr="00A12150">
        <w:rPr>
          <w:bCs/>
          <w:iCs/>
        </w:rPr>
        <w:t xml:space="preserve">.  A copy of the CTCAE version </w:t>
      </w:r>
      <w:r w:rsidR="00592BD5">
        <w:rPr>
          <w:bCs/>
          <w:iCs/>
        </w:rPr>
        <w:t>5.0</w:t>
      </w:r>
      <w:r w:rsidRPr="00A12150">
        <w:rPr>
          <w:bCs/>
          <w:iCs/>
        </w:rPr>
        <w:t xml:space="preserve"> can be downloaded from the CTEP </w:t>
      </w:r>
      <w:r w:rsidR="00B60158">
        <w:rPr>
          <w:bCs/>
          <w:iCs/>
        </w:rPr>
        <w:t>website</w:t>
      </w:r>
      <w:r w:rsidRPr="00A12150">
        <w:rPr>
          <w:bCs/>
          <w:iCs/>
        </w:rPr>
        <w:t xml:space="preserve"> </w:t>
      </w:r>
      <w:hyperlink r:id="rId72" w:history="1">
        <w:r w:rsidR="001C6DB3" w:rsidRPr="0091739B">
          <w:rPr>
            <w:rStyle w:val="Hyperlink"/>
            <w:bCs/>
            <w:iCs/>
          </w:rPr>
          <w:t>http://ctep.cancer.gov/protocolDevelopment/electronic_applications/ctc.htm</w:t>
        </w:r>
      </w:hyperlink>
      <w:r>
        <w:rPr>
          <w:bCs/>
          <w:iCs/>
        </w:rPr>
        <w:t>.</w:t>
      </w:r>
    </w:p>
    <w:p w14:paraId="79FA1966" w14:textId="77777777" w:rsidR="009E246E" w:rsidRPr="00352828" w:rsidRDefault="009E246E" w:rsidP="009E246E">
      <w:pPr>
        <w:ind w:left="720"/>
      </w:pPr>
    </w:p>
    <w:p w14:paraId="0AAD4C47" w14:textId="77777777" w:rsidR="009E246E" w:rsidRPr="00A12150" w:rsidRDefault="009E246E" w:rsidP="00562B10">
      <w:pPr>
        <w:pStyle w:val="ListParagraph"/>
        <w:numPr>
          <w:ilvl w:val="0"/>
          <w:numId w:val="23"/>
        </w:numPr>
        <w:rPr>
          <w:b/>
          <w:u w:val="single"/>
        </w:rPr>
      </w:pPr>
      <w:r w:rsidRPr="00A12150">
        <w:rPr>
          <w:b/>
          <w:bCs/>
        </w:rPr>
        <w:t>F</w:t>
      </w:r>
      <w:r w:rsidRPr="00A12150">
        <w:rPr>
          <w:b/>
        </w:rPr>
        <w:t xml:space="preserve">or expedited reporting purposes only:  </w:t>
      </w:r>
    </w:p>
    <w:p w14:paraId="3553FAC3" w14:textId="00ABFFE0" w:rsidR="009E246E" w:rsidRPr="00A12150" w:rsidRDefault="009E246E" w:rsidP="00562B10">
      <w:pPr>
        <w:pStyle w:val="ListParagraph"/>
        <w:numPr>
          <w:ilvl w:val="0"/>
          <w:numId w:val="26"/>
        </w:numPr>
        <w:ind w:left="1080"/>
        <w:rPr>
          <w:u w:val="single"/>
        </w:rPr>
      </w:pPr>
      <w:r w:rsidRPr="007300F3">
        <w:t xml:space="preserve">AEs </w:t>
      </w:r>
      <w:r>
        <w:t xml:space="preserve">for the </w:t>
      </w:r>
      <w:r w:rsidRPr="00A12150">
        <w:rPr>
          <w:u w:val="single"/>
        </w:rPr>
        <w:t>agent</w:t>
      </w:r>
      <w:r>
        <w:t xml:space="preserve"> that</w:t>
      </w:r>
      <w:r w:rsidRPr="007300F3">
        <w:t xml:space="preserve"> are </w:t>
      </w:r>
      <w:r w:rsidRPr="00A12150">
        <w:rPr>
          <w:b/>
          <w:i/>
        </w:rPr>
        <w:t>bold and italicized</w:t>
      </w:r>
      <w:r w:rsidRPr="007300F3">
        <w:t xml:space="preserve"> in the CAEPR (</w:t>
      </w:r>
      <w:r w:rsidRPr="00A12150">
        <w:rPr>
          <w:i/>
        </w:rPr>
        <w:t>i.e.</w:t>
      </w:r>
      <w:r>
        <w:t xml:space="preserve">, those listed in </w:t>
      </w:r>
      <w:r w:rsidRPr="007300F3">
        <w:t xml:space="preserve">the </w:t>
      </w:r>
      <w:r>
        <w:t xml:space="preserve">SPEER column, </w:t>
      </w:r>
      <w:r w:rsidRPr="007300F3">
        <w:t xml:space="preserve">Section </w:t>
      </w:r>
      <w:r w:rsidR="009C1A6B">
        <w:t>10</w:t>
      </w:r>
      <w:r w:rsidRPr="007300F3">
        <w:t>.1)</w:t>
      </w:r>
      <w:r>
        <w:t xml:space="preserve"> should be reported through CTEP-AERS only if the grade is above the grade provided in the SPEER</w:t>
      </w:r>
      <w:r w:rsidRPr="007300F3">
        <w:t>.</w:t>
      </w:r>
    </w:p>
    <w:p w14:paraId="1C54DC1E" w14:textId="77777777" w:rsidR="009E246E" w:rsidRPr="007300F3" w:rsidRDefault="009E246E" w:rsidP="009E246E"/>
    <w:p w14:paraId="7E8D384C" w14:textId="77777777" w:rsidR="009E246E" w:rsidRPr="00A12150" w:rsidRDefault="009E246E" w:rsidP="00562B10">
      <w:pPr>
        <w:pStyle w:val="ListParagraph"/>
        <w:numPr>
          <w:ilvl w:val="0"/>
          <w:numId w:val="24"/>
        </w:numPr>
        <w:ind w:left="720"/>
        <w:rPr>
          <w:u w:val="single"/>
        </w:rPr>
      </w:pPr>
      <w:r w:rsidRPr="00A12150">
        <w:rPr>
          <w:b/>
          <w:bCs/>
        </w:rPr>
        <w:t>Attribution</w:t>
      </w:r>
      <w:r w:rsidRPr="007300F3">
        <w:t xml:space="preserve"> of the AE:</w:t>
      </w:r>
    </w:p>
    <w:p w14:paraId="0AB5ADCE" w14:textId="77777777" w:rsidR="009E246E" w:rsidRPr="007300F3" w:rsidRDefault="009E246E" w:rsidP="00562B10">
      <w:pPr>
        <w:pStyle w:val="Quick"/>
        <w:widowControl/>
        <w:numPr>
          <w:ilvl w:val="1"/>
          <w:numId w:val="25"/>
        </w:numPr>
        <w:tabs>
          <w:tab w:val="clear" w:pos="2808"/>
        </w:tabs>
        <w:ind w:left="1080"/>
      </w:pPr>
      <w:r w:rsidRPr="007300F3">
        <w:t xml:space="preserve">Definite – The AE </w:t>
      </w:r>
      <w:r w:rsidRPr="007300F3">
        <w:rPr>
          <w:i/>
          <w:iCs/>
        </w:rPr>
        <w:t>is clearly related</w:t>
      </w:r>
      <w:r w:rsidRPr="007300F3">
        <w:t xml:space="preserve"> to the study treatment.</w:t>
      </w:r>
    </w:p>
    <w:p w14:paraId="76D9646A" w14:textId="77777777" w:rsidR="009E246E" w:rsidRPr="007300F3" w:rsidRDefault="009E246E" w:rsidP="00562B10">
      <w:pPr>
        <w:pStyle w:val="Quick"/>
        <w:widowControl/>
        <w:numPr>
          <w:ilvl w:val="1"/>
          <w:numId w:val="25"/>
        </w:numPr>
        <w:tabs>
          <w:tab w:val="clear" w:pos="2808"/>
        </w:tabs>
        <w:ind w:left="1080"/>
      </w:pPr>
      <w:r w:rsidRPr="007300F3">
        <w:t xml:space="preserve">Probable – The AE </w:t>
      </w:r>
      <w:r w:rsidRPr="007300F3">
        <w:rPr>
          <w:i/>
          <w:iCs/>
        </w:rPr>
        <w:t xml:space="preserve">is likely related </w:t>
      </w:r>
      <w:r w:rsidRPr="007300F3">
        <w:t>to the study treatment.</w:t>
      </w:r>
    </w:p>
    <w:p w14:paraId="0CEE39A3" w14:textId="77777777" w:rsidR="009E246E" w:rsidRPr="007300F3" w:rsidRDefault="009E246E" w:rsidP="00562B10">
      <w:pPr>
        <w:pStyle w:val="Quick"/>
        <w:widowControl/>
        <w:numPr>
          <w:ilvl w:val="1"/>
          <w:numId w:val="25"/>
        </w:numPr>
        <w:tabs>
          <w:tab w:val="clear" w:pos="2808"/>
        </w:tabs>
        <w:ind w:left="1080"/>
      </w:pPr>
      <w:r w:rsidRPr="007300F3">
        <w:t xml:space="preserve">Possible – The AE </w:t>
      </w:r>
      <w:r w:rsidRPr="007300F3">
        <w:rPr>
          <w:i/>
          <w:iCs/>
        </w:rPr>
        <w:t>may be related</w:t>
      </w:r>
      <w:r w:rsidRPr="007300F3">
        <w:t xml:space="preserve"> to the study treatment.</w:t>
      </w:r>
    </w:p>
    <w:p w14:paraId="2A25D0E6" w14:textId="77777777" w:rsidR="009E246E" w:rsidRPr="007300F3" w:rsidRDefault="009E246E" w:rsidP="00562B10">
      <w:pPr>
        <w:pStyle w:val="Quick"/>
        <w:widowControl/>
        <w:numPr>
          <w:ilvl w:val="1"/>
          <w:numId w:val="25"/>
        </w:numPr>
        <w:tabs>
          <w:tab w:val="clear" w:pos="2808"/>
        </w:tabs>
        <w:ind w:left="1080"/>
      </w:pPr>
      <w:r w:rsidRPr="007300F3">
        <w:t xml:space="preserve">Unlikely – The AE </w:t>
      </w:r>
      <w:r w:rsidRPr="007300F3">
        <w:rPr>
          <w:i/>
          <w:iCs/>
        </w:rPr>
        <w:t xml:space="preserve">is doubtfully related </w:t>
      </w:r>
      <w:r w:rsidRPr="007300F3">
        <w:t>to the study treatment.</w:t>
      </w:r>
    </w:p>
    <w:p w14:paraId="07CBC141" w14:textId="77777777" w:rsidR="009E246E" w:rsidRPr="007300F3" w:rsidRDefault="009E246E" w:rsidP="00562B10">
      <w:pPr>
        <w:pStyle w:val="Quick"/>
        <w:widowControl/>
        <w:numPr>
          <w:ilvl w:val="1"/>
          <w:numId w:val="25"/>
        </w:numPr>
        <w:tabs>
          <w:tab w:val="clear" w:pos="2808"/>
        </w:tabs>
        <w:ind w:left="1080"/>
      </w:pPr>
      <w:r w:rsidRPr="007300F3">
        <w:t xml:space="preserve">Unrelated – The AE </w:t>
      </w:r>
      <w:r w:rsidRPr="007300F3">
        <w:rPr>
          <w:i/>
          <w:iCs/>
        </w:rPr>
        <w:t>is clearly NOT related</w:t>
      </w:r>
      <w:r w:rsidRPr="007300F3">
        <w:t xml:space="preserve"> to the study treatment.</w:t>
      </w:r>
    </w:p>
    <w:p w14:paraId="2EC188D8" w14:textId="77777777" w:rsidR="009E246E" w:rsidRPr="007300F3" w:rsidRDefault="009E246E" w:rsidP="009E246E"/>
    <w:p w14:paraId="51ABA314" w14:textId="77777777" w:rsidR="009E246E" w:rsidRPr="007300F3" w:rsidRDefault="009E246E" w:rsidP="00C94562">
      <w:pPr>
        <w:pStyle w:val="Heading2"/>
      </w:pPr>
      <w:bookmarkStart w:id="117" w:name="_Toc318813020"/>
      <w:bookmarkStart w:id="118" w:name="_Toc176419931"/>
      <w:r w:rsidRPr="007300F3">
        <w:t>Expedited Adverse Event Reporting</w:t>
      </w:r>
      <w:bookmarkEnd w:id="117"/>
      <w:bookmarkEnd w:id="118"/>
    </w:p>
    <w:p w14:paraId="268C1007" w14:textId="77777777" w:rsidR="008D30C8" w:rsidRPr="007300F3" w:rsidRDefault="008D30C8" w:rsidP="00426D13"/>
    <w:p w14:paraId="29802D37" w14:textId="24A9468E" w:rsidR="008D30C8" w:rsidRPr="00C312CF" w:rsidRDefault="008D30C8" w:rsidP="00C312CF">
      <w:pPr>
        <w:pStyle w:val="Level3Heading"/>
        <w:rPr>
          <w:snapToGrid/>
          <w:u w:val="single"/>
        </w:rPr>
      </w:pPr>
      <w:r w:rsidRPr="00C312CF">
        <w:rPr>
          <w:u w:val="single"/>
        </w:rPr>
        <w:t>Rave-CTEP-AERS Integration</w:t>
      </w:r>
    </w:p>
    <w:p w14:paraId="4AF9147D" w14:textId="77777777" w:rsidR="008D30C8" w:rsidRDefault="008D30C8" w:rsidP="008D30C8">
      <w:pPr>
        <w:ind w:right="720"/>
      </w:pPr>
    </w:p>
    <w:p w14:paraId="48D5443C" w14:textId="3F08D958" w:rsidR="008D30C8" w:rsidRDefault="008D30C8" w:rsidP="008D30C8">
      <w:pPr>
        <w:ind w:right="720"/>
      </w:pPr>
      <w:r w:rsidRPr="00210D29">
        <w:t xml:space="preserve">The </w:t>
      </w:r>
      <w:r w:rsidR="007A7A24">
        <w:t xml:space="preserve">Rave </w:t>
      </w:r>
      <w:r w:rsidRPr="00210D29">
        <w:t>Cancer Therapy Evaluation P</w:t>
      </w:r>
      <w:r w:rsidRPr="000A52F1">
        <w:t xml:space="preserve">rogram Adverse Event Reporting System (CTEP-AERS) integration enables evaluation of </w:t>
      </w:r>
      <w:r w:rsidR="0003195F" w:rsidRPr="0003195F">
        <w:t xml:space="preserve">Adverse Events </w:t>
      </w:r>
      <w:r w:rsidR="0003195F">
        <w:t>(</w:t>
      </w:r>
      <w:r w:rsidRPr="000A52F1">
        <w:t>AE</w:t>
      </w:r>
      <w:r>
        <w:t>s</w:t>
      </w:r>
      <w:r w:rsidR="0003195F">
        <w:t>)</w:t>
      </w:r>
      <w:r w:rsidRPr="00210D29">
        <w:t xml:space="preserve"> entered in Rave to determine whether they require expedited </w:t>
      </w:r>
      <w:r w:rsidR="00AC4881" w:rsidRPr="00210D29">
        <w:t>reporting and</w:t>
      </w:r>
      <w:r w:rsidRPr="00210D29">
        <w:t xml:space="preserve"> facilitates entry in CTEP-AERS for those AEs requiring expedite</w:t>
      </w:r>
      <w:r w:rsidRPr="000A52F1">
        <w:t>d reporting.</w:t>
      </w:r>
      <w:r w:rsidR="008A42D6">
        <w:t xml:space="preserve"> </w:t>
      </w:r>
      <w:r w:rsidR="00B21A50">
        <w:t xml:space="preserve"> </w:t>
      </w:r>
      <w:r w:rsidR="008A42D6" w:rsidRPr="008A42D6">
        <w:t>Sites must initiate all AEs for this study in Medidata Rave.</w:t>
      </w:r>
    </w:p>
    <w:p w14:paraId="6E654E23" w14:textId="77777777" w:rsidR="00890905" w:rsidRDefault="00890905" w:rsidP="00890905">
      <w:pPr>
        <w:ind w:right="720"/>
      </w:pPr>
    </w:p>
    <w:p w14:paraId="38A78D6F" w14:textId="55859F37" w:rsidR="008D30C8" w:rsidRDefault="00CD2552" w:rsidP="008D30C8">
      <w:pPr>
        <w:ind w:right="720"/>
      </w:pPr>
      <w:r w:rsidRPr="00CD2552">
        <w:t xml:space="preserve">Treatment-emergent AEs: </w:t>
      </w:r>
      <w:r w:rsidR="00B21A50">
        <w:t xml:space="preserve"> </w:t>
      </w:r>
      <w:r w:rsidR="008D30C8" w:rsidRPr="000A52F1">
        <w:t xml:space="preserve">All AEs that occur after </w:t>
      </w:r>
      <w:r w:rsidR="00323145" w:rsidRPr="00323145">
        <w:t xml:space="preserve">start of treatment </w:t>
      </w:r>
      <w:r w:rsidR="008D30C8" w:rsidRPr="000A52F1">
        <w:t xml:space="preserve">are collected in Medidata Rave using the Adverse Event form, which is available for entry at each treatment </w:t>
      </w:r>
      <w:r w:rsidR="00323145">
        <w:t xml:space="preserve">course </w:t>
      </w:r>
      <w:r w:rsidR="008D30C8" w:rsidRPr="000A52F1">
        <w:t xml:space="preserve">or reporting </w:t>
      </w:r>
      <w:r w:rsidR="00AC4881" w:rsidRPr="000A52F1">
        <w:t>period and</w:t>
      </w:r>
      <w:r w:rsidR="008D30C8" w:rsidRPr="000A52F1">
        <w:t xml:space="preserve"> </w:t>
      </w:r>
      <w:r w:rsidR="00AC4881">
        <w:t xml:space="preserve">is </w:t>
      </w:r>
      <w:r w:rsidR="008D30C8" w:rsidRPr="000A52F1">
        <w:t xml:space="preserve">used to collect AEs that start during the period </w:t>
      </w:r>
      <w:r w:rsidR="008D30C8" w:rsidRPr="000A52F1">
        <w:lastRenderedPageBreak/>
        <w:t>or persist from the prev</w:t>
      </w:r>
      <w:r w:rsidR="008D30C8" w:rsidRPr="006A01BA">
        <w:t>ious reporting period.</w:t>
      </w:r>
      <w:r w:rsidR="008D30C8">
        <w:t xml:space="preserve"> </w:t>
      </w:r>
      <w:r w:rsidR="008D30C8" w:rsidRPr="00210D29">
        <w:t xml:space="preserve"> AEs that occur </w:t>
      </w:r>
      <w:r w:rsidR="00323145" w:rsidRPr="00323145">
        <w:t xml:space="preserve">30 </w:t>
      </w:r>
      <w:r w:rsidR="00501AEC">
        <w:t>d</w:t>
      </w:r>
      <w:r w:rsidR="00323145" w:rsidRPr="00323145">
        <w:t>ays after</w:t>
      </w:r>
      <w:r w:rsidR="008D30C8" w:rsidRPr="00210D29">
        <w:t xml:space="preserve"> the </w:t>
      </w:r>
      <w:r w:rsidR="00501AEC">
        <w:t>l</w:t>
      </w:r>
      <w:r w:rsidR="00323145" w:rsidRPr="00323145">
        <w:t xml:space="preserve">ast </w:t>
      </w:r>
      <w:r w:rsidR="00501AEC">
        <w:t>a</w:t>
      </w:r>
      <w:r w:rsidR="00323145" w:rsidRPr="00323145">
        <w:t xml:space="preserve">dministration </w:t>
      </w:r>
      <w:r w:rsidR="008D30C8" w:rsidRPr="00210D29">
        <w:t>of the</w:t>
      </w:r>
      <w:r w:rsidR="00323145">
        <w:t xml:space="preserve"> </w:t>
      </w:r>
      <w:r w:rsidR="00501AEC">
        <w:t>i</w:t>
      </w:r>
      <w:r w:rsidR="00323145" w:rsidRPr="00323145">
        <w:t xml:space="preserve">nvestigational </w:t>
      </w:r>
      <w:r w:rsidR="00501AEC">
        <w:t>a</w:t>
      </w:r>
      <w:r w:rsidR="00323145" w:rsidRPr="00323145">
        <w:t>gent/</w:t>
      </w:r>
      <w:r w:rsidR="00501AEC">
        <w:t>i</w:t>
      </w:r>
      <w:r w:rsidR="00323145" w:rsidRPr="00323145">
        <w:t>ntervention are collected using</w:t>
      </w:r>
      <w:r w:rsidR="008D30C8" w:rsidRPr="00210D29">
        <w:t xml:space="preserve"> the </w:t>
      </w:r>
      <w:r w:rsidR="00323145">
        <w:t>Late</w:t>
      </w:r>
      <w:r w:rsidR="00323145" w:rsidRPr="000A52F1">
        <w:t xml:space="preserve"> </w:t>
      </w:r>
      <w:r w:rsidR="008D30C8" w:rsidRPr="000A52F1">
        <w:t>Adverse Event form.</w:t>
      </w:r>
    </w:p>
    <w:p w14:paraId="40714EF9" w14:textId="77777777" w:rsidR="008D30C8" w:rsidRPr="00210D29" w:rsidRDefault="008D30C8" w:rsidP="003525C7">
      <w:pPr>
        <w:ind w:right="720"/>
      </w:pPr>
    </w:p>
    <w:p w14:paraId="0EE9BAC9" w14:textId="55EF8E02" w:rsidR="008D30C8" w:rsidRDefault="008D30C8" w:rsidP="008D30C8">
      <w:pPr>
        <w:ind w:right="720"/>
      </w:pPr>
      <w:r w:rsidRPr="000A52F1">
        <w:t xml:space="preserve">Prior to sending AEs through the </w:t>
      </w:r>
      <w:proofErr w:type="gramStart"/>
      <w:r w:rsidRPr="000A52F1">
        <w:t>rules</w:t>
      </w:r>
      <w:proofErr w:type="gramEnd"/>
      <w:r w:rsidRPr="000A52F1">
        <w:t xml:space="preserve"> evaluation process, site staff should verify the fo</w:t>
      </w:r>
      <w:r w:rsidRPr="006A01BA">
        <w:t>llowing on the Adverse Event form in Rave:</w:t>
      </w:r>
    </w:p>
    <w:p w14:paraId="6227BD9D" w14:textId="77777777" w:rsidR="008D30C8" w:rsidRPr="00210D29" w:rsidRDefault="008D30C8" w:rsidP="003525C7">
      <w:pPr>
        <w:ind w:right="720"/>
      </w:pPr>
    </w:p>
    <w:p w14:paraId="37AF743B" w14:textId="35096BF1" w:rsidR="008D30C8" w:rsidRPr="006A01BA" w:rsidRDefault="008D30C8" w:rsidP="00562B10">
      <w:pPr>
        <w:pStyle w:val="ListParagraph"/>
        <w:widowControl/>
        <w:numPr>
          <w:ilvl w:val="0"/>
          <w:numId w:val="62"/>
        </w:numPr>
        <w:snapToGrid w:val="0"/>
        <w:ind w:right="720"/>
      </w:pPr>
      <w:r w:rsidRPr="000A52F1">
        <w:t>The reporting period (course/cycle) is correct</w:t>
      </w:r>
      <w:r w:rsidR="00C07087">
        <w:t>,</w:t>
      </w:r>
      <w:r w:rsidRPr="000A52F1">
        <w:t xml:space="preserve"> and</w:t>
      </w:r>
    </w:p>
    <w:p w14:paraId="610AD2A6" w14:textId="0239D295" w:rsidR="008D30C8" w:rsidRPr="008D30C8" w:rsidRDefault="008D30C8" w:rsidP="00562B10">
      <w:pPr>
        <w:pStyle w:val="ListParagraph"/>
        <w:widowControl/>
        <w:numPr>
          <w:ilvl w:val="0"/>
          <w:numId w:val="62"/>
        </w:numPr>
        <w:snapToGrid w:val="0"/>
        <w:ind w:right="720"/>
      </w:pPr>
      <w:r w:rsidRPr="00153203">
        <w:t>AEs are recorded and complete (no missing fields) and the form is query</w:t>
      </w:r>
      <w:r w:rsidR="00501AEC">
        <w:t xml:space="preserve"> </w:t>
      </w:r>
      <w:r w:rsidRPr="00153203">
        <w:t>free</w:t>
      </w:r>
      <w:r w:rsidR="007A7A24">
        <w:t>.</w:t>
      </w:r>
      <w:r w:rsidRPr="00153203">
        <w:t xml:space="preserve"> </w:t>
      </w:r>
    </w:p>
    <w:p w14:paraId="4A477231" w14:textId="77777777" w:rsidR="008D30C8" w:rsidRDefault="008D30C8" w:rsidP="008D30C8">
      <w:pPr>
        <w:ind w:right="720"/>
      </w:pPr>
    </w:p>
    <w:p w14:paraId="774014A0" w14:textId="4C32FF78" w:rsidR="008D30C8" w:rsidRDefault="008D30C8" w:rsidP="008D30C8">
      <w:pPr>
        <w:ind w:right="720"/>
      </w:pPr>
      <w:r w:rsidRPr="00210D29">
        <w:t>The CRA reports AEs in Rave at the time the Investigator learns of the event.</w:t>
      </w:r>
      <w:r w:rsidR="00883FB6">
        <w:t xml:space="preserve"> </w:t>
      </w:r>
      <w:r w:rsidRPr="00210D29">
        <w:t xml:space="preserve"> If the CRA modifies an AE, it must be re-submitted for rules evaluation.</w:t>
      </w:r>
    </w:p>
    <w:p w14:paraId="0F0F5F3F" w14:textId="77777777" w:rsidR="008D30C8" w:rsidRPr="00210D29" w:rsidRDefault="008D30C8" w:rsidP="003525C7">
      <w:pPr>
        <w:ind w:right="720"/>
      </w:pPr>
    </w:p>
    <w:p w14:paraId="706434A9" w14:textId="49A2AB31" w:rsidR="008D30C8" w:rsidRDefault="008D30C8" w:rsidP="008D30C8">
      <w:pPr>
        <w:ind w:right="720"/>
      </w:pPr>
      <w:r w:rsidRPr="000A52F1">
        <w:t>Upon completion of AE entry in Medidata Rave, the CRA su</w:t>
      </w:r>
      <w:r w:rsidRPr="006A01BA">
        <w:t>bmits the AE for rules evaluation by completing the Expedited Reporting Evaluation form</w:t>
      </w:r>
      <w:r w:rsidR="00501AEC">
        <w:t xml:space="preserve"> </w:t>
      </w:r>
      <w:r w:rsidR="00501AEC" w:rsidRPr="00501AEC">
        <w:t>(</w:t>
      </w:r>
      <w:r w:rsidR="00501AEC" w:rsidRPr="00544FBD">
        <w:rPr>
          <w:i/>
        </w:rPr>
        <w:t>i.e.</w:t>
      </w:r>
      <w:r w:rsidR="00501AEC" w:rsidRPr="00501AEC">
        <w:t xml:space="preserve">, checking the box </w:t>
      </w:r>
      <w:r w:rsidR="00501AEC" w:rsidRPr="00406281">
        <w:rPr>
          <w:i/>
        </w:rPr>
        <w:t>Send All AEs for Evaluation</w:t>
      </w:r>
      <w:r w:rsidR="00501AEC" w:rsidRPr="00501AEC">
        <w:t xml:space="preserve"> and save the form)</w:t>
      </w:r>
      <w:r w:rsidRPr="006A01BA">
        <w:t xml:space="preserve">. </w:t>
      </w:r>
      <w:r w:rsidR="00883FB6">
        <w:t xml:space="preserve"> </w:t>
      </w:r>
      <w:r w:rsidRPr="00210D29">
        <w:t>Both NCI and protocol-specific reporting rules evaluate the AEs submitted for expedited reporting.</w:t>
      </w:r>
      <w:r w:rsidR="00883FB6">
        <w:t xml:space="preserve"> </w:t>
      </w:r>
      <w:r w:rsidRPr="00210D29">
        <w:t xml:space="preserve"> A report is initiated in CTEP-AERS using information entered in Medi</w:t>
      </w:r>
      <w:r w:rsidRPr="000A52F1">
        <w:t xml:space="preserve">data Rave for AEs that meet reporting requirements. </w:t>
      </w:r>
      <w:r w:rsidR="00883FB6">
        <w:t xml:space="preserve"> </w:t>
      </w:r>
      <w:r w:rsidRPr="00210D29">
        <w:t>The CRA completes the report by accessing CTEP-AERS via a direct link on the Medidata Rave Expedited Reporting Evaluation form.</w:t>
      </w:r>
      <w:r w:rsidR="00A67172">
        <w:t xml:space="preserve">  </w:t>
      </w:r>
      <w:r w:rsidR="00A67172" w:rsidRPr="00A67172">
        <w:t xml:space="preserve">Contact the CTSU Help Desk at 1-888-823-5923 or by email at ctsucontact@westat.com if you have any issues submitting an expedited report </w:t>
      </w:r>
      <w:proofErr w:type="gramStart"/>
      <w:r w:rsidR="00A67172" w:rsidRPr="00A67172">
        <w:t>in</w:t>
      </w:r>
      <w:proofErr w:type="gramEnd"/>
      <w:r w:rsidR="00A67172" w:rsidRPr="00A67172">
        <w:t xml:space="preserve"> CTEP-AERS.</w:t>
      </w:r>
    </w:p>
    <w:p w14:paraId="426B05C4" w14:textId="77777777" w:rsidR="00883FB6" w:rsidRPr="00210D29" w:rsidRDefault="00883FB6" w:rsidP="003525C7">
      <w:pPr>
        <w:ind w:right="720"/>
      </w:pPr>
    </w:p>
    <w:p w14:paraId="4F451F05" w14:textId="407EA06E" w:rsidR="008D30C8" w:rsidRDefault="008D30C8" w:rsidP="008D30C8">
      <w:pPr>
        <w:ind w:right="720"/>
      </w:pPr>
      <w:r w:rsidRPr="000A52F1">
        <w:t xml:space="preserve">In the rare occurrence that </w:t>
      </w:r>
      <w:r w:rsidR="00A67172">
        <w:t>i</w:t>
      </w:r>
      <w:r w:rsidRPr="000A52F1">
        <w:t>nternet connectivity is lost</w:t>
      </w:r>
      <w:r w:rsidR="00A24259">
        <w:t>,</w:t>
      </w:r>
      <w:r w:rsidRPr="000A52F1">
        <w:t xml:space="preserve"> a 24-hour notifi</w:t>
      </w:r>
      <w:r w:rsidRPr="006A01BA">
        <w:t xml:space="preserve">cation is to be made to CTEP by telephone </w:t>
      </w:r>
      <w:proofErr w:type="gramStart"/>
      <w:r w:rsidRPr="006A01BA">
        <w:t>at</w:t>
      </w:r>
      <w:proofErr w:type="gramEnd"/>
      <w:r w:rsidRPr="006A01BA">
        <w:t xml:space="preserve"> 301-897-7497. </w:t>
      </w:r>
      <w:r w:rsidR="00883FB6">
        <w:t xml:space="preserve"> </w:t>
      </w:r>
      <w:r w:rsidRPr="00210D29">
        <w:t xml:space="preserve">Once </w:t>
      </w:r>
      <w:r w:rsidR="00380323">
        <w:t>i</w:t>
      </w:r>
      <w:r w:rsidRPr="00210D29">
        <w:t xml:space="preserve">nternet connectivity is restored, the 24-hour notification that was phoned in must be entered immediately into CTEP-AERS using the </w:t>
      </w:r>
      <w:r w:rsidR="00380323">
        <w:t>direct</w:t>
      </w:r>
      <w:r w:rsidR="00380323" w:rsidRPr="00210D29">
        <w:t xml:space="preserve"> </w:t>
      </w:r>
      <w:r w:rsidRPr="00210D29">
        <w:t>link from Medidata Rave.</w:t>
      </w:r>
    </w:p>
    <w:p w14:paraId="7A43D334" w14:textId="77777777" w:rsidR="00883FB6" w:rsidRPr="00210D29" w:rsidRDefault="00883FB6" w:rsidP="003525C7">
      <w:pPr>
        <w:ind w:right="720"/>
      </w:pPr>
    </w:p>
    <w:p w14:paraId="29C3E4C0" w14:textId="736BA651" w:rsidR="008D30C8" w:rsidRDefault="008D30C8" w:rsidP="008D30C8">
      <w:pPr>
        <w:ind w:right="720"/>
      </w:pPr>
      <w:r w:rsidRPr="000A52F1">
        <w:t>Additional information about t</w:t>
      </w:r>
      <w:r w:rsidRPr="006A01BA">
        <w:t xml:space="preserve">he CTEP-AERS integration is available on the CTSU </w:t>
      </w:r>
      <w:r w:rsidR="00A67172">
        <w:t xml:space="preserve">members’ </w:t>
      </w:r>
      <w:r w:rsidRPr="006A01BA">
        <w:t>website:</w:t>
      </w:r>
    </w:p>
    <w:p w14:paraId="06F012A9" w14:textId="77777777" w:rsidR="00883FB6" w:rsidRPr="00210D29" w:rsidRDefault="00883FB6" w:rsidP="003525C7">
      <w:pPr>
        <w:ind w:right="720"/>
      </w:pPr>
    </w:p>
    <w:p w14:paraId="5B2B5CBC" w14:textId="0014900E" w:rsidR="008D30C8" w:rsidRPr="000A52F1" w:rsidRDefault="008D30C8" w:rsidP="00562B10">
      <w:pPr>
        <w:pStyle w:val="ListParagraph"/>
        <w:widowControl/>
        <w:numPr>
          <w:ilvl w:val="0"/>
          <w:numId w:val="62"/>
        </w:numPr>
        <w:snapToGrid w:val="0"/>
        <w:ind w:right="720"/>
      </w:pPr>
      <w:r w:rsidRPr="000A52F1">
        <w:t xml:space="preserve">Study specific documents: </w:t>
      </w:r>
      <w:r w:rsidR="00883FB6">
        <w:t xml:space="preserve"> </w:t>
      </w:r>
      <w:r w:rsidR="00A67172" w:rsidRPr="00A67172">
        <w:t xml:space="preserve"> </w:t>
      </w:r>
      <w:r w:rsidR="00A67172" w:rsidRPr="00F04127">
        <w:rPr>
          <w:i/>
        </w:rPr>
        <w:t>Protocols &gt; Documents&gt; Protocol Related Documents&gt; Adverse Event Reporting</w:t>
      </w:r>
      <w:r w:rsidR="00721DBA">
        <w:t>,</w:t>
      </w:r>
      <w:r w:rsidRPr="00210D29">
        <w:t xml:space="preserve"> and  </w:t>
      </w:r>
    </w:p>
    <w:p w14:paraId="299180F9" w14:textId="1963217C" w:rsidR="008D30C8" w:rsidRPr="000A52F1" w:rsidRDefault="00DE4D1F" w:rsidP="00562B10">
      <w:pPr>
        <w:pStyle w:val="ListParagraph"/>
        <w:widowControl/>
        <w:numPr>
          <w:ilvl w:val="0"/>
          <w:numId w:val="62"/>
        </w:numPr>
        <w:snapToGrid w:val="0"/>
        <w:ind w:right="720"/>
      </w:pPr>
      <w:r w:rsidRPr="00DE4D1F">
        <w:t xml:space="preserve">Additional resources: </w:t>
      </w:r>
      <w:r w:rsidRPr="00F04127">
        <w:rPr>
          <w:i/>
        </w:rPr>
        <w:t>Resources &gt; CTSU Operations Information&gt; User Guides &amp; Help Topics</w:t>
      </w:r>
      <w:r w:rsidRPr="00DE4D1F">
        <w:t>.</w:t>
      </w:r>
    </w:p>
    <w:p w14:paraId="528C71A8" w14:textId="77777777" w:rsidR="00883FB6" w:rsidRDefault="00883FB6" w:rsidP="008D30C8">
      <w:pPr>
        <w:ind w:right="720"/>
      </w:pPr>
    </w:p>
    <w:p w14:paraId="4E0DA0C8" w14:textId="70F12673" w:rsidR="008D30C8" w:rsidRDefault="008D30C8" w:rsidP="008D30C8">
      <w:pPr>
        <w:ind w:right="720"/>
      </w:pPr>
      <w:r w:rsidRPr="00210D29">
        <w:t>NCI req</w:t>
      </w:r>
      <w:r w:rsidRPr="000A52F1">
        <w:t xml:space="preserve">uirements for SAE reporting are available on the CTEP website: </w:t>
      </w:r>
    </w:p>
    <w:p w14:paraId="6E5D039C" w14:textId="77777777" w:rsidR="00883FB6" w:rsidRPr="00210D29" w:rsidRDefault="00883FB6" w:rsidP="003525C7">
      <w:pPr>
        <w:ind w:right="720"/>
      </w:pPr>
    </w:p>
    <w:p w14:paraId="7BDDE7B4" w14:textId="48BFA256" w:rsidR="008D30C8" w:rsidRPr="003525C7" w:rsidRDefault="008D30C8" w:rsidP="00562B10">
      <w:pPr>
        <w:pStyle w:val="ListParagraph"/>
        <w:numPr>
          <w:ilvl w:val="0"/>
          <w:numId w:val="63"/>
        </w:numPr>
        <w:snapToGrid w:val="0"/>
        <w:ind w:right="720"/>
      </w:pPr>
      <w:r w:rsidRPr="000A52F1">
        <w:t xml:space="preserve">NCI Guidelines for Investigators: </w:t>
      </w:r>
      <w:r w:rsidR="00883FB6">
        <w:t xml:space="preserve"> </w:t>
      </w:r>
      <w:r w:rsidRPr="00210D29">
        <w:t xml:space="preserve">Adverse Event Reporting Requirements is available at </w:t>
      </w:r>
      <w:hyperlink r:id="rId73" w:history="1">
        <w:r w:rsidR="00464DA6" w:rsidRPr="000A52F1">
          <w:rPr>
            <w:rStyle w:val="Hyperlink"/>
          </w:rPr>
          <w:t>https://ctep.cancer.gov/protocolDevelopment/electronic_applications/docs/aeguidelines.pdf</w:t>
        </w:r>
      </w:hyperlink>
      <w:r w:rsidR="00464DA6" w:rsidRPr="003525C7">
        <w:rPr>
          <w:color w:val="0000FF"/>
          <w:u w:val="single"/>
        </w:rPr>
        <w:t>.</w:t>
      </w:r>
    </w:p>
    <w:p w14:paraId="2B40B331" w14:textId="77777777" w:rsidR="009E246E" w:rsidRPr="007300F3" w:rsidRDefault="009E246E" w:rsidP="009E246E">
      <w:pPr>
        <w:ind w:left="720"/>
      </w:pPr>
    </w:p>
    <w:p w14:paraId="6C27345E" w14:textId="77777777" w:rsidR="0010548D" w:rsidRPr="00C312CF" w:rsidRDefault="0010548D" w:rsidP="00C312CF">
      <w:pPr>
        <w:pStyle w:val="Level3Heading"/>
        <w:rPr>
          <w:u w:val="single"/>
        </w:rPr>
      </w:pPr>
      <w:bookmarkStart w:id="119" w:name="_Ref15376686"/>
      <w:r w:rsidRPr="00C312CF">
        <w:rPr>
          <w:u w:val="single"/>
        </w:rPr>
        <w:t>Distribution of Adverse Event Reports</w:t>
      </w:r>
      <w:bookmarkEnd w:id="119"/>
    </w:p>
    <w:p w14:paraId="3710E49F" w14:textId="77777777" w:rsidR="0010548D" w:rsidRDefault="0010548D" w:rsidP="003754C3"/>
    <w:p w14:paraId="1E1F85F3" w14:textId="77777777" w:rsidR="009E246E" w:rsidRPr="004263D1" w:rsidRDefault="009E246E" w:rsidP="00426D13">
      <w:pPr>
        <w:rPr>
          <w:i/>
        </w:rPr>
      </w:pPr>
      <w:r>
        <w:t>CTEP-AERS</w:t>
      </w:r>
      <w:r w:rsidRPr="007300F3" w:rsidDel="0050306B">
        <w:t xml:space="preserve"> </w:t>
      </w:r>
      <w:r w:rsidRPr="007300F3">
        <w:t xml:space="preserve">is programmed for automatic electronic distribution of reports to the following </w:t>
      </w:r>
      <w:r w:rsidRPr="007300F3">
        <w:lastRenderedPageBreak/>
        <w:t xml:space="preserve">individuals:  </w:t>
      </w:r>
      <w:r w:rsidR="00977803" w:rsidRPr="00977803">
        <w:t>Principal Investigator and Adverse Event Coordinator</w:t>
      </w:r>
      <w:r w:rsidR="00B87DA4">
        <w:t>(</w:t>
      </w:r>
      <w:r w:rsidR="00977803" w:rsidRPr="00977803">
        <w:t>s</w:t>
      </w:r>
      <w:r w:rsidR="00B87DA4">
        <w:t>)</w:t>
      </w:r>
      <w:r w:rsidR="00977803" w:rsidRPr="00977803">
        <w:t xml:space="preserve"> (if applicable) of the </w:t>
      </w:r>
      <w:r w:rsidR="00977803">
        <w:t>Corresponding</w:t>
      </w:r>
      <w:r w:rsidR="00977803" w:rsidRPr="00977803">
        <w:t xml:space="preserve"> Organization</w:t>
      </w:r>
      <w:r w:rsidR="00E34A65">
        <w:t xml:space="preserve"> or Lead Organization</w:t>
      </w:r>
      <w:r w:rsidR="00977803" w:rsidRPr="00977803">
        <w:t>, the local treating physician, and the Reporter and Submitter</w:t>
      </w:r>
      <w:r w:rsidRPr="007300F3">
        <w:t xml:space="preserve">.  </w:t>
      </w:r>
      <w:r>
        <w:t>CTEP-AERS</w:t>
      </w:r>
      <w:r w:rsidRPr="007300F3" w:rsidDel="0050306B">
        <w:t xml:space="preserve"> </w:t>
      </w:r>
      <w:r w:rsidRPr="007300F3">
        <w:t xml:space="preserve">provides a copy feature for other e-mail recipients. </w:t>
      </w:r>
    </w:p>
    <w:p w14:paraId="3A627B1E" w14:textId="77777777" w:rsidR="009E246E" w:rsidRDefault="009E246E" w:rsidP="009E246E">
      <w:pPr>
        <w:ind w:left="720"/>
      </w:pPr>
    </w:p>
    <w:p w14:paraId="6F19FE72" w14:textId="77777777" w:rsidR="009E246E" w:rsidRPr="00C312CF" w:rsidRDefault="009E246E" w:rsidP="00C312CF">
      <w:pPr>
        <w:pStyle w:val="Level3Heading"/>
        <w:rPr>
          <w:u w:val="single"/>
        </w:rPr>
      </w:pPr>
      <w:bookmarkStart w:id="120" w:name="_Ref15376722"/>
      <w:r w:rsidRPr="00C312CF">
        <w:rPr>
          <w:u w:val="single"/>
        </w:rPr>
        <w:t>Expedited Reporting Guidelines</w:t>
      </w:r>
      <w:bookmarkEnd w:id="120"/>
    </w:p>
    <w:p w14:paraId="53433F5E" w14:textId="77777777" w:rsidR="009E246E" w:rsidRDefault="009E246E" w:rsidP="009E246E">
      <w:pPr>
        <w:rPr>
          <w:highlight w:val="yellow"/>
        </w:rPr>
      </w:pPr>
    </w:p>
    <w:p w14:paraId="55E2DEFA" w14:textId="77777777" w:rsidR="009E246E" w:rsidRDefault="009E246E" w:rsidP="00426D13">
      <w:r w:rsidRPr="007300F3">
        <w:t>Use the NCI protocol number and the protocol-specific patient ID assigned during trial registration on all reports.</w:t>
      </w:r>
    </w:p>
    <w:p w14:paraId="7B90F0E3" w14:textId="77777777" w:rsidR="009E246E" w:rsidRDefault="009E246E" w:rsidP="00426D13">
      <w:pPr>
        <w:rPr>
          <w:highlight w:val="yellow"/>
        </w:rPr>
      </w:pPr>
    </w:p>
    <w:p w14:paraId="02762D07" w14:textId="0B50D8B5" w:rsidR="009E246E" w:rsidRDefault="009E246E" w:rsidP="00426D13">
      <w:pPr>
        <w:rPr>
          <w:b/>
          <w:bCs/>
          <w:iCs/>
        </w:rPr>
      </w:pPr>
      <w:r w:rsidRPr="007300F3">
        <w:rPr>
          <w:b/>
          <w:bCs/>
          <w:iCs/>
        </w:rPr>
        <w:t xml:space="preserve">Note:  </w:t>
      </w:r>
      <w:r w:rsidRPr="0028211A">
        <w:rPr>
          <w:b/>
          <w:bCs/>
          <w:iCs/>
        </w:rPr>
        <w:t xml:space="preserve">A death on study requires </w:t>
      </w:r>
      <w:r w:rsidRPr="00BC0A10">
        <w:rPr>
          <w:b/>
          <w:bCs/>
          <w:iCs/>
          <w:u w:val="single"/>
        </w:rPr>
        <w:t>both</w:t>
      </w:r>
      <w:r w:rsidRPr="0028211A">
        <w:rPr>
          <w:b/>
          <w:bCs/>
          <w:iCs/>
        </w:rPr>
        <w:t xml:space="preserve"> routine and expedited reporting</w:t>
      </w:r>
      <w:r w:rsidR="003C1BDB">
        <w:rPr>
          <w:b/>
          <w:bCs/>
          <w:iCs/>
        </w:rPr>
        <w:t>,</w:t>
      </w:r>
      <w:r w:rsidRPr="0028211A">
        <w:rPr>
          <w:b/>
          <w:bCs/>
          <w:iCs/>
        </w:rPr>
        <w:t xml:space="preserve"> regardless of causality</w:t>
      </w:r>
      <w:r w:rsidR="00DC7F08">
        <w:rPr>
          <w:b/>
          <w:bCs/>
          <w:iCs/>
        </w:rPr>
        <w:t xml:space="preserve"> </w:t>
      </w:r>
      <w:r w:rsidR="00DC7F08" w:rsidRPr="00DC7F08">
        <w:rPr>
          <w:b/>
          <w:bCs/>
          <w:iCs/>
        </w:rPr>
        <w:t xml:space="preserve">as long as the death occurred </w:t>
      </w:r>
      <w:r w:rsidR="001F2CDD">
        <w:rPr>
          <w:b/>
          <w:bCs/>
          <w:iCs/>
        </w:rPr>
        <w:t xml:space="preserve">within </w:t>
      </w:r>
      <w:r w:rsidR="00DC7F08" w:rsidRPr="00DC7F08">
        <w:rPr>
          <w:b/>
          <w:bCs/>
          <w:iCs/>
        </w:rPr>
        <w:t>30 days after the last administration of the investigational agent</w:t>
      </w:r>
      <w:r w:rsidRPr="0028211A">
        <w:rPr>
          <w:b/>
          <w:bCs/>
          <w:iCs/>
        </w:rPr>
        <w:t>.  Attribution to treatment or other cause must be provided.</w:t>
      </w:r>
    </w:p>
    <w:p w14:paraId="0AAA2310" w14:textId="77777777" w:rsidR="009E246E" w:rsidRDefault="009E246E" w:rsidP="00426D13">
      <w:pPr>
        <w:rPr>
          <w:b/>
          <w:bCs/>
          <w:iCs/>
        </w:rPr>
      </w:pPr>
    </w:p>
    <w:p w14:paraId="3C0FD529" w14:textId="77777777" w:rsidR="009E246E" w:rsidRDefault="009E246E" w:rsidP="00426D13">
      <w:pPr>
        <w:rPr>
          <w:bCs/>
          <w:iCs/>
        </w:rPr>
      </w:pPr>
      <w:r w:rsidRPr="00692B46">
        <w:rPr>
          <w:bCs/>
          <w:iCs/>
        </w:rPr>
        <w:t xml:space="preserve">Death due to progressive disease should be reported as </w:t>
      </w:r>
      <w:r w:rsidRPr="00692B46">
        <w:rPr>
          <w:b/>
          <w:bCs/>
          <w:iCs/>
        </w:rPr>
        <w:t>Grade 5 “</w:t>
      </w:r>
      <w:r w:rsidR="000505F1">
        <w:rPr>
          <w:b/>
          <w:bCs/>
        </w:rPr>
        <w:t>Disease progression</w:t>
      </w:r>
      <w:r w:rsidRPr="00692B46">
        <w:rPr>
          <w:b/>
          <w:bCs/>
          <w:iCs/>
        </w:rPr>
        <w:t>”</w:t>
      </w:r>
      <w:r w:rsidRPr="00692B46">
        <w:rPr>
          <w:bCs/>
          <w:i/>
          <w:iCs/>
        </w:rPr>
        <w:t xml:space="preserve"> </w:t>
      </w:r>
      <w:r w:rsidR="000505F1">
        <w:rPr>
          <w:bCs/>
          <w:iCs/>
        </w:rPr>
        <w:t>in</w:t>
      </w:r>
      <w:r w:rsidR="000505F1" w:rsidRPr="00692B46">
        <w:rPr>
          <w:bCs/>
          <w:iCs/>
        </w:rPr>
        <w:t xml:space="preserve"> </w:t>
      </w:r>
      <w:r w:rsidRPr="00692B46">
        <w:rPr>
          <w:bCs/>
          <w:iCs/>
        </w:rPr>
        <w:t xml:space="preserve">the system organ class (SOC) </w:t>
      </w:r>
      <w:r w:rsidR="000505F1">
        <w:rPr>
          <w:bCs/>
          <w:iCs/>
        </w:rPr>
        <w:t>“</w:t>
      </w:r>
      <w:r w:rsidR="000505F1">
        <w:t>General disorders and administration site conditions</w:t>
      </w:r>
      <w:r w:rsidRPr="00692B46">
        <w:rPr>
          <w:bCs/>
          <w:iCs/>
        </w:rPr>
        <w:t>.</w:t>
      </w:r>
      <w:r w:rsidR="000505F1">
        <w:rPr>
          <w:bCs/>
          <w:iCs/>
        </w:rPr>
        <w:t>”</w:t>
      </w:r>
      <w:r w:rsidRPr="00692B46">
        <w:rPr>
          <w:bCs/>
          <w:iCs/>
        </w:rPr>
        <w:t xml:space="preserve"> </w:t>
      </w:r>
      <w:r>
        <w:rPr>
          <w:bCs/>
          <w:iCs/>
        </w:rPr>
        <w:t xml:space="preserve"> </w:t>
      </w:r>
      <w:r w:rsidRPr="00692B46">
        <w:rPr>
          <w:bCs/>
          <w:iCs/>
        </w:rPr>
        <w:t>Evidence that the death was a manifestation of underlying disease (</w:t>
      </w:r>
      <w:r w:rsidRPr="00692B46">
        <w:rPr>
          <w:bCs/>
          <w:i/>
          <w:iCs/>
        </w:rPr>
        <w:t>e.g.</w:t>
      </w:r>
      <w:r w:rsidRPr="00692B46">
        <w:rPr>
          <w:bCs/>
          <w:iCs/>
        </w:rPr>
        <w:t xml:space="preserve">, radiological changes suggesting tumor growth or progression: clinical deterioration associated with a disease process) should be submitted. </w:t>
      </w:r>
    </w:p>
    <w:p w14:paraId="33E628AF" w14:textId="77777777" w:rsidR="00A77D5B" w:rsidRDefault="00A77D5B" w:rsidP="00426D13">
      <w:pPr>
        <w:rPr>
          <w:bCs/>
          <w:iCs/>
        </w:rPr>
      </w:pPr>
    </w:p>
    <w:p w14:paraId="42124F76" w14:textId="77777777" w:rsidR="00D12912" w:rsidRPr="002A2745" w:rsidRDefault="00D12912" w:rsidP="00D12912">
      <w:pPr>
        <w:spacing w:after="120"/>
        <w:rPr>
          <w:rFonts w:ascii="Arial" w:hAnsi="Arial" w:cs="Arial"/>
          <w:b/>
          <w:sz w:val="22"/>
          <w:szCs w:val="22"/>
          <w:vertAlign w:val="superscript"/>
        </w:rPr>
      </w:pPr>
      <w:r w:rsidRPr="00045BC7">
        <w:rPr>
          <w:rFonts w:ascii="Arial" w:hAnsi="Arial" w:cs="Arial"/>
          <w:b/>
          <w:sz w:val="22"/>
          <w:szCs w:val="22"/>
        </w:rPr>
        <w:t xml:space="preserve">Phase 1 and Early Phase 2 Studies:  Expedited Reporting Requirements for Adverse Events that Occur on Studies under an IND/IDE within 30 Days of the Last Administration of the Investigational Agent/Intervention </w:t>
      </w:r>
      <w:r w:rsidRPr="00045BC7">
        <w:rPr>
          <w:rFonts w:ascii="Arial" w:hAnsi="Arial" w:cs="Arial"/>
          <w:b/>
          <w:sz w:val="22"/>
          <w:szCs w:val="22"/>
          <w:vertAlign w:val="superscript"/>
        </w:rPr>
        <w:t>1, 2</w:t>
      </w:r>
    </w:p>
    <w:tbl>
      <w:tblPr>
        <w:tblStyle w:val="TableGrid"/>
        <w:tblW w:w="0" w:type="auto"/>
        <w:tblLook w:val="04A0" w:firstRow="1" w:lastRow="0" w:firstColumn="1" w:lastColumn="0" w:noHBand="0" w:noVBand="1"/>
      </w:tblPr>
      <w:tblGrid>
        <w:gridCol w:w="4675"/>
        <w:gridCol w:w="4675"/>
      </w:tblGrid>
      <w:tr w:rsidR="00D12912" w14:paraId="27DD01F9" w14:textId="77777777" w:rsidTr="00AE127C">
        <w:tc>
          <w:tcPr>
            <w:tcW w:w="9350" w:type="dxa"/>
            <w:gridSpan w:val="2"/>
            <w:vAlign w:val="center"/>
          </w:tcPr>
          <w:p w14:paraId="537F2E38" w14:textId="77777777" w:rsidR="00D12912" w:rsidRPr="00103793" w:rsidRDefault="00D12912" w:rsidP="00AE127C">
            <w:pPr>
              <w:pStyle w:val="Style4"/>
              <w:tabs>
                <w:tab w:val="center" w:pos="4320"/>
                <w:tab w:val="right" w:pos="8640"/>
              </w:tabs>
              <w:spacing w:before="120"/>
              <w:rPr>
                <w:rFonts w:cs="Arial"/>
                <w:b/>
                <w:szCs w:val="18"/>
              </w:rPr>
            </w:pPr>
            <w:r w:rsidRPr="00103793">
              <w:rPr>
                <w:rFonts w:cs="Arial"/>
                <w:b/>
                <w:szCs w:val="18"/>
              </w:rPr>
              <w:t>FDA REPORTING REQUIREMENTS FOR SERIOUS ADVERSE EVENTS (21 CFR Part 312)</w:t>
            </w:r>
          </w:p>
          <w:p w14:paraId="511CF7B4" w14:textId="77777777" w:rsidR="00D12912" w:rsidRPr="00103793" w:rsidRDefault="00D12912" w:rsidP="00AE127C">
            <w:pPr>
              <w:pStyle w:val="Style4"/>
              <w:tabs>
                <w:tab w:val="center" w:pos="4320"/>
                <w:tab w:val="right" w:pos="8640"/>
              </w:tabs>
              <w:spacing w:before="120"/>
              <w:ind w:left="648" w:hanging="648"/>
              <w:rPr>
                <w:rFonts w:cs="Arial"/>
                <w:szCs w:val="18"/>
              </w:rPr>
            </w:pPr>
            <w:r w:rsidRPr="00103793">
              <w:rPr>
                <w:rFonts w:cs="Arial"/>
                <w:b/>
                <w:szCs w:val="18"/>
              </w:rPr>
              <w:t>NOTE:</w:t>
            </w:r>
            <w:r w:rsidRPr="00103793">
              <w:rPr>
                <w:rFonts w:cs="Arial"/>
                <w:szCs w:val="18"/>
              </w:rPr>
              <w:t xml:space="preserve">  Investigators </w:t>
            </w:r>
            <w:r w:rsidRPr="00103793">
              <w:rPr>
                <w:rFonts w:cs="Arial"/>
                <w:b/>
                <w:szCs w:val="18"/>
                <w:u w:val="single"/>
              </w:rPr>
              <w:t>MUST</w:t>
            </w:r>
            <w:r w:rsidRPr="00103793">
              <w:rPr>
                <w:rFonts w:cs="Arial"/>
                <w:szCs w:val="18"/>
              </w:rPr>
              <w:t xml:space="preserve"> immediately report to the sponsor (NCI) </w:t>
            </w:r>
            <w:r w:rsidRPr="00103793">
              <w:rPr>
                <w:rFonts w:cs="Arial"/>
                <w:b/>
                <w:szCs w:val="18"/>
                <w:u w:val="single"/>
              </w:rPr>
              <w:t>ANY</w:t>
            </w:r>
            <w:r w:rsidRPr="00103793">
              <w:rPr>
                <w:rFonts w:cs="Arial"/>
                <w:b/>
                <w:szCs w:val="18"/>
              </w:rPr>
              <w:t xml:space="preserve"> </w:t>
            </w:r>
            <w:r>
              <w:rPr>
                <w:rFonts w:cs="Arial"/>
                <w:szCs w:val="18"/>
              </w:rPr>
              <w:t>SAEs</w:t>
            </w:r>
            <w:r w:rsidRPr="00103793">
              <w:rPr>
                <w:rFonts w:cs="Arial"/>
                <w:szCs w:val="18"/>
              </w:rPr>
              <w:t>, whether or not they are considered related to the investigational agent(s)/intervention (21 CFR 312.64)</w:t>
            </w:r>
            <w:r>
              <w:rPr>
                <w:rFonts w:cs="Arial"/>
                <w:szCs w:val="18"/>
              </w:rPr>
              <w:t>.</w:t>
            </w:r>
          </w:p>
          <w:p w14:paraId="5F579AAB" w14:textId="77777777" w:rsidR="00D12912" w:rsidRPr="00103793" w:rsidRDefault="00D12912" w:rsidP="00AE127C">
            <w:pPr>
              <w:pStyle w:val="Style4"/>
              <w:tabs>
                <w:tab w:val="center" w:pos="4320"/>
                <w:tab w:val="right" w:pos="8640"/>
              </w:tabs>
              <w:spacing w:before="120"/>
              <w:ind w:left="792" w:hanging="792"/>
              <w:rPr>
                <w:rFonts w:cs="Arial"/>
                <w:szCs w:val="18"/>
              </w:rPr>
            </w:pPr>
            <w:r w:rsidRPr="00103793">
              <w:rPr>
                <w:rFonts w:cs="Arial"/>
                <w:szCs w:val="18"/>
              </w:rPr>
              <w:t xml:space="preserve">An </w:t>
            </w:r>
            <w:r>
              <w:rPr>
                <w:rFonts w:cs="Arial"/>
                <w:szCs w:val="18"/>
              </w:rPr>
              <w:t>AE</w:t>
            </w:r>
            <w:r w:rsidRPr="00103793">
              <w:rPr>
                <w:rFonts w:cs="Arial"/>
                <w:szCs w:val="18"/>
              </w:rPr>
              <w:t xml:space="preserve"> is considered serious if it results in </w:t>
            </w:r>
            <w:r w:rsidRPr="00103793">
              <w:rPr>
                <w:rFonts w:cs="Arial"/>
                <w:b/>
                <w:szCs w:val="18"/>
                <w:u w:val="single"/>
              </w:rPr>
              <w:t>ANY</w:t>
            </w:r>
            <w:r w:rsidRPr="00103793">
              <w:rPr>
                <w:rFonts w:cs="Arial"/>
                <w:szCs w:val="18"/>
              </w:rPr>
              <w:t xml:space="preserve"> of the following outcomes:</w:t>
            </w:r>
          </w:p>
          <w:p w14:paraId="3ED569A3" w14:textId="77777777" w:rsidR="00D12912" w:rsidRPr="00103793" w:rsidRDefault="00D12912" w:rsidP="00D12912">
            <w:pPr>
              <w:pStyle w:val="Style4"/>
              <w:numPr>
                <w:ilvl w:val="0"/>
                <w:numId w:val="309"/>
              </w:numPr>
              <w:rPr>
                <w:rFonts w:cs="Arial"/>
                <w:szCs w:val="18"/>
              </w:rPr>
            </w:pPr>
            <w:r w:rsidRPr="00103793">
              <w:rPr>
                <w:rFonts w:cs="Arial"/>
                <w:szCs w:val="18"/>
              </w:rPr>
              <w:t>Death</w:t>
            </w:r>
          </w:p>
          <w:p w14:paraId="1C42720D" w14:textId="77777777" w:rsidR="00D12912" w:rsidRPr="00103793" w:rsidRDefault="00D12912" w:rsidP="00D12912">
            <w:pPr>
              <w:pStyle w:val="Style4"/>
              <w:numPr>
                <w:ilvl w:val="0"/>
                <w:numId w:val="309"/>
              </w:numPr>
              <w:rPr>
                <w:rFonts w:cs="Arial"/>
                <w:szCs w:val="18"/>
              </w:rPr>
            </w:pPr>
            <w:r w:rsidRPr="00103793">
              <w:rPr>
                <w:rFonts w:cs="Arial"/>
                <w:szCs w:val="18"/>
              </w:rPr>
              <w:t xml:space="preserve">A life-threatening </w:t>
            </w:r>
            <w:r>
              <w:rPr>
                <w:rFonts w:cs="Arial"/>
                <w:szCs w:val="18"/>
              </w:rPr>
              <w:t>AE</w:t>
            </w:r>
          </w:p>
          <w:p w14:paraId="3C1E1C6A" w14:textId="77777777" w:rsidR="00D12912" w:rsidRPr="00103793" w:rsidRDefault="00D12912" w:rsidP="00D12912">
            <w:pPr>
              <w:pStyle w:val="Style4"/>
              <w:numPr>
                <w:ilvl w:val="0"/>
                <w:numId w:val="309"/>
              </w:numPr>
              <w:rPr>
                <w:rFonts w:cs="Arial"/>
                <w:szCs w:val="18"/>
              </w:rPr>
            </w:pPr>
            <w:r w:rsidRPr="00103793">
              <w:rPr>
                <w:rFonts w:cs="Arial"/>
                <w:szCs w:val="18"/>
              </w:rPr>
              <w:t xml:space="preserve">An </w:t>
            </w:r>
            <w:r>
              <w:rPr>
                <w:rFonts w:cs="Arial"/>
                <w:szCs w:val="18"/>
              </w:rPr>
              <w:t>AE</w:t>
            </w:r>
            <w:r w:rsidRPr="00103793">
              <w:rPr>
                <w:rFonts w:cs="Arial"/>
                <w:szCs w:val="18"/>
              </w:rPr>
              <w:t xml:space="preserve"> that results in inpatient hospitalization or prolongation of existing hospitalization </w:t>
            </w:r>
            <w:r w:rsidRPr="00570C01">
              <w:rPr>
                <w:rFonts w:cs="Arial"/>
                <w:szCs w:val="18"/>
              </w:rPr>
              <w:t>for ≥ 24 hours</w:t>
            </w:r>
            <w:r>
              <w:rPr>
                <w:rFonts w:cs="Arial"/>
                <w:szCs w:val="18"/>
              </w:rPr>
              <w:t>.</w:t>
            </w:r>
          </w:p>
          <w:p w14:paraId="6A34D11E" w14:textId="77777777" w:rsidR="00D12912" w:rsidRPr="00103793" w:rsidRDefault="00D12912" w:rsidP="00D12912">
            <w:pPr>
              <w:pStyle w:val="Style4"/>
              <w:numPr>
                <w:ilvl w:val="0"/>
                <w:numId w:val="309"/>
              </w:numPr>
              <w:rPr>
                <w:rFonts w:cs="Arial"/>
                <w:szCs w:val="18"/>
              </w:rPr>
            </w:pPr>
            <w:r w:rsidRPr="00103793">
              <w:rPr>
                <w:rFonts w:cs="Arial"/>
                <w:szCs w:val="18"/>
              </w:rPr>
              <w:t>A persistent or significant incapacity or substantial disruption of the ability to conduct normal life functions</w:t>
            </w:r>
          </w:p>
          <w:p w14:paraId="07475819" w14:textId="77777777" w:rsidR="00D12912" w:rsidRDefault="00D12912" w:rsidP="00D12912">
            <w:pPr>
              <w:pStyle w:val="Style4"/>
              <w:numPr>
                <w:ilvl w:val="0"/>
                <w:numId w:val="309"/>
              </w:numPr>
              <w:rPr>
                <w:rFonts w:cs="Arial"/>
                <w:szCs w:val="18"/>
              </w:rPr>
            </w:pPr>
            <w:r w:rsidRPr="00103793">
              <w:rPr>
                <w:rFonts w:cs="Arial"/>
                <w:szCs w:val="18"/>
              </w:rPr>
              <w:t>A congenital anomaly/birth defect.</w:t>
            </w:r>
          </w:p>
          <w:p w14:paraId="570B75A5" w14:textId="77777777" w:rsidR="00D12912" w:rsidRDefault="00D12912" w:rsidP="00D12912">
            <w:pPr>
              <w:pStyle w:val="Style4"/>
              <w:numPr>
                <w:ilvl w:val="0"/>
                <w:numId w:val="309"/>
              </w:numPr>
              <w:rPr>
                <w:rFonts w:cs="Arial"/>
                <w:szCs w:val="18"/>
              </w:rPr>
            </w:pPr>
            <w:r w:rsidRPr="00AB74A4">
              <w:rPr>
                <w:rFonts w:cs="Arial"/>
                <w:szCs w:val="18"/>
              </w:rPr>
              <w:t>Important Medical Events (IME) that may not result in death, be life threatening, or require hospitalization may be considered serious when, based upon medical judgment, they may jeopardize the patient or subject and may require medical or surgical intervention to prevent one of the outcomes listed in this definition. (FDA, 21 CFR 312.32; ICH E2A and ICH E6).</w:t>
            </w:r>
          </w:p>
          <w:p w14:paraId="6DAD2E7A" w14:textId="77777777" w:rsidR="00D12912" w:rsidRPr="00AB74A4" w:rsidRDefault="00D12912" w:rsidP="00AE127C">
            <w:pPr>
              <w:pStyle w:val="Style4"/>
              <w:ind w:left="432"/>
              <w:rPr>
                <w:rFonts w:cs="Arial"/>
                <w:szCs w:val="18"/>
              </w:rPr>
            </w:pPr>
          </w:p>
        </w:tc>
      </w:tr>
      <w:tr w:rsidR="00D12912" w14:paraId="1EE538EE" w14:textId="77777777" w:rsidTr="00AE127C">
        <w:tc>
          <w:tcPr>
            <w:tcW w:w="9350" w:type="dxa"/>
            <w:gridSpan w:val="2"/>
            <w:vAlign w:val="center"/>
          </w:tcPr>
          <w:p w14:paraId="64A1667A" w14:textId="77777777" w:rsidR="00D12912" w:rsidRDefault="00D12912" w:rsidP="00AE127C">
            <w:pPr>
              <w:spacing w:before="120" w:after="120"/>
            </w:pPr>
            <w:r w:rsidRPr="00137DFD">
              <w:rPr>
                <w:rFonts w:ascii="Arial" w:hAnsi="Arial" w:cs="Arial"/>
                <w:b/>
                <w:sz w:val="18"/>
                <w:szCs w:val="18"/>
                <w:u w:val="single"/>
              </w:rPr>
              <w:t>ALL</w:t>
            </w:r>
            <w:r w:rsidRPr="00137DFD">
              <w:rPr>
                <w:rFonts w:ascii="Arial" w:hAnsi="Arial" w:cs="Arial"/>
                <w:b/>
                <w:sz w:val="18"/>
                <w:szCs w:val="18"/>
              </w:rPr>
              <w:t xml:space="preserve"> </w:t>
            </w:r>
            <w:r w:rsidRPr="00137DFD">
              <w:rPr>
                <w:rFonts w:ascii="Arial" w:hAnsi="Arial" w:cs="Arial"/>
                <w:b/>
                <w:sz w:val="18"/>
                <w:szCs w:val="18"/>
                <w:u w:val="single"/>
              </w:rPr>
              <w:t>SAEs</w:t>
            </w:r>
            <w:r w:rsidRPr="00137DFD">
              <w:rPr>
                <w:rFonts w:ascii="Arial" w:hAnsi="Arial" w:cs="Arial"/>
                <w:sz w:val="18"/>
                <w:szCs w:val="18"/>
              </w:rPr>
              <w:t xml:space="preserve"> that meet the above criteria </w:t>
            </w:r>
            <w:r w:rsidRPr="00137DFD">
              <w:rPr>
                <w:rFonts w:ascii="Arial" w:hAnsi="Arial" w:cs="Arial"/>
                <w:b/>
                <w:sz w:val="18"/>
                <w:szCs w:val="18"/>
                <w:u w:val="single"/>
              </w:rPr>
              <w:t>MUST</w:t>
            </w:r>
            <w:r w:rsidRPr="00137DFD">
              <w:rPr>
                <w:rFonts w:ascii="Arial" w:hAnsi="Arial" w:cs="Arial"/>
                <w:sz w:val="18"/>
                <w:szCs w:val="18"/>
              </w:rPr>
              <w:t xml:space="preserve"> be immediately reported to the NCI via CTEP-AERS within the timeframes detailed in the table below.</w:t>
            </w:r>
          </w:p>
        </w:tc>
      </w:tr>
      <w:tr w:rsidR="00D12912" w14:paraId="1DF2DC21" w14:textId="77777777" w:rsidTr="00AE127C">
        <w:tc>
          <w:tcPr>
            <w:tcW w:w="4675" w:type="dxa"/>
            <w:shd w:val="clear" w:color="auto" w:fill="DBE5F1" w:themeFill="accent1" w:themeFillTint="33"/>
            <w:vAlign w:val="center"/>
          </w:tcPr>
          <w:p w14:paraId="5AC5B76F" w14:textId="77777777" w:rsidR="00D12912" w:rsidRPr="004A206C" w:rsidRDefault="00D12912" w:rsidP="00AE127C">
            <w:pPr>
              <w:spacing w:before="120" w:after="120"/>
              <w:jc w:val="center"/>
              <w:rPr>
                <w:rFonts w:ascii="Arial" w:hAnsi="Arial" w:cs="Arial"/>
                <w:sz w:val="18"/>
                <w:szCs w:val="18"/>
              </w:rPr>
            </w:pPr>
            <w:r w:rsidRPr="00137DFD">
              <w:rPr>
                <w:rFonts w:ascii="Arial" w:hAnsi="Arial" w:cs="Arial"/>
                <w:b/>
                <w:sz w:val="18"/>
                <w:szCs w:val="18"/>
              </w:rPr>
              <w:t>Grade 1-2 Timeframes</w:t>
            </w:r>
          </w:p>
        </w:tc>
        <w:tc>
          <w:tcPr>
            <w:tcW w:w="4675" w:type="dxa"/>
            <w:shd w:val="clear" w:color="auto" w:fill="DBE5F1" w:themeFill="accent1" w:themeFillTint="33"/>
            <w:vAlign w:val="center"/>
          </w:tcPr>
          <w:p w14:paraId="6E1B0745" w14:textId="77777777" w:rsidR="00D12912" w:rsidRPr="004A206C" w:rsidRDefault="00D12912" w:rsidP="00AE127C">
            <w:pPr>
              <w:spacing w:before="120" w:after="120"/>
              <w:jc w:val="center"/>
              <w:rPr>
                <w:rFonts w:ascii="Arial" w:hAnsi="Arial" w:cs="Arial"/>
                <w:sz w:val="18"/>
                <w:szCs w:val="18"/>
              </w:rPr>
            </w:pPr>
            <w:r w:rsidRPr="00137DFD">
              <w:rPr>
                <w:rFonts w:ascii="Arial" w:hAnsi="Arial" w:cs="Arial"/>
                <w:b/>
                <w:sz w:val="18"/>
                <w:szCs w:val="18"/>
              </w:rPr>
              <w:t>Grade 3-5</w:t>
            </w:r>
            <w:r>
              <w:rPr>
                <w:rFonts w:ascii="Arial" w:hAnsi="Arial" w:cs="Arial"/>
                <w:b/>
                <w:sz w:val="18"/>
                <w:szCs w:val="18"/>
              </w:rPr>
              <w:t xml:space="preserve"> </w:t>
            </w:r>
            <w:r w:rsidRPr="007A6DC0">
              <w:rPr>
                <w:rFonts w:ascii="Arial" w:hAnsi="Arial" w:cs="Arial"/>
                <w:b/>
                <w:sz w:val="18"/>
                <w:szCs w:val="18"/>
              </w:rPr>
              <w:t>Timeframes</w:t>
            </w:r>
          </w:p>
        </w:tc>
      </w:tr>
      <w:tr w:rsidR="00D12912" w14:paraId="47654836" w14:textId="77777777" w:rsidTr="00AE127C">
        <w:tc>
          <w:tcPr>
            <w:tcW w:w="4675" w:type="dxa"/>
            <w:vAlign w:val="center"/>
          </w:tcPr>
          <w:p w14:paraId="08F38D6C" w14:textId="77777777" w:rsidR="00D12912" w:rsidRPr="004A206C" w:rsidRDefault="00D12912" w:rsidP="00AE127C">
            <w:pPr>
              <w:spacing w:before="120" w:after="120"/>
              <w:jc w:val="center"/>
              <w:rPr>
                <w:rFonts w:ascii="Arial" w:hAnsi="Arial" w:cs="Arial"/>
                <w:sz w:val="18"/>
                <w:szCs w:val="18"/>
              </w:rPr>
            </w:pPr>
            <w:r w:rsidRPr="00137DFD">
              <w:rPr>
                <w:rFonts w:ascii="Arial" w:hAnsi="Arial" w:cs="Arial"/>
                <w:sz w:val="18"/>
                <w:szCs w:val="18"/>
              </w:rPr>
              <w:t>24-Hour notification, 10 Calendar Days</w:t>
            </w:r>
          </w:p>
        </w:tc>
        <w:tc>
          <w:tcPr>
            <w:tcW w:w="4675" w:type="dxa"/>
            <w:vAlign w:val="center"/>
          </w:tcPr>
          <w:p w14:paraId="02851AE4" w14:textId="77777777" w:rsidR="00D12912" w:rsidRPr="004A206C" w:rsidRDefault="00D12912" w:rsidP="00AE127C">
            <w:pPr>
              <w:spacing w:before="120" w:after="120"/>
              <w:jc w:val="center"/>
              <w:rPr>
                <w:rFonts w:ascii="Arial" w:hAnsi="Arial" w:cs="Arial"/>
                <w:sz w:val="18"/>
                <w:szCs w:val="18"/>
              </w:rPr>
            </w:pPr>
            <w:r w:rsidRPr="00137DFD">
              <w:rPr>
                <w:rFonts w:ascii="Arial" w:hAnsi="Arial" w:cs="Arial"/>
                <w:sz w:val="18"/>
                <w:szCs w:val="18"/>
              </w:rPr>
              <w:t>24-Hour notification, 5 Calendar Days</w:t>
            </w:r>
          </w:p>
        </w:tc>
      </w:tr>
      <w:tr w:rsidR="00D12912" w14:paraId="29848992" w14:textId="77777777" w:rsidTr="00AE127C">
        <w:tc>
          <w:tcPr>
            <w:tcW w:w="9350" w:type="dxa"/>
            <w:gridSpan w:val="2"/>
          </w:tcPr>
          <w:p w14:paraId="13901FFB" w14:textId="77777777" w:rsidR="00D12912" w:rsidRDefault="00D12912" w:rsidP="00AE127C">
            <w:pPr>
              <w:spacing w:before="120" w:after="120"/>
              <w:ind w:left="1008" w:hanging="720"/>
              <w:rPr>
                <w:rFonts w:ascii="Arial" w:hAnsi="Arial" w:cs="Arial"/>
                <w:sz w:val="18"/>
                <w:szCs w:val="18"/>
              </w:rPr>
            </w:pPr>
            <w:r w:rsidRPr="00137DFD">
              <w:rPr>
                <w:rFonts w:ascii="Arial" w:hAnsi="Arial" w:cs="Arial"/>
                <w:b/>
                <w:sz w:val="18"/>
                <w:szCs w:val="18"/>
              </w:rPr>
              <w:t>NOTE:</w:t>
            </w:r>
            <w:r>
              <w:rPr>
                <w:rFonts w:ascii="Arial" w:hAnsi="Arial" w:cs="Arial"/>
                <w:b/>
                <w:sz w:val="18"/>
                <w:szCs w:val="18"/>
              </w:rPr>
              <w:t xml:space="preserve">   </w:t>
            </w:r>
            <w:r w:rsidRPr="00137DFD">
              <w:rPr>
                <w:rFonts w:ascii="Arial" w:hAnsi="Arial" w:cs="Arial"/>
                <w:sz w:val="18"/>
                <w:szCs w:val="18"/>
              </w:rPr>
              <w:t>Protocol-specific exceptions to expedited reporting of SAEs are found in the Specific Protocol Exceptions to Expedited Reporting (SPEER) portion of the CAEPR</w:t>
            </w:r>
            <w:r>
              <w:rPr>
                <w:rFonts w:ascii="Arial" w:hAnsi="Arial" w:cs="Arial"/>
                <w:sz w:val="18"/>
                <w:szCs w:val="18"/>
              </w:rPr>
              <w:t>.</w:t>
            </w:r>
          </w:p>
          <w:p w14:paraId="1B279AEE" w14:textId="77777777" w:rsidR="00D12912" w:rsidRPr="00B6785F" w:rsidRDefault="00D12912" w:rsidP="00AE127C">
            <w:pPr>
              <w:spacing w:before="120" w:after="120"/>
              <w:ind w:left="1008" w:hanging="720"/>
              <w:rPr>
                <w:rFonts w:ascii="Arial" w:hAnsi="Arial" w:cs="Arial"/>
                <w:sz w:val="18"/>
                <w:szCs w:val="18"/>
              </w:rPr>
            </w:pPr>
            <w:r w:rsidRPr="00B6785F">
              <w:rPr>
                <w:rFonts w:ascii="Arial" w:hAnsi="Arial" w:cs="Arial"/>
                <w:b/>
                <w:sz w:val="18"/>
                <w:szCs w:val="18"/>
                <w:u w:val="single"/>
              </w:rPr>
              <w:t>Expedited AE reporting timeframes are defined as:</w:t>
            </w:r>
          </w:p>
          <w:p w14:paraId="596F5F85" w14:textId="77777777" w:rsidR="00D12912" w:rsidRDefault="00D12912" w:rsidP="00D12912">
            <w:pPr>
              <w:widowControl/>
              <w:numPr>
                <w:ilvl w:val="0"/>
                <w:numId w:val="6"/>
              </w:numPr>
              <w:spacing w:before="120" w:after="120"/>
              <w:rPr>
                <w:rFonts w:ascii="Arial" w:hAnsi="Arial" w:cs="Arial"/>
                <w:sz w:val="18"/>
                <w:szCs w:val="18"/>
              </w:rPr>
            </w:pPr>
            <w:r w:rsidRPr="00B6785F">
              <w:rPr>
                <w:rFonts w:ascii="Arial" w:hAnsi="Arial" w:cs="Arial"/>
                <w:sz w:val="18"/>
                <w:szCs w:val="18"/>
              </w:rPr>
              <w:t>“24-Hour notification, 5 Calendar Days” - The SAE must initially be reported via CTEP-AERS within 24 hours of learning of the SAE, followed by a complete expedited report within 5 calendar days of the initial 24-hour report.</w:t>
            </w:r>
          </w:p>
          <w:p w14:paraId="20B060F6" w14:textId="77777777" w:rsidR="00D12912" w:rsidRPr="00B6785F" w:rsidRDefault="00D12912" w:rsidP="00D12912">
            <w:pPr>
              <w:widowControl/>
              <w:numPr>
                <w:ilvl w:val="0"/>
                <w:numId w:val="6"/>
              </w:numPr>
              <w:spacing w:before="120" w:after="120"/>
              <w:rPr>
                <w:rFonts w:ascii="Arial" w:hAnsi="Arial" w:cs="Arial"/>
                <w:sz w:val="18"/>
                <w:szCs w:val="18"/>
              </w:rPr>
            </w:pPr>
            <w:r w:rsidRPr="00B6785F">
              <w:rPr>
                <w:rFonts w:ascii="Arial" w:hAnsi="Arial" w:cs="Arial"/>
                <w:sz w:val="18"/>
                <w:szCs w:val="18"/>
              </w:rPr>
              <w:lastRenderedPageBreak/>
              <w:t>“24-Hour notification, 10 Calendar Days” - The SAE must initially be reported via CTEP-AERS within 24 hours of learning of the SAE, followed by a complete expedited report within 10 calendar days of the initial 24-hour report.</w:t>
            </w:r>
          </w:p>
        </w:tc>
      </w:tr>
      <w:tr w:rsidR="00D12912" w14:paraId="4936806E" w14:textId="77777777" w:rsidTr="00AE127C">
        <w:tc>
          <w:tcPr>
            <w:tcW w:w="9350" w:type="dxa"/>
            <w:gridSpan w:val="2"/>
          </w:tcPr>
          <w:p w14:paraId="5C9E7576" w14:textId="77777777" w:rsidR="00D12912" w:rsidRPr="00137DFD" w:rsidRDefault="00D12912" w:rsidP="00AE127C">
            <w:pPr>
              <w:tabs>
                <w:tab w:val="center" w:pos="4320"/>
                <w:tab w:val="right" w:pos="8640"/>
              </w:tabs>
              <w:spacing w:before="120"/>
              <w:ind w:left="432" w:hanging="90"/>
              <w:rPr>
                <w:rFonts w:ascii="Arial" w:hAnsi="Arial" w:cs="Arial"/>
                <w:sz w:val="18"/>
                <w:szCs w:val="18"/>
              </w:rPr>
            </w:pPr>
            <w:r w:rsidRPr="00137DFD">
              <w:rPr>
                <w:rFonts w:ascii="Arial" w:hAnsi="Arial" w:cs="Arial"/>
                <w:sz w:val="18"/>
                <w:szCs w:val="18"/>
                <w:vertAlign w:val="superscript"/>
              </w:rPr>
              <w:lastRenderedPageBreak/>
              <w:t>1</w:t>
            </w:r>
            <w:r w:rsidRPr="00137DFD">
              <w:rPr>
                <w:rFonts w:ascii="Arial" w:hAnsi="Arial" w:cs="Arial"/>
                <w:sz w:val="18"/>
                <w:szCs w:val="18"/>
              </w:rPr>
              <w:t>SAEs that occur more than 30 days after the last administration of investigational agent/intervention and have an attribution of possible, probable, or definite require reporting as follows:</w:t>
            </w:r>
          </w:p>
          <w:p w14:paraId="460D1E63" w14:textId="77777777" w:rsidR="00D12912" w:rsidRPr="00137DFD" w:rsidRDefault="00D12912" w:rsidP="00AE127C">
            <w:pPr>
              <w:tabs>
                <w:tab w:val="center" w:pos="4320"/>
                <w:tab w:val="right" w:pos="8640"/>
              </w:tabs>
              <w:ind w:firstLine="432"/>
              <w:rPr>
                <w:rFonts w:ascii="Arial" w:hAnsi="Arial" w:cs="Arial"/>
                <w:b/>
                <w:sz w:val="18"/>
                <w:szCs w:val="18"/>
              </w:rPr>
            </w:pPr>
            <w:r w:rsidRPr="00137DFD">
              <w:rPr>
                <w:rFonts w:ascii="Arial" w:hAnsi="Arial" w:cs="Arial"/>
                <w:b/>
                <w:sz w:val="18"/>
                <w:szCs w:val="18"/>
              </w:rPr>
              <w:t>Expedited 24-</w:t>
            </w:r>
            <w:r>
              <w:rPr>
                <w:rFonts w:ascii="Arial" w:hAnsi="Arial" w:cs="Arial"/>
                <w:b/>
                <w:sz w:val="18"/>
                <w:szCs w:val="18"/>
              </w:rPr>
              <w:t>H</w:t>
            </w:r>
            <w:r w:rsidRPr="00137DFD">
              <w:rPr>
                <w:rFonts w:ascii="Arial" w:hAnsi="Arial" w:cs="Arial"/>
                <w:b/>
                <w:sz w:val="18"/>
                <w:szCs w:val="18"/>
              </w:rPr>
              <w:t>our notifications are required for all SAEs followed by a complete report</w:t>
            </w:r>
          </w:p>
          <w:p w14:paraId="005392BC" w14:textId="77777777" w:rsidR="00D12912" w:rsidRPr="00137DFD" w:rsidRDefault="00D12912" w:rsidP="00D12912">
            <w:pPr>
              <w:pStyle w:val="ListParagraph"/>
              <w:widowControl/>
              <w:numPr>
                <w:ilvl w:val="0"/>
                <w:numId w:val="310"/>
              </w:numPr>
              <w:tabs>
                <w:tab w:val="center" w:pos="4320"/>
                <w:tab w:val="right" w:pos="8640"/>
              </w:tabs>
              <w:rPr>
                <w:rFonts w:ascii="Arial" w:hAnsi="Arial" w:cs="Arial"/>
                <w:b/>
                <w:sz w:val="18"/>
                <w:szCs w:val="18"/>
              </w:rPr>
            </w:pPr>
            <w:r w:rsidRPr="00137DFD">
              <w:rPr>
                <w:rFonts w:ascii="Arial" w:hAnsi="Arial" w:cs="Arial"/>
                <w:bCs/>
                <w:sz w:val="18"/>
                <w:szCs w:val="18"/>
              </w:rPr>
              <w:t>Within 5 calendar days for Grade 3-5 SAEs</w:t>
            </w:r>
          </w:p>
          <w:p w14:paraId="2130F6D0" w14:textId="77777777" w:rsidR="00D12912" w:rsidRPr="00137DFD" w:rsidRDefault="00D12912" w:rsidP="00D12912">
            <w:pPr>
              <w:pStyle w:val="ListParagraph"/>
              <w:widowControl/>
              <w:numPr>
                <w:ilvl w:val="0"/>
                <w:numId w:val="310"/>
              </w:numPr>
              <w:tabs>
                <w:tab w:val="center" w:pos="4320"/>
                <w:tab w:val="right" w:pos="8640"/>
              </w:tabs>
              <w:rPr>
                <w:rFonts w:ascii="Arial" w:hAnsi="Arial" w:cs="Arial"/>
                <w:b/>
                <w:sz w:val="18"/>
                <w:szCs w:val="18"/>
              </w:rPr>
            </w:pPr>
            <w:r w:rsidRPr="00137DFD">
              <w:rPr>
                <w:rFonts w:ascii="Arial" w:hAnsi="Arial" w:cs="Arial"/>
                <w:bCs/>
                <w:sz w:val="18"/>
                <w:szCs w:val="18"/>
              </w:rPr>
              <w:t>Within 10 calendar days for Grade 1-2 SAEs</w:t>
            </w:r>
          </w:p>
          <w:p w14:paraId="6E794C19" w14:textId="77777777" w:rsidR="00D12912" w:rsidRDefault="00D12912" w:rsidP="00AE127C">
            <w:pPr>
              <w:spacing w:before="120" w:after="120"/>
              <w:ind w:left="346"/>
              <w:rPr>
                <w:rFonts w:ascii="Arial" w:hAnsi="Arial" w:cs="Arial"/>
                <w:sz w:val="18"/>
                <w:szCs w:val="18"/>
              </w:rPr>
            </w:pPr>
            <w:r w:rsidRPr="00137DFD">
              <w:rPr>
                <w:rFonts w:ascii="Arial" w:hAnsi="Arial" w:cs="Arial"/>
                <w:bCs/>
                <w:sz w:val="18"/>
                <w:szCs w:val="18"/>
                <w:vertAlign w:val="superscript"/>
              </w:rPr>
              <w:t>2</w:t>
            </w:r>
            <w:r w:rsidRPr="00137DFD">
              <w:rPr>
                <w:rFonts w:ascii="Arial" w:hAnsi="Arial" w:cs="Arial"/>
                <w:sz w:val="18"/>
                <w:szCs w:val="18"/>
              </w:rPr>
              <w:t>For studies using nuclear medicine or molecular imaging IND agents (NM, SPECT, or PET), the SAE reporting period is limited to 10 radioactive half-lives, rounded UP to the nearest whole day, after the agent/intervention was last administered.  Footnote “1” above applies after this reporting period.</w:t>
            </w:r>
          </w:p>
          <w:p w14:paraId="3E694EB2" w14:textId="77777777" w:rsidR="00D12912" w:rsidRPr="00137DFD" w:rsidRDefault="00D12912" w:rsidP="00AE127C">
            <w:pPr>
              <w:spacing w:before="120" w:after="120"/>
              <w:ind w:left="346"/>
            </w:pPr>
          </w:p>
          <w:p w14:paraId="68FCE6FE" w14:textId="77777777" w:rsidR="00D12912" w:rsidRPr="004A206C" w:rsidRDefault="00D12912" w:rsidP="00AE127C">
            <w:pPr>
              <w:spacing w:before="120" w:after="120"/>
              <w:ind w:left="288"/>
              <w:rPr>
                <w:rFonts w:ascii="Arial" w:hAnsi="Arial" w:cs="Arial"/>
                <w:sz w:val="18"/>
                <w:szCs w:val="18"/>
              </w:rPr>
            </w:pPr>
            <w:r w:rsidRPr="00137DFD">
              <w:rPr>
                <w:rFonts w:ascii="Arial" w:hAnsi="Arial" w:cs="Arial"/>
                <w:bCs/>
                <w:iCs/>
                <w:sz w:val="18"/>
                <w:szCs w:val="18"/>
              </w:rPr>
              <w:t xml:space="preserve">Effective Date: August </w:t>
            </w:r>
            <w:r>
              <w:rPr>
                <w:rFonts w:ascii="Arial" w:hAnsi="Arial" w:cs="Arial"/>
                <w:bCs/>
                <w:iCs/>
                <w:sz w:val="18"/>
                <w:szCs w:val="18"/>
              </w:rPr>
              <w:t>30</w:t>
            </w:r>
            <w:r w:rsidRPr="00137DFD">
              <w:rPr>
                <w:rFonts w:ascii="Arial" w:hAnsi="Arial" w:cs="Arial"/>
                <w:bCs/>
                <w:iCs/>
                <w:sz w:val="18"/>
                <w:szCs w:val="18"/>
              </w:rPr>
              <w:t>,</w:t>
            </w:r>
            <w:r>
              <w:rPr>
                <w:rFonts w:ascii="Arial" w:hAnsi="Arial" w:cs="Arial"/>
                <w:bCs/>
                <w:iCs/>
                <w:sz w:val="18"/>
                <w:szCs w:val="18"/>
              </w:rPr>
              <w:t xml:space="preserve"> </w:t>
            </w:r>
            <w:r w:rsidRPr="00137DFD">
              <w:rPr>
                <w:rFonts w:ascii="Arial" w:hAnsi="Arial" w:cs="Arial"/>
                <w:bCs/>
                <w:iCs/>
                <w:sz w:val="18"/>
                <w:szCs w:val="18"/>
              </w:rPr>
              <w:t>2024</w:t>
            </w:r>
          </w:p>
        </w:tc>
      </w:tr>
    </w:tbl>
    <w:p w14:paraId="46716724" w14:textId="77777777" w:rsidR="009E246E" w:rsidRPr="009F5CA5" w:rsidRDefault="009E246E" w:rsidP="009E246E"/>
    <w:p w14:paraId="3980F916" w14:textId="02160B54" w:rsidR="009E246E" w:rsidRPr="007300F3" w:rsidRDefault="009E246E" w:rsidP="009E246E"/>
    <w:p w14:paraId="23E095F7" w14:textId="77777777" w:rsidR="009E246E" w:rsidRPr="007300F3" w:rsidRDefault="009E246E" w:rsidP="00C94562">
      <w:pPr>
        <w:pStyle w:val="Heading2"/>
      </w:pPr>
      <w:bookmarkStart w:id="121" w:name="_Toc318813021"/>
      <w:bookmarkStart w:id="122" w:name="_Toc176419932"/>
      <w:r w:rsidRPr="007300F3">
        <w:t>Routine Adverse Event Reporting</w:t>
      </w:r>
      <w:bookmarkEnd w:id="121"/>
      <w:bookmarkEnd w:id="122"/>
    </w:p>
    <w:p w14:paraId="79E5D774" w14:textId="77777777" w:rsidR="009E246E" w:rsidRPr="007300F3" w:rsidRDefault="009E246E" w:rsidP="009E246E"/>
    <w:p w14:paraId="01877C39" w14:textId="77777777" w:rsidR="009E246E" w:rsidRDefault="009E246E" w:rsidP="009E246E">
      <w:pPr>
        <w:rPr>
          <w:b/>
        </w:rPr>
      </w:pPr>
      <w:r w:rsidRPr="00AC378E">
        <w:t xml:space="preserve">All Adverse Events </w:t>
      </w:r>
      <w:r w:rsidRPr="00426280">
        <w:rPr>
          <w:b/>
        </w:rPr>
        <w:t>must</w:t>
      </w:r>
      <w:r w:rsidRPr="00AC378E">
        <w:t xml:space="preserve"> be reported in routine study data submissions.  </w:t>
      </w:r>
      <w:r w:rsidRPr="00426280">
        <w:rPr>
          <w:b/>
        </w:rPr>
        <w:t xml:space="preserve">AEs reported </w:t>
      </w:r>
      <w:r>
        <w:rPr>
          <w:b/>
        </w:rPr>
        <w:t xml:space="preserve">expeditiously </w:t>
      </w:r>
      <w:r w:rsidRPr="00426280">
        <w:rPr>
          <w:b/>
        </w:rPr>
        <w:t xml:space="preserve">through </w:t>
      </w:r>
      <w:r w:rsidRPr="0050306B">
        <w:rPr>
          <w:b/>
        </w:rPr>
        <w:t>CTEP-AERS</w:t>
      </w:r>
      <w:r w:rsidRPr="0050306B" w:rsidDel="0050306B">
        <w:rPr>
          <w:b/>
        </w:rPr>
        <w:t xml:space="preserve"> </w:t>
      </w:r>
      <w:r w:rsidRPr="00426280">
        <w:rPr>
          <w:b/>
        </w:rPr>
        <w:t xml:space="preserve">must </w:t>
      </w:r>
      <w:r w:rsidRPr="00426280">
        <w:rPr>
          <w:b/>
          <w:u w:val="single"/>
        </w:rPr>
        <w:t>also</w:t>
      </w:r>
      <w:r w:rsidRPr="00426280">
        <w:rPr>
          <w:b/>
        </w:rPr>
        <w:t xml:space="preserve"> be reported in routine study data submissions.</w:t>
      </w:r>
    </w:p>
    <w:p w14:paraId="45B54C95" w14:textId="77777777" w:rsidR="009E246E" w:rsidRDefault="009E246E" w:rsidP="009E246E">
      <w:pPr>
        <w:rPr>
          <w:b/>
        </w:rPr>
      </w:pPr>
    </w:p>
    <w:p w14:paraId="75CEC6BD" w14:textId="77777777" w:rsidR="009E246E" w:rsidRDefault="009E246E" w:rsidP="009E246E">
      <w:r w:rsidRPr="001E6CE4">
        <w:t xml:space="preserve">Adverse event data collection and reporting, which are required as part of every clinical trial, are done to ensure the safety of patients enrolled in the studies as well as those who will enroll in future studies using similar agents. </w:t>
      </w:r>
      <w:r>
        <w:t xml:space="preserve"> </w:t>
      </w:r>
      <w:r w:rsidRPr="001E6CE4">
        <w:t>A</w:t>
      </w:r>
      <w:r>
        <w:t>E</w:t>
      </w:r>
      <w:r w:rsidRPr="001E6CE4">
        <w:t xml:space="preserve">s are reported in a routine manner at scheduled times during the trial using Medidata Rave. </w:t>
      </w:r>
      <w:r>
        <w:t xml:space="preserve"> </w:t>
      </w:r>
      <w:r w:rsidRPr="001E6CE4">
        <w:t>For this trial the</w:t>
      </w:r>
      <w:r w:rsidR="00BC40F2">
        <w:t xml:space="preserve"> Adverse Event CRF</w:t>
      </w:r>
      <w:r w:rsidRPr="001E6CE4">
        <w:t xml:space="preserve"> is used for</w:t>
      </w:r>
      <w:r>
        <w:t xml:space="preserve"> routine AE reporting in Rave.</w:t>
      </w:r>
    </w:p>
    <w:p w14:paraId="18AB3939" w14:textId="77777777" w:rsidR="009E246E" w:rsidRDefault="009E246E" w:rsidP="009E246E"/>
    <w:p w14:paraId="7BBEFD38" w14:textId="77777777" w:rsidR="00771407" w:rsidRDefault="00771407" w:rsidP="00C94562">
      <w:pPr>
        <w:pStyle w:val="Heading2"/>
      </w:pPr>
      <w:bookmarkStart w:id="123" w:name="_Toc176419933"/>
      <w:bookmarkStart w:id="124" w:name="_Hlk502775121"/>
      <w:r>
        <w:t>Pregnancy</w:t>
      </w:r>
      <w:bookmarkEnd w:id="123"/>
    </w:p>
    <w:p w14:paraId="6905526A" w14:textId="77777777" w:rsidR="00771407" w:rsidRPr="00EE6F22" w:rsidRDefault="00771407" w:rsidP="00771407">
      <w:pPr>
        <w:ind w:firstLine="360"/>
        <w:rPr>
          <w:bCs/>
        </w:rPr>
      </w:pPr>
    </w:p>
    <w:p w14:paraId="0C379D21" w14:textId="3E8A5B27" w:rsidR="00771407" w:rsidRDefault="00771407" w:rsidP="00771407">
      <w:r w:rsidRPr="00261E41">
        <w:t xml:space="preserve">Although not an adverse event in and of itself, pregnancy as well as its outcome must be documented via </w:t>
      </w:r>
      <w:r w:rsidRPr="00261E41">
        <w:rPr>
          <w:b/>
        </w:rPr>
        <w:t>CTEP-AERS</w:t>
      </w:r>
      <w:r w:rsidRPr="00261E41">
        <w:t xml:space="preserve">.  In addition, the </w:t>
      </w:r>
      <w:r w:rsidRPr="00261E41">
        <w:rPr>
          <w:b/>
          <w:i/>
        </w:rPr>
        <w:t>Pregnancy Information Form</w:t>
      </w:r>
      <w:r w:rsidRPr="00261E41">
        <w:t xml:space="preserve"> included within the NCI Guidelines for Adverse Event Reporting Requirements must be completed and submitted to CTEP.  Any pregnancy occurring in a patient or patient’s partner from the time of consent to 90 days after the last dose of study drug must be reported and then followed for outcome.  Newborn infants should be followed until 30 days old.  Please see the “NCI Guidelines for Investigators: Adverse Event Reporting Requirements for DCTD (CTEP and CIP) and DCP INDs and IDEs” (at </w:t>
      </w:r>
      <w:hyperlink r:id="rId74" w:history="1">
        <w:r w:rsidR="00464DA6" w:rsidRPr="00261E41">
          <w:rPr>
            <w:rStyle w:val="Hyperlink"/>
          </w:rPr>
          <w:t>http://ctep.cancer.gov/protocolDevelopment/adverse_effects.htm</w:t>
        </w:r>
      </w:hyperlink>
      <w:r w:rsidRPr="00261E41">
        <w:t xml:space="preserve">) for more details on how to report pregnancy and its outcome to CTEP. </w:t>
      </w:r>
      <w:bookmarkEnd w:id="124"/>
    </w:p>
    <w:p w14:paraId="4C93AEB0" w14:textId="77777777" w:rsidR="00771407" w:rsidRDefault="00771407" w:rsidP="00771407"/>
    <w:p w14:paraId="58A17C83" w14:textId="77777777" w:rsidR="009E246E" w:rsidRDefault="009E246E" w:rsidP="00C94562">
      <w:pPr>
        <w:pStyle w:val="Heading2"/>
      </w:pPr>
      <w:bookmarkStart w:id="125" w:name="_Toc318813022"/>
      <w:bookmarkStart w:id="126" w:name="_Toc176419934"/>
      <w:r>
        <w:t>Secondary Malignancy</w:t>
      </w:r>
      <w:bookmarkEnd w:id="125"/>
      <w:bookmarkEnd w:id="126"/>
    </w:p>
    <w:p w14:paraId="4632A0FB" w14:textId="77777777" w:rsidR="009E246E" w:rsidRPr="00EE6F22" w:rsidRDefault="009E246E" w:rsidP="009E246E">
      <w:pPr>
        <w:ind w:firstLine="360"/>
        <w:rPr>
          <w:bCs/>
        </w:rPr>
      </w:pPr>
    </w:p>
    <w:p w14:paraId="1F568C89" w14:textId="77777777" w:rsidR="009E246E" w:rsidRDefault="009E246E" w:rsidP="009E246E">
      <w:pPr>
        <w:rPr>
          <w:bCs/>
        </w:rPr>
      </w:pPr>
      <w:r w:rsidRPr="00EE2289">
        <w:rPr>
          <w:bCs/>
        </w:rPr>
        <w:t xml:space="preserve">A </w:t>
      </w:r>
      <w:r w:rsidRPr="00EE2289">
        <w:rPr>
          <w:bCs/>
          <w:i/>
          <w:iCs/>
        </w:rPr>
        <w:t xml:space="preserve">secondary malignancy </w:t>
      </w:r>
      <w:r w:rsidRPr="00EE2289">
        <w:rPr>
          <w:bCs/>
        </w:rPr>
        <w:t>is a cancer caused by treatment for a previous malignancy (</w:t>
      </w:r>
      <w:r w:rsidRPr="00A105F6">
        <w:rPr>
          <w:bCs/>
          <w:i/>
        </w:rPr>
        <w:t>e.g.</w:t>
      </w:r>
      <w:r w:rsidRPr="00EE2289">
        <w:rPr>
          <w:bCs/>
        </w:rPr>
        <w:t>, treatment with investigational agent/intervention, radiation or chemotherapy). A secondary malignancy is not considered a meta</w:t>
      </w:r>
      <w:r w:rsidR="004263D1">
        <w:rPr>
          <w:bCs/>
        </w:rPr>
        <w:t>stasis of the initial neoplasm.</w:t>
      </w:r>
    </w:p>
    <w:p w14:paraId="565A24F5" w14:textId="77777777" w:rsidR="004263D1" w:rsidRPr="00A63C5E" w:rsidRDefault="004263D1" w:rsidP="009E246E">
      <w:pPr>
        <w:rPr>
          <w:bCs/>
        </w:rPr>
      </w:pPr>
    </w:p>
    <w:p w14:paraId="5B48A5E4" w14:textId="77777777" w:rsidR="009E246E" w:rsidRDefault="009E246E" w:rsidP="009E246E">
      <w:pPr>
        <w:rPr>
          <w:bCs/>
        </w:rPr>
      </w:pPr>
      <w:r w:rsidRPr="00EE2289">
        <w:rPr>
          <w:bCs/>
        </w:rPr>
        <w:t xml:space="preserve">CTEP requires all secondary malignancies that occur following treatment with an agent under an </w:t>
      </w:r>
      <w:r w:rsidRPr="00EE2289">
        <w:rPr>
          <w:bCs/>
        </w:rPr>
        <w:lastRenderedPageBreak/>
        <w:t>NCI IND/IDE be reported</w:t>
      </w:r>
      <w:r>
        <w:rPr>
          <w:bCs/>
        </w:rPr>
        <w:t xml:space="preserve"> expeditiously</w:t>
      </w:r>
      <w:r w:rsidRPr="00EE2289">
        <w:rPr>
          <w:bCs/>
        </w:rPr>
        <w:t xml:space="preserve"> via </w:t>
      </w:r>
      <w:r>
        <w:t>CTEP-AERS</w:t>
      </w:r>
      <w:r w:rsidRPr="00EE2289">
        <w:rPr>
          <w:bCs/>
        </w:rPr>
        <w:t xml:space="preserve">. </w:t>
      </w:r>
      <w:r w:rsidR="004263D1">
        <w:rPr>
          <w:bCs/>
        </w:rPr>
        <w:t xml:space="preserve"> </w:t>
      </w:r>
      <w:r w:rsidRPr="00EE2289">
        <w:rPr>
          <w:bCs/>
        </w:rPr>
        <w:t xml:space="preserve">Three options are available to describe the event: </w:t>
      </w:r>
    </w:p>
    <w:p w14:paraId="0D110255" w14:textId="77777777" w:rsidR="009E246E" w:rsidRPr="00A63C5E" w:rsidRDefault="009E246E" w:rsidP="009E246E">
      <w:pPr>
        <w:rPr>
          <w:bCs/>
        </w:rPr>
      </w:pPr>
    </w:p>
    <w:p w14:paraId="60933CEF" w14:textId="77777777" w:rsidR="009E246E" w:rsidRPr="00696FD8" w:rsidRDefault="009E246E" w:rsidP="00EA0AFF">
      <w:pPr>
        <w:pStyle w:val="ListParagraph"/>
        <w:numPr>
          <w:ilvl w:val="0"/>
          <w:numId w:val="10"/>
        </w:numPr>
        <w:ind w:left="720"/>
        <w:rPr>
          <w:bCs/>
        </w:rPr>
      </w:pPr>
      <w:r w:rsidRPr="00696FD8">
        <w:rPr>
          <w:bCs/>
        </w:rPr>
        <w:t>Leukemia secondary to oncology chemotherapy (</w:t>
      </w:r>
      <w:r w:rsidRPr="00696FD8">
        <w:rPr>
          <w:bCs/>
          <w:i/>
        </w:rPr>
        <w:t>e.g.</w:t>
      </w:r>
      <w:r w:rsidRPr="00696FD8">
        <w:rPr>
          <w:bCs/>
        </w:rPr>
        <w:t xml:space="preserve">, acute myelocytic leukemia [AML]) </w:t>
      </w:r>
    </w:p>
    <w:p w14:paraId="0B9596A9" w14:textId="77777777" w:rsidR="009E246E" w:rsidRPr="00696FD8" w:rsidRDefault="009E246E" w:rsidP="00EA0AFF">
      <w:pPr>
        <w:pStyle w:val="ListParagraph"/>
        <w:numPr>
          <w:ilvl w:val="0"/>
          <w:numId w:val="10"/>
        </w:numPr>
        <w:ind w:left="720"/>
        <w:rPr>
          <w:bCs/>
        </w:rPr>
      </w:pPr>
      <w:r w:rsidRPr="00696FD8">
        <w:rPr>
          <w:bCs/>
        </w:rPr>
        <w:t xml:space="preserve">Myelodysplastic syndrome (MDS) </w:t>
      </w:r>
    </w:p>
    <w:p w14:paraId="04C19236" w14:textId="77777777" w:rsidR="009E246E" w:rsidRPr="00696FD8" w:rsidRDefault="009E246E" w:rsidP="00EA0AFF">
      <w:pPr>
        <w:pStyle w:val="ListParagraph"/>
        <w:numPr>
          <w:ilvl w:val="0"/>
          <w:numId w:val="10"/>
        </w:numPr>
        <w:ind w:left="720"/>
        <w:rPr>
          <w:bCs/>
        </w:rPr>
      </w:pPr>
      <w:r w:rsidRPr="00696FD8">
        <w:rPr>
          <w:bCs/>
        </w:rPr>
        <w:t xml:space="preserve">Treatment-related secondary malignancy </w:t>
      </w:r>
    </w:p>
    <w:p w14:paraId="1112D9AB" w14:textId="77777777" w:rsidR="009E246E" w:rsidRDefault="009E246E" w:rsidP="009E246E">
      <w:pPr>
        <w:rPr>
          <w:bCs/>
        </w:rPr>
      </w:pPr>
    </w:p>
    <w:p w14:paraId="1B352381" w14:textId="0C3F4406" w:rsidR="009E246E" w:rsidRDefault="009E246E" w:rsidP="009E246E">
      <w:pPr>
        <w:rPr>
          <w:bCs/>
        </w:rPr>
      </w:pPr>
      <w:r w:rsidRPr="00A63C5E">
        <w:rPr>
          <w:bCs/>
        </w:rPr>
        <w:t xml:space="preserve">Any malignancy possibly related to cancer treatment (including AML/MDS) should also be reported via the routine reporting mechanisms outlined in each protocol. </w:t>
      </w:r>
    </w:p>
    <w:p w14:paraId="27C440CD" w14:textId="77777777" w:rsidR="009E246E" w:rsidRDefault="009E246E" w:rsidP="009E246E">
      <w:pPr>
        <w:ind w:firstLine="360"/>
      </w:pPr>
    </w:p>
    <w:p w14:paraId="2EF6CD85" w14:textId="77777777" w:rsidR="009E246E" w:rsidRDefault="009E246E" w:rsidP="00C94562">
      <w:pPr>
        <w:pStyle w:val="Heading2"/>
      </w:pPr>
      <w:bookmarkStart w:id="127" w:name="_Toc318813023"/>
      <w:bookmarkStart w:id="128" w:name="_Toc176419935"/>
      <w:r w:rsidRPr="00EE2289">
        <w:t>Second Malignancy</w:t>
      </w:r>
      <w:bookmarkEnd w:id="127"/>
      <w:bookmarkEnd w:id="128"/>
    </w:p>
    <w:p w14:paraId="4D372103" w14:textId="77777777" w:rsidR="009E246E" w:rsidRPr="00A63C5E" w:rsidRDefault="009E246E" w:rsidP="009E246E"/>
    <w:p w14:paraId="268E639D" w14:textId="77777777" w:rsidR="00DA6359" w:rsidRDefault="009E246E" w:rsidP="009E246E">
      <w:pPr>
        <w:sectPr w:rsidR="00DA6359" w:rsidSect="00F155A2">
          <w:footerReference w:type="default" r:id="rId75"/>
          <w:headerReference w:type="first" r:id="rId76"/>
          <w:footerReference w:type="first" r:id="rId77"/>
          <w:endnotePr>
            <w:numFmt w:val="decimal"/>
          </w:endnotePr>
          <w:pgSz w:w="12240" w:h="15840" w:code="1"/>
          <w:pgMar w:top="1127" w:right="1440" w:bottom="1440" w:left="1440" w:header="720" w:footer="720" w:gutter="0"/>
          <w:cols w:space="720"/>
          <w:noEndnote/>
          <w:docGrid w:linePitch="360"/>
        </w:sectPr>
      </w:pPr>
      <w:r w:rsidRPr="00A63C5E">
        <w:t xml:space="preserve">A </w:t>
      </w:r>
      <w:r w:rsidRPr="00F82ED6">
        <w:rPr>
          <w:i/>
          <w:iCs/>
        </w:rPr>
        <w:t>second malignancy</w:t>
      </w:r>
      <w:r w:rsidRPr="00A63C5E">
        <w:t xml:space="preserve"> is one unrelated to the treatment of a prior malignancy (and is </w:t>
      </w:r>
      <w:r w:rsidRPr="00A63C5E">
        <w:rPr>
          <w:b/>
          <w:bCs/>
        </w:rPr>
        <w:t xml:space="preserve">NOT </w:t>
      </w:r>
      <w:r w:rsidRPr="00A63C5E">
        <w:t>a metastasis from the initial malignancy).</w:t>
      </w:r>
      <w:r>
        <w:t xml:space="preserve"> </w:t>
      </w:r>
      <w:r w:rsidRPr="00A63C5E">
        <w:t xml:space="preserve"> Second malignancies require </w:t>
      </w:r>
      <w:r w:rsidRPr="00A63C5E">
        <w:rPr>
          <w:b/>
          <w:bCs/>
        </w:rPr>
        <w:t xml:space="preserve">ONLY </w:t>
      </w:r>
      <w:r w:rsidRPr="00A63C5E">
        <w:t xml:space="preserve">routine </w:t>
      </w:r>
      <w:r w:rsidR="004263D1">
        <w:t>AE</w:t>
      </w:r>
      <w:r>
        <w:t xml:space="preserve"> </w:t>
      </w:r>
      <w:r w:rsidRPr="00A63C5E">
        <w:t xml:space="preserve">reporting </w:t>
      </w:r>
      <w:r>
        <w:t>unless otherwise specified</w:t>
      </w:r>
      <w:r w:rsidR="004263D1">
        <w:t>.</w:t>
      </w:r>
    </w:p>
    <w:p w14:paraId="431EAF0E" w14:textId="7E75CE83" w:rsidR="002B2C91" w:rsidRPr="007300F3" w:rsidRDefault="002B2C91" w:rsidP="00C94562">
      <w:pPr>
        <w:pStyle w:val="Heading1"/>
      </w:pPr>
      <w:bookmarkStart w:id="129" w:name="_Toc176419936"/>
      <w:r w:rsidRPr="007300F3">
        <w:lastRenderedPageBreak/>
        <w:t>STUDY CALENDAR</w:t>
      </w:r>
      <w:bookmarkEnd w:id="129"/>
    </w:p>
    <w:p w14:paraId="6F4F15AC" w14:textId="77777777" w:rsidR="0049655A" w:rsidRPr="007300F3" w:rsidRDefault="0049655A" w:rsidP="009E246E">
      <w:pPr>
        <w:suppressAutoHyphens/>
      </w:pPr>
      <w:bookmarkStart w:id="130" w:name="_Toc485990249"/>
      <w:bookmarkStart w:id="131" w:name="_Toc486864767"/>
      <w:bookmarkStart w:id="132" w:name="_Toc485990250"/>
      <w:bookmarkStart w:id="133" w:name="_Toc486864768"/>
      <w:bookmarkStart w:id="134" w:name="_Toc485990251"/>
      <w:bookmarkStart w:id="135" w:name="_Toc486864769"/>
      <w:bookmarkStart w:id="136" w:name="_Toc485990252"/>
      <w:bookmarkStart w:id="137" w:name="_Toc486864770"/>
      <w:bookmarkStart w:id="138" w:name="_Toc485990253"/>
      <w:bookmarkStart w:id="139" w:name="_Toc486864771"/>
      <w:bookmarkStart w:id="140" w:name="_Toc485990254"/>
      <w:bookmarkStart w:id="141" w:name="_Toc486864772"/>
      <w:bookmarkStart w:id="142" w:name="_Toc485990255"/>
      <w:bookmarkStart w:id="143" w:name="_Toc486864773"/>
      <w:bookmarkStart w:id="144" w:name="_Toc485990256"/>
      <w:bookmarkStart w:id="145" w:name="_Toc486864774"/>
      <w:bookmarkStart w:id="146" w:name="_Toc485990257"/>
      <w:bookmarkStart w:id="147" w:name="_Toc486864775"/>
      <w:bookmarkStart w:id="148" w:name="_Toc485990258"/>
      <w:bookmarkStart w:id="149" w:name="_Toc486864776"/>
      <w:bookmarkStart w:id="150" w:name="_Toc485990259"/>
      <w:bookmarkStart w:id="151" w:name="_Toc486864777"/>
      <w:bookmarkStart w:id="152" w:name="_Toc485990287"/>
      <w:bookmarkStart w:id="153" w:name="_Toc486864805"/>
      <w:bookmarkStart w:id="154" w:name="_Toc485990288"/>
      <w:bookmarkStart w:id="155" w:name="_Toc486864806"/>
      <w:bookmarkStart w:id="156" w:name="_Toc485990289"/>
      <w:bookmarkStart w:id="157" w:name="_Toc486864807"/>
      <w:bookmarkStart w:id="158" w:name="_Toc485990290"/>
      <w:bookmarkStart w:id="159" w:name="_Toc486864808"/>
      <w:bookmarkStart w:id="160" w:name="_Toc485990291"/>
      <w:bookmarkStart w:id="161" w:name="_Toc486864809"/>
      <w:bookmarkStart w:id="162" w:name="_Toc485990292"/>
      <w:bookmarkStart w:id="163" w:name="_Toc486864810"/>
      <w:bookmarkStart w:id="164" w:name="_Toc485990293"/>
      <w:bookmarkStart w:id="165" w:name="_Toc486864811"/>
      <w:bookmarkStart w:id="166" w:name="_Toc485990294"/>
      <w:bookmarkStart w:id="167" w:name="_Toc486864812"/>
      <w:bookmarkStart w:id="168" w:name="_Toc485990295"/>
      <w:bookmarkStart w:id="169" w:name="_Toc486864813"/>
      <w:bookmarkStart w:id="170" w:name="_Toc485990296"/>
      <w:bookmarkStart w:id="171" w:name="_Toc486864814"/>
      <w:bookmarkStart w:id="172" w:name="_Toc485990297"/>
      <w:bookmarkStart w:id="173" w:name="_Toc486864815"/>
      <w:bookmarkStart w:id="174" w:name="_Toc485990298"/>
      <w:bookmarkStart w:id="175" w:name="_Toc486864816"/>
      <w:bookmarkStart w:id="176" w:name="_Toc485990299"/>
      <w:bookmarkStart w:id="177" w:name="_Toc486864817"/>
      <w:bookmarkStart w:id="178" w:name="_Toc485990300"/>
      <w:bookmarkStart w:id="179" w:name="_Toc486864818"/>
      <w:bookmarkStart w:id="180" w:name="_Toc485990301"/>
      <w:bookmarkStart w:id="181" w:name="_Toc486864819"/>
      <w:bookmarkStart w:id="182" w:name="_Toc485990302"/>
      <w:bookmarkStart w:id="183" w:name="_Toc486864820"/>
      <w:bookmarkStart w:id="184" w:name="_Toc485990303"/>
      <w:bookmarkStart w:id="185" w:name="_Toc486864821"/>
      <w:bookmarkStart w:id="186" w:name="_Toc485990304"/>
      <w:bookmarkStart w:id="187" w:name="_Toc486864822"/>
      <w:bookmarkStart w:id="188" w:name="_Toc485990305"/>
      <w:bookmarkStart w:id="189" w:name="_Toc486864823"/>
      <w:bookmarkStart w:id="190" w:name="_Toc485990306"/>
      <w:bookmarkStart w:id="191" w:name="_Toc486864824"/>
      <w:bookmarkStart w:id="192" w:name="_Toc485990307"/>
      <w:bookmarkStart w:id="193" w:name="_Toc486864825"/>
      <w:bookmarkStart w:id="194" w:name="_Toc485990308"/>
      <w:bookmarkStart w:id="195" w:name="_Toc486864826"/>
      <w:bookmarkStart w:id="196" w:name="_Toc485990309"/>
      <w:bookmarkStart w:id="197" w:name="_Toc486864827"/>
      <w:bookmarkStart w:id="198" w:name="_Toc485990310"/>
      <w:bookmarkStart w:id="199" w:name="_Toc486864828"/>
      <w:bookmarkStart w:id="200" w:name="_Toc485990311"/>
      <w:bookmarkStart w:id="201" w:name="_Toc486864829"/>
      <w:bookmarkStart w:id="202" w:name="_Toc485990312"/>
      <w:bookmarkStart w:id="203" w:name="_Toc486864830"/>
      <w:bookmarkStart w:id="204" w:name="_Toc485990313"/>
      <w:bookmarkStart w:id="205" w:name="_Toc486864831"/>
      <w:bookmarkStart w:id="206" w:name="_Toc485990314"/>
      <w:bookmarkStart w:id="207" w:name="_Toc486864832"/>
      <w:bookmarkStart w:id="208" w:name="_Toc485990315"/>
      <w:bookmarkStart w:id="209" w:name="_Toc486864833"/>
      <w:bookmarkStart w:id="210" w:name="_Toc485990316"/>
      <w:bookmarkStart w:id="211" w:name="_Toc486864834"/>
      <w:bookmarkStart w:id="212" w:name="_Toc485990317"/>
      <w:bookmarkStart w:id="213" w:name="_Toc486864835"/>
      <w:bookmarkStart w:id="214" w:name="_Toc485990318"/>
      <w:bookmarkStart w:id="215" w:name="_Toc486864836"/>
      <w:bookmarkStart w:id="216" w:name="_Toc485990319"/>
      <w:bookmarkStart w:id="217" w:name="_Toc486864837"/>
      <w:bookmarkStart w:id="218" w:name="_Toc485990320"/>
      <w:bookmarkStart w:id="219" w:name="_Toc486864838"/>
      <w:bookmarkStart w:id="220" w:name="_Toc485990321"/>
      <w:bookmarkStart w:id="221" w:name="_Toc486864839"/>
      <w:bookmarkStart w:id="222" w:name="_Toc485990322"/>
      <w:bookmarkStart w:id="223" w:name="_Toc486864840"/>
      <w:bookmarkStart w:id="224" w:name="_Toc485990323"/>
      <w:bookmarkStart w:id="225" w:name="_Toc486864841"/>
      <w:bookmarkStart w:id="226" w:name="_Toc485990324"/>
      <w:bookmarkStart w:id="227" w:name="_Toc486864842"/>
      <w:bookmarkStart w:id="228" w:name="_Toc485990325"/>
      <w:bookmarkStart w:id="229" w:name="_Toc486864843"/>
      <w:bookmarkStart w:id="230" w:name="_Toc485990326"/>
      <w:bookmarkStart w:id="231" w:name="_Toc486864844"/>
      <w:bookmarkStart w:id="232" w:name="_Toc485990327"/>
      <w:bookmarkStart w:id="233" w:name="_Toc486864845"/>
      <w:bookmarkStart w:id="234" w:name="_Toc485990328"/>
      <w:bookmarkStart w:id="235" w:name="_Toc486864846"/>
      <w:bookmarkStart w:id="236" w:name="_Toc485990329"/>
      <w:bookmarkStart w:id="237" w:name="_Toc486864847"/>
      <w:bookmarkStart w:id="238" w:name="_Toc485990330"/>
      <w:bookmarkStart w:id="239" w:name="_Toc486864848"/>
      <w:bookmarkStart w:id="240" w:name="_Toc485990331"/>
      <w:bookmarkStart w:id="241" w:name="_Toc486864849"/>
      <w:bookmarkStart w:id="242" w:name="_Toc485990332"/>
      <w:bookmarkStart w:id="243" w:name="_Toc486864850"/>
      <w:bookmarkStart w:id="244" w:name="_Toc485990333"/>
      <w:bookmarkStart w:id="245" w:name="_Toc486864851"/>
      <w:bookmarkStart w:id="246" w:name="_Toc485990334"/>
      <w:bookmarkStart w:id="247" w:name="_Toc486864852"/>
      <w:bookmarkStart w:id="248" w:name="_Toc485990335"/>
      <w:bookmarkStart w:id="249" w:name="_Toc486864853"/>
      <w:bookmarkStart w:id="250" w:name="_Toc485990336"/>
      <w:bookmarkStart w:id="251" w:name="_Toc486864854"/>
      <w:bookmarkStart w:id="252" w:name="_Toc485990337"/>
      <w:bookmarkStart w:id="253" w:name="_Toc486864855"/>
      <w:bookmarkStart w:id="254" w:name="_Toc485990338"/>
      <w:bookmarkStart w:id="255" w:name="_Toc486864856"/>
      <w:bookmarkStart w:id="256" w:name="_Toc485990339"/>
      <w:bookmarkStart w:id="257" w:name="_Toc486864857"/>
      <w:bookmarkStart w:id="258" w:name="_Toc485990340"/>
      <w:bookmarkStart w:id="259" w:name="_Toc486864858"/>
      <w:bookmarkStart w:id="260" w:name="_Toc485990341"/>
      <w:bookmarkStart w:id="261" w:name="_Toc486864859"/>
      <w:bookmarkStart w:id="262" w:name="_Toc485990342"/>
      <w:bookmarkStart w:id="263" w:name="_Toc486864860"/>
      <w:bookmarkStart w:id="264" w:name="_Toc485990343"/>
      <w:bookmarkStart w:id="265" w:name="_Toc486864861"/>
      <w:bookmarkStart w:id="266" w:name="_Toc485990344"/>
      <w:bookmarkStart w:id="267" w:name="_Toc486864862"/>
      <w:bookmarkStart w:id="268" w:name="_Toc485990345"/>
      <w:bookmarkStart w:id="269" w:name="_Toc486864863"/>
      <w:bookmarkStart w:id="270" w:name="_Toc485990346"/>
      <w:bookmarkStart w:id="271" w:name="_Toc486864864"/>
      <w:bookmarkStart w:id="272" w:name="_Toc485990347"/>
      <w:bookmarkStart w:id="273" w:name="_Toc486864865"/>
      <w:bookmarkStart w:id="274" w:name="_Toc485990348"/>
      <w:bookmarkStart w:id="275" w:name="_Toc486864866"/>
      <w:bookmarkStart w:id="276" w:name="_Toc485990349"/>
      <w:bookmarkStart w:id="277" w:name="_Toc486864867"/>
      <w:bookmarkStart w:id="278" w:name="_Toc485990350"/>
      <w:bookmarkStart w:id="279" w:name="_Toc486864868"/>
      <w:bookmarkStart w:id="280" w:name="_Toc485990351"/>
      <w:bookmarkStart w:id="281" w:name="_Toc486864869"/>
      <w:bookmarkStart w:id="282" w:name="_Toc485990352"/>
      <w:bookmarkStart w:id="283" w:name="_Toc486864870"/>
      <w:bookmarkStart w:id="284" w:name="_Toc485990353"/>
      <w:bookmarkStart w:id="285" w:name="_Toc486864871"/>
      <w:bookmarkStart w:id="286" w:name="_Toc485990354"/>
      <w:bookmarkStart w:id="287" w:name="_Toc486864872"/>
      <w:bookmarkStart w:id="288" w:name="_Toc485990355"/>
      <w:bookmarkStart w:id="289" w:name="_Toc486864873"/>
      <w:bookmarkStart w:id="290" w:name="_Toc485990356"/>
      <w:bookmarkStart w:id="291" w:name="_Toc486864874"/>
      <w:bookmarkStart w:id="292" w:name="_Toc485990357"/>
      <w:bookmarkStart w:id="293" w:name="_Toc486864875"/>
      <w:bookmarkStart w:id="294" w:name="_Toc485990358"/>
      <w:bookmarkStart w:id="295" w:name="_Toc486864876"/>
      <w:bookmarkStart w:id="296" w:name="_Toc485990359"/>
      <w:bookmarkStart w:id="297" w:name="_Toc486864877"/>
      <w:bookmarkStart w:id="298" w:name="_Toc485990360"/>
      <w:bookmarkStart w:id="299" w:name="_Toc486864878"/>
      <w:bookmarkStart w:id="300" w:name="_Toc485990361"/>
      <w:bookmarkStart w:id="301" w:name="_Toc486864879"/>
      <w:bookmarkStart w:id="302" w:name="_Toc485990362"/>
      <w:bookmarkStart w:id="303" w:name="_Toc486864880"/>
      <w:bookmarkStart w:id="304" w:name="_Toc485990363"/>
      <w:bookmarkStart w:id="305" w:name="_Toc486864881"/>
      <w:bookmarkStart w:id="306" w:name="_Toc485990364"/>
      <w:bookmarkStart w:id="307" w:name="_Toc486864882"/>
      <w:bookmarkStart w:id="308" w:name="_Toc485990365"/>
      <w:bookmarkStart w:id="309" w:name="_Toc486864883"/>
      <w:bookmarkStart w:id="310" w:name="_Toc485990366"/>
      <w:bookmarkStart w:id="311" w:name="_Toc486864884"/>
      <w:bookmarkStart w:id="312" w:name="_Toc485990367"/>
      <w:bookmarkStart w:id="313" w:name="_Toc486864885"/>
      <w:bookmarkStart w:id="314" w:name="_Toc485990368"/>
      <w:bookmarkStart w:id="315" w:name="_Toc486864886"/>
      <w:bookmarkStart w:id="316" w:name="_Toc485990369"/>
      <w:bookmarkStart w:id="317" w:name="_Toc486864887"/>
      <w:bookmarkStart w:id="318" w:name="_Toc485990370"/>
      <w:bookmarkStart w:id="319" w:name="_Toc486864888"/>
      <w:bookmarkStart w:id="320" w:name="_Toc485990371"/>
      <w:bookmarkStart w:id="321" w:name="_Toc486864889"/>
      <w:bookmarkStart w:id="322" w:name="_Toc485990372"/>
      <w:bookmarkStart w:id="323" w:name="_Toc486864890"/>
      <w:bookmarkStart w:id="324" w:name="_Toc485990373"/>
      <w:bookmarkStart w:id="325" w:name="_Toc486864891"/>
      <w:bookmarkStart w:id="326" w:name="_Toc485990374"/>
      <w:bookmarkStart w:id="327" w:name="_Toc486864892"/>
      <w:bookmarkStart w:id="328" w:name="_Toc485990375"/>
      <w:bookmarkStart w:id="329" w:name="_Toc486864893"/>
      <w:bookmarkStart w:id="330" w:name="_Toc485990376"/>
      <w:bookmarkStart w:id="331" w:name="_Toc486864894"/>
      <w:bookmarkStart w:id="332" w:name="_Toc485990377"/>
      <w:bookmarkStart w:id="333" w:name="_Toc486864895"/>
      <w:bookmarkStart w:id="334" w:name="_Toc485990378"/>
      <w:bookmarkStart w:id="335" w:name="_Toc486864896"/>
      <w:bookmarkStart w:id="336" w:name="_Toc485990379"/>
      <w:bookmarkStart w:id="337" w:name="_Toc486864897"/>
      <w:bookmarkStart w:id="338" w:name="_Toc485990380"/>
      <w:bookmarkStart w:id="339" w:name="_Toc486864898"/>
      <w:bookmarkStart w:id="340" w:name="_Toc485990381"/>
      <w:bookmarkStart w:id="341" w:name="_Toc486864899"/>
      <w:bookmarkStart w:id="342" w:name="_Toc485990382"/>
      <w:bookmarkStart w:id="343" w:name="_Toc486864900"/>
      <w:bookmarkStart w:id="344" w:name="_Toc485990383"/>
      <w:bookmarkStart w:id="345" w:name="_Toc486864901"/>
      <w:bookmarkStart w:id="346" w:name="_Toc485990384"/>
      <w:bookmarkStart w:id="347" w:name="_Toc486864902"/>
      <w:bookmarkStart w:id="348" w:name="_Toc485990385"/>
      <w:bookmarkStart w:id="349" w:name="_Toc486864903"/>
      <w:bookmarkStart w:id="350" w:name="_Toc485990386"/>
      <w:bookmarkStart w:id="351" w:name="_Toc486864904"/>
      <w:bookmarkStart w:id="352" w:name="_Toc485990387"/>
      <w:bookmarkStart w:id="353" w:name="_Toc486864905"/>
      <w:bookmarkStart w:id="354" w:name="_Toc485990388"/>
      <w:bookmarkStart w:id="355" w:name="_Toc486864906"/>
      <w:bookmarkStart w:id="356" w:name="_Toc485990389"/>
      <w:bookmarkStart w:id="357" w:name="_Toc486864907"/>
      <w:bookmarkStart w:id="358" w:name="_Toc485990390"/>
      <w:bookmarkStart w:id="359" w:name="_Toc486864908"/>
      <w:bookmarkStart w:id="360" w:name="_Toc485990391"/>
      <w:bookmarkStart w:id="361" w:name="_Toc48686490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47FF6750" w14:textId="0FA0401B" w:rsidR="009E246E" w:rsidRPr="007300F3" w:rsidRDefault="009E246E" w:rsidP="009E246E">
      <w:pPr>
        <w:suppressAutoHyphens/>
      </w:pPr>
      <w:r w:rsidRPr="007300F3">
        <w:t xml:space="preserve">Baseline evaluations are to be conducted within </w:t>
      </w:r>
      <w:r w:rsidR="00883C0A">
        <w:t>4</w:t>
      </w:r>
      <w:r w:rsidRPr="007300F3">
        <w:t xml:space="preserve"> week</w:t>
      </w:r>
      <w:r w:rsidR="00883C0A">
        <w:t>s</w:t>
      </w:r>
      <w:r w:rsidRPr="007300F3">
        <w:t xml:space="preserve"> prior to start of protocol therapy.  Scans and x-rays must be done </w:t>
      </w:r>
      <w:r w:rsidRPr="007300F3">
        <w:rPr>
          <w:u w:val="single"/>
        </w:rPr>
        <w:t>&lt;</w:t>
      </w:r>
      <w:r w:rsidRPr="007300F3">
        <w:t>4 weeks prior to the start of therapy.  In the event that the patient’s condition is deteriorating, laboratory evaluations should be repeated within 48 hours prior to initiation of the next therapy</w:t>
      </w:r>
      <w:r w:rsidR="00086BC6">
        <w:t xml:space="preserve"> exposure</w:t>
      </w:r>
      <w:r w:rsidRPr="007300F3">
        <w:t>.</w:t>
      </w:r>
    </w:p>
    <w:p w14:paraId="2C2B3D68" w14:textId="77777777" w:rsidR="009E246E" w:rsidRPr="007300F3" w:rsidRDefault="009E246E" w:rsidP="009E246E">
      <w:pPr>
        <w:suppressAutoHyphens/>
      </w:pPr>
    </w:p>
    <w:tbl>
      <w:tblPr>
        <w:tblW w:w="12929"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40"/>
        <w:gridCol w:w="873"/>
        <w:gridCol w:w="634"/>
        <w:gridCol w:w="600"/>
        <w:gridCol w:w="617"/>
        <w:gridCol w:w="704"/>
        <w:gridCol w:w="635"/>
        <w:gridCol w:w="635"/>
        <w:gridCol w:w="635"/>
        <w:gridCol w:w="652"/>
        <w:gridCol w:w="635"/>
        <w:gridCol w:w="686"/>
        <w:gridCol w:w="721"/>
        <w:gridCol w:w="709"/>
        <w:gridCol w:w="1347"/>
        <w:gridCol w:w="6"/>
      </w:tblGrid>
      <w:tr w:rsidR="009E246E" w:rsidRPr="00C023DD" w14:paraId="50D77237" w14:textId="77777777" w:rsidTr="0011325C">
        <w:trPr>
          <w:gridAfter w:val="1"/>
          <w:wAfter w:w="6" w:type="dxa"/>
          <w:trHeight w:val="493"/>
        </w:trPr>
        <w:tc>
          <w:tcPr>
            <w:tcW w:w="2840" w:type="dxa"/>
            <w:vAlign w:val="center"/>
          </w:tcPr>
          <w:p w14:paraId="11DF945A" w14:textId="77777777" w:rsidR="009E246E" w:rsidRPr="003E5D11" w:rsidRDefault="009E246E" w:rsidP="009657C6">
            <w:pPr>
              <w:spacing w:before="60" w:after="60"/>
              <w:rPr>
                <w:spacing w:val="-3"/>
                <w:sz w:val="16"/>
                <w:szCs w:val="16"/>
              </w:rPr>
            </w:pPr>
          </w:p>
        </w:tc>
        <w:tc>
          <w:tcPr>
            <w:tcW w:w="873" w:type="dxa"/>
            <w:vAlign w:val="center"/>
          </w:tcPr>
          <w:p w14:paraId="494B04CE" w14:textId="77777777" w:rsidR="009E246E" w:rsidRPr="003E5D11" w:rsidRDefault="009E246E" w:rsidP="009657C6">
            <w:pPr>
              <w:spacing w:before="60" w:after="60"/>
              <w:jc w:val="center"/>
              <w:rPr>
                <w:sz w:val="16"/>
                <w:szCs w:val="16"/>
              </w:rPr>
            </w:pPr>
            <w:r w:rsidRPr="003E5D11">
              <w:rPr>
                <w:sz w:val="16"/>
                <w:szCs w:val="16"/>
              </w:rPr>
              <w:t>Pre-</w:t>
            </w:r>
            <w:r w:rsidR="009657C6">
              <w:rPr>
                <w:sz w:val="16"/>
                <w:szCs w:val="16"/>
              </w:rPr>
              <w:br/>
            </w:r>
            <w:r w:rsidRPr="003E5D11">
              <w:rPr>
                <w:sz w:val="16"/>
                <w:szCs w:val="16"/>
              </w:rPr>
              <w:t>Study</w:t>
            </w:r>
          </w:p>
        </w:tc>
        <w:tc>
          <w:tcPr>
            <w:tcW w:w="634" w:type="dxa"/>
            <w:vAlign w:val="center"/>
          </w:tcPr>
          <w:p w14:paraId="5E0430F2" w14:textId="77777777" w:rsidR="009E246E" w:rsidRPr="003E5D11" w:rsidRDefault="009E246E" w:rsidP="009657C6">
            <w:pPr>
              <w:spacing w:before="60" w:after="60"/>
              <w:jc w:val="center"/>
              <w:rPr>
                <w:sz w:val="16"/>
                <w:szCs w:val="16"/>
              </w:rPr>
            </w:pPr>
            <w:proofErr w:type="spellStart"/>
            <w:r w:rsidRPr="003E5D11">
              <w:rPr>
                <w:sz w:val="16"/>
                <w:szCs w:val="16"/>
              </w:rPr>
              <w:t>Wk</w:t>
            </w:r>
            <w:proofErr w:type="spellEnd"/>
            <w:r w:rsidR="009657C6">
              <w:rPr>
                <w:sz w:val="16"/>
                <w:szCs w:val="16"/>
              </w:rPr>
              <w:br/>
            </w:r>
            <w:r w:rsidRPr="003E5D11">
              <w:rPr>
                <w:sz w:val="16"/>
                <w:szCs w:val="16"/>
              </w:rPr>
              <w:t>1</w:t>
            </w:r>
          </w:p>
        </w:tc>
        <w:tc>
          <w:tcPr>
            <w:tcW w:w="600" w:type="dxa"/>
            <w:vAlign w:val="center"/>
          </w:tcPr>
          <w:p w14:paraId="61D69325" w14:textId="77777777" w:rsidR="009E246E" w:rsidRPr="003E5D11" w:rsidRDefault="009E246E" w:rsidP="009657C6">
            <w:pPr>
              <w:spacing w:before="60" w:after="60"/>
              <w:jc w:val="center"/>
              <w:rPr>
                <w:sz w:val="16"/>
                <w:szCs w:val="16"/>
              </w:rPr>
            </w:pPr>
            <w:proofErr w:type="spellStart"/>
            <w:r w:rsidRPr="003E5D11">
              <w:rPr>
                <w:sz w:val="16"/>
                <w:szCs w:val="16"/>
              </w:rPr>
              <w:t>Wk</w:t>
            </w:r>
            <w:proofErr w:type="spellEnd"/>
            <w:r w:rsidR="009657C6">
              <w:rPr>
                <w:sz w:val="16"/>
                <w:szCs w:val="16"/>
              </w:rPr>
              <w:br/>
            </w:r>
            <w:r w:rsidRPr="003E5D11">
              <w:rPr>
                <w:sz w:val="16"/>
                <w:szCs w:val="16"/>
              </w:rPr>
              <w:t>2</w:t>
            </w:r>
          </w:p>
        </w:tc>
        <w:tc>
          <w:tcPr>
            <w:tcW w:w="617" w:type="dxa"/>
            <w:vAlign w:val="center"/>
          </w:tcPr>
          <w:p w14:paraId="7FD7ED78" w14:textId="77777777" w:rsidR="009E246E" w:rsidRPr="003E5D11" w:rsidRDefault="009E246E" w:rsidP="009657C6">
            <w:pPr>
              <w:spacing w:before="60" w:after="60"/>
              <w:jc w:val="center"/>
              <w:rPr>
                <w:sz w:val="16"/>
                <w:szCs w:val="16"/>
              </w:rPr>
            </w:pPr>
            <w:proofErr w:type="spellStart"/>
            <w:r w:rsidRPr="003E5D11">
              <w:rPr>
                <w:sz w:val="16"/>
                <w:szCs w:val="16"/>
              </w:rPr>
              <w:t>Wk</w:t>
            </w:r>
            <w:proofErr w:type="spellEnd"/>
            <w:r w:rsidR="009657C6">
              <w:rPr>
                <w:sz w:val="16"/>
                <w:szCs w:val="16"/>
              </w:rPr>
              <w:br/>
            </w:r>
            <w:r w:rsidRPr="003E5D11">
              <w:rPr>
                <w:sz w:val="16"/>
                <w:szCs w:val="16"/>
              </w:rPr>
              <w:t>3</w:t>
            </w:r>
          </w:p>
        </w:tc>
        <w:tc>
          <w:tcPr>
            <w:tcW w:w="704" w:type="dxa"/>
            <w:vAlign w:val="center"/>
          </w:tcPr>
          <w:p w14:paraId="19BE1E8A" w14:textId="77777777" w:rsidR="009E246E" w:rsidRPr="003E5D11" w:rsidRDefault="009E246E" w:rsidP="009657C6">
            <w:pPr>
              <w:spacing w:before="60" w:after="60"/>
              <w:jc w:val="center"/>
              <w:rPr>
                <w:sz w:val="16"/>
                <w:szCs w:val="16"/>
              </w:rPr>
            </w:pPr>
            <w:proofErr w:type="spellStart"/>
            <w:r w:rsidRPr="003E5D11">
              <w:rPr>
                <w:sz w:val="16"/>
                <w:szCs w:val="16"/>
              </w:rPr>
              <w:t>Wk</w:t>
            </w:r>
            <w:proofErr w:type="spellEnd"/>
            <w:r w:rsidR="009657C6">
              <w:rPr>
                <w:sz w:val="16"/>
                <w:szCs w:val="16"/>
              </w:rPr>
              <w:br/>
            </w:r>
            <w:r w:rsidRPr="003E5D11">
              <w:rPr>
                <w:sz w:val="16"/>
                <w:szCs w:val="16"/>
              </w:rPr>
              <w:t>4</w:t>
            </w:r>
          </w:p>
        </w:tc>
        <w:tc>
          <w:tcPr>
            <w:tcW w:w="635" w:type="dxa"/>
            <w:vAlign w:val="center"/>
          </w:tcPr>
          <w:p w14:paraId="2DA6570C" w14:textId="77777777" w:rsidR="009E246E" w:rsidRPr="003E5D11" w:rsidRDefault="009E246E" w:rsidP="009657C6">
            <w:pPr>
              <w:spacing w:before="60" w:after="60"/>
              <w:jc w:val="center"/>
              <w:rPr>
                <w:sz w:val="16"/>
                <w:szCs w:val="16"/>
              </w:rPr>
            </w:pPr>
            <w:proofErr w:type="spellStart"/>
            <w:r w:rsidRPr="003E5D11">
              <w:rPr>
                <w:sz w:val="16"/>
                <w:szCs w:val="16"/>
              </w:rPr>
              <w:t>Wk</w:t>
            </w:r>
            <w:proofErr w:type="spellEnd"/>
            <w:r w:rsidR="009657C6">
              <w:rPr>
                <w:sz w:val="16"/>
                <w:szCs w:val="16"/>
              </w:rPr>
              <w:br/>
            </w:r>
            <w:r w:rsidRPr="003E5D11">
              <w:rPr>
                <w:sz w:val="16"/>
                <w:szCs w:val="16"/>
              </w:rPr>
              <w:t>5</w:t>
            </w:r>
          </w:p>
        </w:tc>
        <w:tc>
          <w:tcPr>
            <w:tcW w:w="635" w:type="dxa"/>
            <w:vAlign w:val="center"/>
          </w:tcPr>
          <w:p w14:paraId="616622B3" w14:textId="77777777" w:rsidR="009E246E" w:rsidRPr="003E5D11" w:rsidRDefault="009E246E" w:rsidP="009657C6">
            <w:pPr>
              <w:spacing w:before="60" w:after="60"/>
              <w:jc w:val="center"/>
              <w:rPr>
                <w:sz w:val="16"/>
                <w:szCs w:val="16"/>
              </w:rPr>
            </w:pPr>
            <w:proofErr w:type="spellStart"/>
            <w:r w:rsidRPr="003E5D11">
              <w:rPr>
                <w:sz w:val="16"/>
                <w:szCs w:val="16"/>
              </w:rPr>
              <w:t>Wk</w:t>
            </w:r>
            <w:proofErr w:type="spellEnd"/>
            <w:r w:rsidR="009657C6">
              <w:rPr>
                <w:sz w:val="16"/>
                <w:szCs w:val="16"/>
              </w:rPr>
              <w:br/>
            </w:r>
            <w:r w:rsidRPr="003E5D11">
              <w:rPr>
                <w:sz w:val="16"/>
                <w:szCs w:val="16"/>
              </w:rPr>
              <w:t>6</w:t>
            </w:r>
          </w:p>
        </w:tc>
        <w:tc>
          <w:tcPr>
            <w:tcW w:w="635" w:type="dxa"/>
            <w:vAlign w:val="center"/>
          </w:tcPr>
          <w:p w14:paraId="264E27D6" w14:textId="77777777" w:rsidR="009E246E" w:rsidRPr="003E5D11" w:rsidRDefault="009E246E" w:rsidP="009657C6">
            <w:pPr>
              <w:spacing w:before="60" w:after="60"/>
              <w:jc w:val="center"/>
              <w:rPr>
                <w:sz w:val="16"/>
                <w:szCs w:val="16"/>
              </w:rPr>
            </w:pPr>
            <w:proofErr w:type="spellStart"/>
            <w:r w:rsidRPr="003E5D11">
              <w:rPr>
                <w:sz w:val="16"/>
                <w:szCs w:val="16"/>
              </w:rPr>
              <w:t>Wk</w:t>
            </w:r>
            <w:proofErr w:type="spellEnd"/>
            <w:r w:rsidR="009657C6">
              <w:rPr>
                <w:sz w:val="16"/>
                <w:szCs w:val="16"/>
              </w:rPr>
              <w:br/>
            </w:r>
            <w:r w:rsidRPr="003E5D11">
              <w:rPr>
                <w:sz w:val="16"/>
                <w:szCs w:val="16"/>
              </w:rPr>
              <w:t>7</w:t>
            </w:r>
          </w:p>
        </w:tc>
        <w:tc>
          <w:tcPr>
            <w:tcW w:w="652" w:type="dxa"/>
            <w:vAlign w:val="center"/>
          </w:tcPr>
          <w:p w14:paraId="1F5B0B6B" w14:textId="77777777" w:rsidR="009E246E" w:rsidRPr="003E5D11" w:rsidRDefault="009E246E" w:rsidP="009657C6">
            <w:pPr>
              <w:spacing w:before="60" w:after="60"/>
              <w:jc w:val="center"/>
              <w:rPr>
                <w:sz w:val="16"/>
                <w:szCs w:val="16"/>
              </w:rPr>
            </w:pPr>
            <w:proofErr w:type="spellStart"/>
            <w:r w:rsidRPr="003E5D11">
              <w:rPr>
                <w:sz w:val="16"/>
                <w:szCs w:val="16"/>
              </w:rPr>
              <w:t>Wk</w:t>
            </w:r>
            <w:proofErr w:type="spellEnd"/>
            <w:r w:rsidR="009657C6">
              <w:rPr>
                <w:sz w:val="16"/>
                <w:szCs w:val="16"/>
              </w:rPr>
              <w:br/>
            </w:r>
            <w:r w:rsidRPr="003E5D11">
              <w:rPr>
                <w:sz w:val="16"/>
                <w:szCs w:val="16"/>
              </w:rPr>
              <w:t>8</w:t>
            </w:r>
          </w:p>
        </w:tc>
        <w:tc>
          <w:tcPr>
            <w:tcW w:w="635" w:type="dxa"/>
            <w:vAlign w:val="center"/>
          </w:tcPr>
          <w:p w14:paraId="02D1D713" w14:textId="77777777" w:rsidR="009E246E" w:rsidRPr="003E5D11" w:rsidRDefault="009E246E" w:rsidP="009657C6">
            <w:pPr>
              <w:spacing w:before="60" w:after="60"/>
              <w:jc w:val="center"/>
              <w:rPr>
                <w:sz w:val="16"/>
                <w:szCs w:val="16"/>
              </w:rPr>
            </w:pPr>
            <w:proofErr w:type="spellStart"/>
            <w:r w:rsidRPr="003E5D11">
              <w:rPr>
                <w:sz w:val="16"/>
                <w:szCs w:val="16"/>
              </w:rPr>
              <w:t>Wk</w:t>
            </w:r>
            <w:proofErr w:type="spellEnd"/>
            <w:r w:rsidR="009657C6">
              <w:rPr>
                <w:sz w:val="16"/>
                <w:szCs w:val="16"/>
              </w:rPr>
              <w:br/>
            </w:r>
            <w:r w:rsidRPr="003E5D11">
              <w:rPr>
                <w:sz w:val="16"/>
                <w:szCs w:val="16"/>
              </w:rPr>
              <w:t>9</w:t>
            </w:r>
          </w:p>
        </w:tc>
        <w:tc>
          <w:tcPr>
            <w:tcW w:w="686" w:type="dxa"/>
            <w:vAlign w:val="center"/>
          </w:tcPr>
          <w:p w14:paraId="4734A727" w14:textId="77777777" w:rsidR="009E246E" w:rsidRPr="003E5D11" w:rsidRDefault="009E246E" w:rsidP="009657C6">
            <w:pPr>
              <w:spacing w:before="60" w:after="60"/>
              <w:jc w:val="center"/>
              <w:rPr>
                <w:sz w:val="16"/>
                <w:szCs w:val="16"/>
              </w:rPr>
            </w:pPr>
            <w:proofErr w:type="spellStart"/>
            <w:r w:rsidRPr="003E5D11">
              <w:rPr>
                <w:sz w:val="16"/>
                <w:szCs w:val="16"/>
              </w:rPr>
              <w:t>Wk</w:t>
            </w:r>
            <w:proofErr w:type="spellEnd"/>
            <w:r w:rsidR="009657C6">
              <w:rPr>
                <w:sz w:val="16"/>
                <w:szCs w:val="16"/>
              </w:rPr>
              <w:br/>
            </w:r>
            <w:r w:rsidRPr="003E5D11">
              <w:rPr>
                <w:sz w:val="16"/>
                <w:szCs w:val="16"/>
              </w:rPr>
              <w:t>10</w:t>
            </w:r>
          </w:p>
        </w:tc>
        <w:tc>
          <w:tcPr>
            <w:tcW w:w="721" w:type="dxa"/>
            <w:vAlign w:val="center"/>
          </w:tcPr>
          <w:p w14:paraId="49FD664D" w14:textId="77777777" w:rsidR="009E246E" w:rsidRPr="003E5D11" w:rsidRDefault="009E246E" w:rsidP="009657C6">
            <w:pPr>
              <w:spacing w:before="60" w:after="60"/>
              <w:jc w:val="center"/>
              <w:rPr>
                <w:sz w:val="16"/>
                <w:szCs w:val="16"/>
              </w:rPr>
            </w:pPr>
            <w:proofErr w:type="spellStart"/>
            <w:r w:rsidRPr="003E5D11">
              <w:rPr>
                <w:sz w:val="16"/>
                <w:szCs w:val="16"/>
              </w:rPr>
              <w:t>Wk</w:t>
            </w:r>
            <w:proofErr w:type="spellEnd"/>
            <w:r w:rsidR="009657C6">
              <w:rPr>
                <w:sz w:val="16"/>
                <w:szCs w:val="16"/>
              </w:rPr>
              <w:br/>
            </w:r>
            <w:r w:rsidRPr="003E5D11">
              <w:rPr>
                <w:sz w:val="16"/>
                <w:szCs w:val="16"/>
              </w:rPr>
              <w:t>11</w:t>
            </w:r>
          </w:p>
        </w:tc>
        <w:tc>
          <w:tcPr>
            <w:tcW w:w="709" w:type="dxa"/>
            <w:vAlign w:val="center"/>
          </w:tcPr>
          <w:p w14:paraId="194A6E5E" w14:textId="77777777" w:rsidR="009E246E" w:rsidRPr="003E5D11" w:rsidRDefault="009E246E" w:rsidP="009657C6">
            <w:pPr>
              <w:spacing w:before="60" w:after="60"/>
              <w:jc w:val="center"/>
              <w:rPr>
                <w:sz w:val="16"/>
                <w:szCs w:val="16"/>
              </w:rPr>
            </w:pPr>
            <w:proofErr w:type="spellStart"/>
            <w:r w:rsidRPr="003E5D11">
              <w:rPr>
                <w:sz w:val="16"/>
                <w:szCs w:val="16"/>
              </w:rPr>
              <w:t>Wk</w:t>
            </w:r>
            <w:proofErr w:type="spellEnd"/>
            <w:r w:rsidR="009657C6">
              <w:rPr>
                <w:sz w:val="16"/>
                <w:szCs w:val="16"/>
              </w:rPr>
              <w:br/>
            </w:r>
            <w:r w:rsidRPr="003E5D11">
              <w:rPr>
                <w:sz w:val="16"/>
                <w:szCs w:val="16"/>
              </w:rPr>
              <w:t>12</w:t>
            </w:r>
          </w:p>
        </w:tc>
        <w:tc>
          <w:tcPr>
            <w:tcW w:w="1347" w:type="dxa"/>
            <w:vAlign w:val="center"/>
          </w:tcPr>
          <w:p w14:paraId="5778D02F" w14:textId="77777777" w:rsidR="009E246E" w:rsidRPr="003E5D11" w:rsidRDefault="009E246E" w:rsidP="009657C6">
            <w:pPr>
              <w:spacing w:before="60" w:after="60"/>
              <w:jc w:val="center"/>
              <w:rPr>
                <w:sz w:val="16"/>
                <w:szCs w:val="16"/>
              </w:rPr>
            </w:pPr>
            <w:r w:rsidRPr="003E5D11">
              <w:rPr>
                <w:sz w:val="16"/>
                <w:szCs w:val="16"/>
              </w:rPr>
              <w:t xml:space="preserve">Off </w:t>
            </w:r>
            <w:proofErr w:type="spellStart"/>
            <w:r w:rsidR="00B803FF" w:rsidRPr="003E5D11">
              <w:rPr>
                <w:sz w:val="16"/>
                <w:szCs w:val="16"/>
              </w:rPr>
              <w:t>Study</w:t>
            </w:r>
            <w:r w:rsidR="00B803FF">
              <w:rPr>
                <w:sz w:val="16"/>
                <w:szCs w:val="16"/>
                <w:vertAlign w:val="superscript"/>
              </w:rPr>
              <w:t>a</w:t>
            </w:r>
            <w:proofErr w:type="spellEnd"/>
          </w:p>
        </w:tc>
      </w:tr>
      <w:tr w:rsidR="009E246E" w:rsidRPr="00C023DD" w14:paraId="3E12B1BD" w14:textId="77777777" w:rsidTr="0011325C">
        <w:trPr>
          <w:gridAfter w:val="1"/>
          <w:wAfter w:w="6" w:type="dxa"/>
          <w:trHeight w:val="299"/>
        </w:trPr>
        <w:tc>
          <w:tcPr>
            <w:tcW w:w="2840" w:type="dxa"/>
          </w:tcPr>
          <w:p w14:paraId="74458B55" w14:textId="5494C260" w:rsidR="009E246E" w:rsidRPr="006D021C" w:rsidRDefault="00A11322" w:rsidP="009657C6">
            <w:pPr>
              <w:spacing w:before="60" w:after="60"/>
              <w:rPr>
                <w:iCs/>
                <w:color w:val="auto"/>
                <w:spacing w:val="-2"/>
                <w:sz w:val="16"/>
                <w:szCs w:val="16"/>
              </w:rPr>
            </w:pPr>
            <w:r w:rsidRPr="006D021C">
              <w:rPr>
                <w:iCs/>
                <w:color w:val="auto"/>
                <w:spacing w:val="-2"/>
                <w:sz w:val="16"/>
                <w:szCs w:val="16"/>
              </w:rPr>
              <w:t>Triapine</w:t>
            </w:r>
          </w:p>
        </w:tc>
        <w:tc>
          <w:tcPr>
            <w:tcW w:w="873" w:type="dxa"/>
            <w:vAlign w:val="center"/>
          </w:tcPr>
          <w:p w14:paraId="2AFF368A" w14:textId="77777777" w:rsidR="009E246E" w:rsidRPr="003E5D11" w:rsidRDefault="009E246E" w:rsidP="009657C6">
            <w:pPr>
              <w:spacing w:before="60" w:after="60"/>
              <w:jc w:val="center"/>
              <w:rPr>
                <w:sz w:val="16"/>
                <w:szCs w:val="16"/>
              </w:rPr>
            </w:pPr>
          </w:p>
        </w:tc>
        <w:tc>
          <w:tcPr>
            <w:tcW w:w="634" w:type="dxa"/>
            <w:vAlign w:val="center"/>
          </w:tcPr>
          <w:p w14:paraId="1BDC0CF3" w14:textId="77777777" w:rsidR="009E246E" w:rsidRPr="003E5D11" w:rsidRDefault="009E246E" w:rsidP="009657C6">
            <w:pPr>
              <w:spacing w:before="60" w:after="60"/>
              <w:jc w:val="center"/>
              <w:rPr>
                <w:sz w:val="16"/>
                <w:szCs w:val="16"/>
              </w:rPr>
            </w:pPr>
            <w:r w:rsidRPr="003E5D11">
              <w:rPr>
                <w:sz w:val="16"/>
                <w:szCs w:val="16"/>
              </w:rPr>
              <w:t>A</w:t>
            </w:r>
          </w:p>
        </w:tc>
        <w:tc>
          <w:tcPr>
            <w:tcW w:w="600" w:type="dxa"/>
            <w:vAlign w:val="center"/>
          </w:tcPr>
          <w:p w14:paraId="63E97E52" w14:textId="1234C2CB" w:rsidR="009E246E" w:rsidRPr="003E5D11" w:rsidRDefault="000E44C0" w:rsidP="009657C6">
            <w:pPr>
              <w:spacing w:before="60" w:after="60"/>
              <w:jc w:val="center"/>
              <w:rPr>
                <w:sz w:val="16"/>
                <w:szCs w:val="16"/>
              </w:rPr>
            </w:pPr>
            <w:r>
              <w:rPr>
                <w:sz w:val="16"/>
                <w:szCs w:val="16"/>
              </w:rPr>
              <w:t>A</w:t>
            </w:r>
          </w:p>
        </w:tc>
        <w:tc>
          <w:tcPr>
            <w:tcW w:w="617" w:type="dxa"/>
            <w:vAlign w:val="center"/>
          </w:tcPr>
          <w:p w14:paraId="0FA00AE6" w14:textId="77777777" w:rsidR="009E246E" w:rsidRPr="003E5D11" w:rsidRDefault="009E246E" w:rsidP="009657C6">
            <w:pPr>
              <w:spacing w:before="60" w:after="60"/>
              <w:jc w:val="center"/>
              <w:rPr>
                <w:sz w:val="16"/>
                <w:szCs w:val="16"/>
              </w:rPr>
            </w:pPr>
          </w:p>
        </w:tc>
        <w:tc>
          <w:tcPr>
            <w:tcW w:w="704" w:type="dxa"/>
            <w:vAlign w:val="center"/>
          </w:tcPr>
          <w:p w14:paraId="09CEDDBE" w14:textId="462370C5" w:rsidR="009E246E" w:rsidRPr="003E5D11" w:rsidRDefault="009E246E" w:rsidP="009657C6">
            <w:pPr>
              <w:spacing w:before="60" w:after="60"/>
              <w:jc w:val="center"/>
              <w:rPr>
                <w:sz w:val="16"/>
                <w:szCs w:val="16"/>
              </w:rPr>
            </w:pPr>
          </w:p>
        </w:tc>
        <w:tc>
          <w:tcPr>
            <w:tcW w:w="635" w:type="dxa"/>
            <w:vAlign w:val="center"/>
          </w:tcPr>
          <w:p w14:paraId="601D80BD" w14:textId="77777777" w:rsidR="009E246E" w:rsidRPr="003E5D11" w:rsidRDefault="009E246E" w:rsidP="009657C6">
            <w:pPr>
              <w:spacing w:before="60" w:after="60"/>
              <w:jc w:val="center"/>
              <w:rPr>
                <w:sz w:val="16"/>
                <w:szCs w:val="16"/>
              </w:rPr>
            </w:pPr>
          </w:p>
        </w:tc>
        <w:tc>
          <w:tcPr>
            <w:tcW w:w="635" w:type="dxa"/>
            <w:vAlign w:val="center"/>
          </w:tcPr>
          <w:p w14:paraId="66E0ADC5" w14:textId="77777777" w:rsidR="009E246E" w:rsidRPr="003E5D11" w:rsidRDefault="009E246E" w:rsidP="009657C6">
            <w:pPr>
              <w:spacing w:before="60" w:after="60"/>
              <w:jc w:val="center"/>
              <w:rPr>
                <w:sz w:val="16"/>
                <w:szCs w:val="16"/>
              </w:rPr>
            </w:pPr>
          </w:p>
        </w:tc>
        <w:tc>
          <w:tcPr>
            <w:tcW w:w="635" w:type="dxa"/>
            <w:vAlign w:val="center"/>
          </w:tcPr>
          <w:p w14:paraId="547759F9" w14:textId="5DE8C6E7" w:rsidR="009E246E" w:rsidRPr="003E5D11" w:rsidRDefault="009E246E" w:rsidP="009657C6">
            <w:pPr>
              <w:spacing w:before="60" w:after="60"/>
              <w:jc w:val="center"/>
              <w:rPr>
                <w:sz w:val="16"/>
                <w:szCs w:val="16"/>
              </w:rPr>
            </w:pPr>
          </w:p>
        </w:tc>
        <w:tc>
          <w:tcPr>
            <w:tcW w:w="652" w:type="dxa"/>
            <w:vAlign w:val="center"/>
          </w:tcPr>
          <w:p w14:paraId="01C38585" w14:textId="77777777" w:rsidR="009E246E" w:rsidRPr="003E5D11" w:rsidRDefault="009E246E" w:rsidP="009657C6">
            <w:pPr>
              <w:spacing w:before="60" w:after="60"/>
              <w:jc w:val="center"/>
              <w:rPr>
                <w:sz w:val="16"/>
                <w:szCs w:val="16"/>
              </w:rPr>
            </w:pPr>
          </w:p>
        </w:tc>
        <w:tc>
          <w:tcPr>
            <w:tcW w:w="635" w:type="dxa"/>
            <w:vAlign w:val="center"/>
          </w:tcPr>
          <w:p w14:paraId="44E5ED8C" w14:textId="77777777" w:rsidR="009E246E" w:rsidRPr="003E5D11" w:rsidRDefault="009E246E" w:rsidP="009657C6">
            <w:pPr>
              <w:spacing w:before="60" w:after="60"/>
              <w:jc w:val="center"/>
              <w:rPr>
                <w:sz w:val="16"/>
                <w:szCs w:val="16"/>
              </w:rPr>
            </w:pPr>
          </w:p>
        </w:tc>
        <w:tc>
          <w:tcPr>
            <w:tcW w:w="686" w:type="dxa"/>
            <w:vAlign w:val="center"/>
          </w:tcPr>
          <w:p w14:paraId="43D6F079" w14:textId="0D219F4B" w:rsidR="009E246E" w:rsidRPr="003E5D11" w:rsidRDefault="009E246E" w:rsidP="009657C6">
            <w:pPr>
              <w:spacing w:before="60" w:after="60"/>
              <w:jc w:val="center"/>
              <w:rPr>
                <w:sz w:val="16"/>
                <w:szCs w:val="16"/>
              </w:rPr>
            </w:pPr>
          </w:p>
        </w:tc>
        <w:tc>
          <w:tcPr>
            <w:tcW w:w="721" w:type="dxa"/>
            <w:vAlign w:val="center"/>
          </w:tcPr>
          <w:p w14:paraId="27D42FEB" w14:textId="77777777" w:rsidR="009E246E" w:rsidRPr="003E5D11" w:rsidRDefault="009E246E" w:rsidP="009657C6">
            <w:pPr>
              <w:spacing w:before="60" w:after="60"/>
              <w:jc w:val="center"/>
              <w:rPr>
                <w:sz w:val="16"/>
                <w:szCs w:val="16"/>
              </w:rPr>
            </w:pPr>
          </w:p>
        </w:tc>
        <w:tc>
          <w:tcPr>
            <w:tcW w:w="709" w:type="dxa"/>
            <w:vAlign w:val="center"/>
          </w:tcPr>
          <w:p w14:paraId="123F1BAC" w14:textId="77777777" w:rsidR="009E246E" w:rsidRPr="003E5D11" w:rsidRDefault="009E246E" w:rsidP="009657C6">
            <w:pPr>
              <w:spacing w:before="60" w:after="60"/>
              <w:jc w:val="center"/>
              <w:rPr>
                <w:sz w:val="16"/>
                <w:szCs w:val="16"/>
              </w:rPr>
            </w:pPr>
          </w:p>
        </w:tc>
        <w:tc>
          <w:tcPr>
            <w:tcW w:w="1347" w:type="dxa"/>
            <w:vAlign w:val="center"/>
          </w:tcPr>
          <w:p w14:paraId="1A154C09" w14:textId="77777777" w:rsidR="009E246E" w:rsidRPr="003E5D11" w:rsidRDefault="009E246E" w:rsidP="009657C6">
            <w:pPr>
              <w:spacing w:before="60" w:after="60"/>
              <w:jc w:val="center"/>
              <w:rPr>
                <w:sz w:val="16"/>
                <w:szCs w:val="16"/>
              </w:rPr>
            </w:pPr>
          </w:p>
        </w:tc>
      </w:tr>
      <w:tr w:rsidR="009E246E" w:rsidRPr="00C023DD" w14:paraId="121AA633" w14:textId="77777777" w:rsidTr="0011325C">
        <w:trPr>
          <w:gridAfter w:val="1"/>
          <w:wAfter w:w="6" w:type="dxa"/>
          <w:trHeight w:val="284"/>
        </w:trPr>
        <w:tc>
          <w:tcPr>
            <w:tcW w:w="2840" w:type="dxa"/>
          </w:tcPr>
          <w:p w14:paraId="6E396989" w14:textId="5B153AAE" w:rsidR="009E246E" w:rsidRPr="006D021C" w:rsidRDefault="00A11322" w:rsidP="009657C6">
            <w:pPr>
              <w:spacing w:before="60" w:after="60"/>
              <w:rPr>
                <w:iCs/>
                <w:color w:val="auto"/>
                <w:spacing w:val="-2"/>
                <w:sz w:val="16"/>
                <w:szCs w:val="16"/>
              </w:rPr>
            </w:pPr>
            <w:r w:rsidRPr="006D021C">
              <w:rPr>
                <w:iCs/>
                <w:color w:val="auto"/>
                <w:spacing w:val="-2"/>
                <w:sz w:val="16"/>
                <w:szCs w:val="16"/>
              </w:rPr>
              <w:t>Radiation Therapy</w:t>
            </w:r>
          </w:p>
        </w:tc>
        <w:tc>
          <w:tcPr>
            <w:tcW w:w="873" w:type="dxa"/>
            <w:vAlign w:val="center"/>
          </w:tcPr>
          <w:p w14:paraId="2B92B0B8" w14:textId="77777777" w:rsidR="009E246E" w:rsidRPr="003E5D11" w:rsidRDefault="009E246E" w:rsidP="009657C6">
            <w:pPr>
              <w:spacing w:before="60" w:after="60"/>
              <w:jc w:val="center"/>
              <w:rPr>
                <w:sz w:val="16"/>
                <w:szCs w:val="16"/>
              </w:rPr>
            </w:pPr>
          </w:p>
        </w:tc>
        <w:tc>
          <w:tcPr>
            <w:tcW w:w="634" w:type="dxa"/>
            <w:vAlign w:val="center"/>
          </w:tcPr>
          <w:p w14:paraId="359257BD" w14:textId="77777777" w:rsidR="009E246E" w:rsidRPr="009D0547" w:rsidRDefault="009E246E" w:rsidP="009657C6">
            <w:pPr>
              <w:spacing w:before="60" w:after="60"/>
              <w:jc w:val="center"/>
              <w:rPr>
                <w:sz w:val="16"/>
                <w:szCs w:val="16"/>
              </w:rPr>
            </w:pPr>
            <w:r w:rsidRPr="009D0547">
              <w:rPr>
                <w:sz w:val="16"/>
                <w:szCs w:val="16"/>
              </w:rPr>
              <w:t>B</w:t>
            </w:r>
          </w:p>
        </w:tc>
        <w:tc>
          <w:tcPr>
            <w:tcW w:w="600" w:type="dxa"/>
            <w:vAlign w:val="center"/>
          </w:tcPr>
          <w:p w14:paraId="4A3CBFC8" w14:textId="77777777" w:rsidR="009E246E" w:rsidRPr="009D0547" w:rsidRDefault="009E246E" w:rsidP="009657C6">
            <w:pPr>
              <w:spacing w:before="60" w:after="60"/>
              <w:jc w:val="center"/>
              <w:rPr>
                <w:sz w:val="16"/>
                <w:szCs w:val="16"/>
              </w:rPr>
            </w:pPr>
            <w:r w:rsidRPr="009D0547">
              <w:rPr>
                <w:sz w:val="16"/>
                <w:szCs w:val="16"/>
              </w:rPr>
              <w:t>B</w:t>
            </w:r>
          </w:p>
        </w:tc>
        <w:tc>
          <w:tcPr>
            <w:tcW w:w="617" w:type="dxa"/>
            <w:vAlign w:val="center"/>
          </w:tcPr>
          <w:p w14:paraId="1796387F" w14:textId="77777777" w:rsidR="009E246E" w:rsidRPr="003E5D11" w:rsidRDefault="009E246E" w:rsidP="009657C6">
            <w:pPr>
              <w:spacing w:before="60" w:after="60"/>
              <w:jc w:val="center"/>
              <w:rPr>
                <w:sz w:val="16"/>
                <w:szCs w:val="16"/>
              </w:rPr>
            </w:pPr>
          </w:p>
        </w:tc>
        <w:tc>
          <w:tcPr>
            <w:tcW w:w="704" w:type="dxa"/>
            <w:vAlign w:val="center"/>
          </w:tcPr>
          <w:p w14:paraId="790215A2" w14:textId="1CFF88EE" w:rsidR="009E246E" w:rsidRPr="003E5D11" w:rsidRDefault="009E246E" w:rsidP="009657C6">
            <w:pPr>
              <w:spacing w:before="60" w:after="60"/>
              <w:jc w:val="center"/>
              <w:rPr>
                <w:sz w:val="16"/>
                <w:szCs w:val="16"/>
                <w:highlight w:val="cyan"/>
              </w:rPr>
            </w:pPr>
          </w:p>
        </w:tc>
        <w:tc>
          <w:tcPr>
            <w:tcW w:w="635" w:type="dxa"/>
            <w:vAlign w:val="center"/>
          </w:tcPr>
          <w:p w14:paraId="6004DC37" w14:textId="738DABAA" w:rsidR="009E246E" w:rsidRPr="003E5D11" w:rsidRDefault="009E246E" w:rsidP="009657C6">
            <w:pPr>
              <w:spacing w:before="60" w:after="60"/>
              <w:jc w:val="center"/>
              <w:rPr>
                <w:sz w:val="16"/>
                <w:szCs w:val="16"/>
                <w:highlight w:val="cyan"/>
              </w:rPr>
            </w:pPr>
          </w:p>
        </w:tc>
        <w:tc>
          <w:tcPr>
            <w:tcW w:w="635" w:type="dxa"/>
            <w:vAlign w:val="center"/>
          </w:tcPr>
          <w:p w14:paraId="35810744" w14:textId="77777777" w:rsidR="009E246E" w:rsidRPr="003E5D11" w:rsidRDefault="009E246E" w:rsidP="009657C6">
            <w:pPr>
              <w:spacing w:before="60" w:after="60"/>
              <w:jc w:val="center"/>
              <w:rPr>
                <w:sz w:val="16"/>
                <w:szCs w:val="16"/>
              </w:rPr>
            </w:pPr>
          </w:p>
        </w:tc>
        <w:tc>
          <w:tcPr>
            <w:tcW w:w="635" w:type="dxa"/>
            <w:vAlign w:val="center"/>
          </w:tcPr>
          <w:p w14:paraId="32009B03" w14:textId="238D01E0" w:rsidR="009E246E" w:rsidRPr="003E5D11" w:rsidRDefault="009E246E" w:rsidP="009657C6">
            <w:pPr>
              <w:spacing w:before="60" w:after="60"/>
              <w:jc w:val="center"/>
              <w:rPr>
                <w:sz w:val="16"/>
                <w:szCs w:val="16"/>
                <w:highlight w:val="cyan"/>
              </w:rPr>
            </w:pPr>
          </w:p>
        </w:tc>
        <w:tc>
          <w:tcPr>
            <w:tcW w:w="652" w:type="dxa"/>
            <w:vAlign w:val="center"/>
          </w:tcPr>
          <w:p w14:paraId="5C479DBA" w14:textId="038F17B4" w:rsidR="009E246E" w:rsidRPr="003E5D11" w:rsidRDefault="009E246E" w:rsidP="009657C6">
            <w:pPr>
              <w:spacing w:before="60" w:after="60"/>
              <w:jc w:val="center"/>
              <w:rPr>
                <w:sz w:val="16"/>
                <w:szCs w:val="16"/>
                <w:highlight w:val="cyan"/>
              </w:rPr>
            </w:pPr>
          </w:p>
        </w:tc>
        <w:tc>
          <w:tcPr>
            <w:tcW w:w="635" w:type="dxa"/>
            <w:vAlign w:val="center"/>
          </w:tcPr>
          <w:p w14:paraId="427AC807" w14:textId="77777777" w:rsidR="009E246E" w:rsidRPr="003E5D11" w:rsidRDefault="009E246E" w:rsidP="009657C6">
            <w:pPr>
              <w:spacing w:before="60" w:after="60"/>
              <w:jc w:val="center"/>
              <w:rPr>
                <w:sz w:val="16"/>
                <w:szCs w:val="16"/>
              </w:rPr>
            </w:pPr>
          </w:p>
        </w:tc>
        <w:tc>
          <w:tcPr>
            <w:tcW w:w="686" w:type="dxa"/>
            <w:vAlign w:val="center"/>
          </w:tcPr>
          <w:p w14:paraId="7B589E1D" w14:textId="7EFE79AF" w:rsidR="009E246E" w:rsidRPr="003E5D11" w:rsidRDefault="009E246E" w:rsidP="009657C6">
            <w:pPr>
              <w:spacing w:before="60" w:after="60"/>
              <w:jc w:val="center"/>
              <w:rPr>
                <w:sz w:val="16"/>
                <w:szCs w:val="16"/>
                <w:highlight w:val="cyan"/>
              </w:rPr>
            </w:pPr>
          </w:p>
        </w:tc>
        <w:tc>
          <w:tcPr>
            <w:tcW w:w="721" w:type="dxa"/>
            <w:vAlign w:val="center"/>
          </w:tcPr>
          <w:p w14:paraId="11B6BC1E" w14:textId="405B05E8" w:rsidR="009E246E" w:rsidRPr="003E5D11" w:rsidRDefault="009E246E" w:rsidP="009657C6">
            <w:pPr>
              <w:spacing w:before="60" w:after="60"/>
              <w:jc w:val="center"/>
              <w:rPr>
                <w:sz w:val="16"/>
                <w:szCs w:val="16"/>
                <w:highlight w:val="cyan"/>
              </w:rPr>
            </w:pPr>
          </w:p>
        </w:tc>
        <w:tc>
          <w:tcPr>
            <w:tcW w:w="709" w:type="dxa"/>
            <w:vAlign w:val="center"/>
          </w:tcPr>
          <w:p w14:paraId="2A5B8EDC" w14:textId="77777777" w:rsidR="009E246E" w:rsidRPr="003E5D11" w:rsidRDefault="009E246E" w:rsidP="009657C6">
            <w:pPr>
              <w:spacing w:before="60" w:after="60"/>
              <w:jc w:val="center"/>
              <w:rPr>
                <w:sz w:val="16"/>
                <w:szCs w:val="16"/>
              </w:rPr>
            </w:pPr>
          </w:p>
        </w:tc>
        <w:tc>
          <w:tcPr>
            <w:tcW w:w="1347" w:type="dxa"/>
            <w:vAlign w:val="center"/>
          </w:tcPr>
          <w:p w14:paraId="15845E19" w14:textId="77777777" w:rsidR="009E246E" w:rsidRPr="003E5D11" w:rsidRDefault="009E246E" w:rsidP="009657C6">
            <w:pPr>
              <w:spacing w:before="60" w:after="60"/>
              <w:jc w:val="center"/>
              <w:rPr>
                <w:sz w:val="16"/>
                <w:szCs w:val="16"/>
              </w:rPr>
            </w:pPr>
          </w:p>
        </w:tc>
      </w:tr>
      <w:tr w:rsidR="009E246E" w:rsidRPr="00C023DD" w14:paraId="6FF31B90" w14:textId="77777777" w:rsidTr="0011325C">
        <w:trPr>
          <w:gridAfter w:val="1"/>
          <w:wAfter w:w="6" w:type="dxa"/>
          <w:trHeight w:val="299"/>
        </w:trPr>
        <w:tc>
          <w:tcPr>
            <w:tcW w:w="2840" w:type="dxa"/>
          </w:tcPr>
          <w:p w14:paraId="2366A016" w14:textId="77777777" w:rsidR="009E246E" w:rsidRPr="003E5D11" w:rsidRDefault="009E246E" w:rsidP="009657C6">
            <w:pPr>
              <w:spacing w:before="60" w:after="60"/>
              <w:rPr>
                <w:spacing w:val="-2"/>
                <w:sz w:val="16"/>
                <w:szCs w:val="16"/>
              </w:rPr>
            </w:pPr>
            <w:r w:rsidRPr="003E5D11">
              <w:rPr>
                <w:spacing w:val="-2"/>
                <w:sz w:val="16"/>
                <w:szCs w:val="16"/>
              </w:rPr>
              <w:t>Informed consent</w:t>
            </w:r>
          </w:p>
        </w:tc>
        <w:tc>
          <w:tcPr>
            <w:tcW w:w="873" w:type="dxa"/>
            <w:vAlign w:val="center"/>
          </w:tcPr>
          <w:p w14:paraId="33183041" w14:textId="77777777" w:rsidR="009E246E" w:rsidRPr="003E5D11" w:rsidRDefault="009E246E" w:rsidP="009657C6">
            <w:pPr>
              <w:spacing w:before="60" w:after="60"/>
              <w:jc w:val="center"/>
              <w:rPr>
                <w:sz w:val="16"/>
                <w:szCs w:val="16"/>
              </w:rPr>
            </w:pPr>
            <w:r w:rsidRPr="003E5D11">
              <w:rPr>
                <w:sz w:val="16"/>
                <w:szCs w:val="16"/>
              </w:rPr>
              <w:t>X</w:t>
            </w:r>
          </w:p>
        </w:tc>
        <w:tc>
          <w:tcPr>
            <w:tcW w:w="634" w:type="dxa"/>
            <w:vAlign w:val="center"/>
          </w:tcPr>
          <w:p w14:paraId="41FFF34C" w14:textId="77777777" w:rsidR="009E246E" w:rsidRPr="003E5D11" w:rsidRDefault="009E246E" w:rsidP="009657C6">
            <w:pPr>
              <w:spacing w:before="60" w:after="60"/>
              <w:jc w:val="center"/>
              <w:rPr>
                <w:sz w:val="16"/>
                <w:szCs w:val="16"/>
              </w:rPr>
            </w:pPr>
          </w:p>
        </w:tc>
        <w:tc>
          <w:tcPr>
            <w:tcW w:w="600" w:type="dxa"/>
            <w:vAlign w:val="center"/>
          </w:tcPr>
          <w:p w14:paraId="1325819B" w14:textId="77777777" w:rsidR="009E246E" w:rsidRPr="003E5D11" w:rsidRDefault="009E246E" w:rsidP="009657C6">
            <w:pPr>
              <w:spacing w:before="60" w:after="60"/>
              <w:jc w:val="center"/>
              <w:rPr>
                <w:sz w:val="16"/>
                <w:szCs w:val="16"/>
              </w:rPr>
            </w:pPr>
          </w:p>
        </w:tc>
        <w:tc>
          <w:tcPr>
            <w:tcW w:w="617" w:type="dxa"/>
            <w:vAlign w:val="center"/>
          </w:tcPr>
          <w:p w14:paraId="20E9C65E" w14:textId="77777777" w:rsidR="009E246E" w:rsidRPr="003E5D11" w:rsidRDefault="009E246E" w:rsidP="009657C6">
            <w:pPr>
              <w:spacing w:before="60" w:after="60"/>
              <w:jc w:val="center"/>
              <w:rPr>
                <w:sz w:val="16"/>
                <w:szCs w:val="16"/>
              </w:rPr>
            </w:pPr>
          </w:p>
        </w:tc>
        <w:tc>
          <w:tcPr>
            <w:tcW w:w="704" w:type="dxa"/>
            <w:vAlign w:val="center"/>
          </w:tcPr>
          <w:p w14:paraId="436BBA52" w14:textId="77777777" w:rsidR="009E246E" w:rsidRPr="003E5D11" w:rsidRDefault="009E246E" w:rsidP="009657C6">
            <w:pPr>
              <w:spacing w:before="60" w:after="60"/>
              <w:jc w:val="center"/>
              <w:rPr>
                <w:sz w:val="16"/>
                <w:szCs w:val="16"/>
              </w:rPr>
            </w:pPr>
          </w:p>
        </w:tc>
        <w:tc>
          <w:tcPr>
            <w:tcW w:w="635" w:type="dxa"/>
            <w:vAlign w:val="center"/>
          </w:tcPr>
          <w:p w14:paraId="16D7C225" w14:textId="77777777" w:rsidR="009E246E" w:rsidRPr="003E5D11" w:rsidRDefault="009E246E" w:rsidP="009657C6">
            <w:pPr>
              <w:spacing w:before="60" w:after="60"/>
              <w:jc w:val="center"/>
              <w:rPr>
                <w:sz w:val="16"/>
                <w:szCs w:val="16"/>
              </w:rPr>
            </w:pPr>
          </w:p>
        </w:tc>
        <w:tc>
          <w:tcPr>
            <w:tcW w:w="635" w:type="dxa"/>
            <w:vAlign w:val="center"/>
          </w:tcPr>
          <w:p w14:paraId="6E3FBD8F" w14:textId="77777777" w:rsidR="009E246E" w:rsidRPr="003E5D11" w:rsidRDefault="009E246E" w:rsidP="009657C6">
            <w:pPr>
              <w:spacing w:before="60" w:after="60"/>
              <w:jc w:val="center"/>
              <w:rPr>
                <w:sz w:val="16"/>
                <w:szCs w:val="16"/>
              </w:rPr>
            </w:pPr>
          </w:p>
        </w:tc>
        <w:tc>
          <w:tcPr>
            <w:tcW w:w="635" w:type="dxa"/>
            <w:vAlign w:val="center"/>
          </w:tcPr>
          <w:p w14:paraId="1E581907" w14:textId="77777777" w:rsidR="009E246E" w:rsidRPr="003E5D11" w:rsidRDefault="009E246E" w:rsidP="009657C6">
            <w:pPr>
              <w:spacing w:before="60" w:after="60"/>
              <w:jc w:val="center"/>
              <w:rPr>
                <w:sz w:val="16"/>
                <w:szCs w:val="16"/>
              </w:rPr>
            </w:pPr>
          </w:p>
        </w:tc>
        <w:tc>
          <w:tcPr>
            <w:tcW w:w="652" w:type="dxa"/>
            <w:vAlign w:val="center"/>
          </w:tcPr>
          <w:p w14:paraId="34C4E19C" w14:textId="77777777" w:rsidR="009E246E" w:rsidRPr="003E5D11" w:rsidRDefault="009E246E" w:rsidP="009657C6">
            <w:pPr>
              <w:spacing w:before="60" w:after="60"/>
              <w:jc w:val="center"/>
              <w:rPr>
                <w:sz w:val="16"/>
                <w:szCs w:val="16"/>
              </w:rPr>
            </w:pPr>
          </w:p>
        </w:tc>
        <w:tc>
          <w:tcPr>
            <w:tcW w:w="635" w:type="dxa"/>
            <w:vAlign w:val="center"/>
          </w:tcPr>
          <w:p w14:paraId="000FDCC4" w14:textId="77777777" w:rsidR="009E246E" w:rsidRPr="003E5D11" w:rsidRDefault="009E246E" w:rsidP="009657C6">
            <w:pPr>
              <w:spacing w:before="60" w:after="60"/>
              <w:jc w:val="center"/>
              <w:rPr>
                <w:sz w:val="16"/>
                <w:szCs w:val="16"/>
              </w:rPr>
            </w:pPr>
          </w:p>
        </w:tc>
        <w:tc>
          <w:tcPr>
            <w:tcW w:w="686" w:type="dxa"/>
            <w:vAlign w:val="center"/>
          </w:tcPr>
          <w:p w14:paraId="7B94FC6D" w14:textId="77777777" w:rsidR="009E246E" w:rsidRPr="003E5D11" w:rsidRDefault="009E246E" w:rsidP="009657C6">
            <w:pPr>
              <w:spacing w:before="60" w:after="60"/>
              <w:jc w:val="center"/>
              <w:rPr>
                <w:sz w:val="16"/>
                <w:szCs w:val="16"/>
              </w:rPr>
            </w:pPr>
          </w:p>
        </w:tc>
        <w:tc>
          <w:tcPr>
            <w:tcW w:w="721" w:type="dxa"/>
            <w:vAlign w:val="center"/>
          </w:tcPr>
          <w:p w14:paraId="1DA4EEC4" w14:textId="77777777" w:rsidR="009E246E" w:rsidRPr="003E5D11" w:rsidRDefault="009E246E" w:rsidP="009657C6">
            <w:pPr>
              <w:spacing w:before="60" w:after="60"/>
              <w:jc w:val="center"/>
              <w:rPr>
                <w:sz w:val="16"/>
                <w:szCs w:val="16"/>
              </w:rPr>
            </w:pPr>
          </w:p>
        </w:tc>
        <w:tc>
          <w:tcPr>
            <w:tcW w:w="709" w:type="dxa"/>
            <w:vAlign w:val="center"/>
          </w:tcPr>
          <w:p w14:paraId="5B689E8E" w14:textId="77777777" w:rsidR="009E246E" w:rsidRPr="003E5D11" w:rsidRDefault="009E246E" w:rsidP="009657C6">
            <w:pPr>
              <w:spacing w:before="60" w:after="60"/>
              <w:jc w:val="center"/>
              <w:rPr>
                <w:sz w:val="16"/>
                <w:szCs w:val="16"/>
              </w:rPr>
            </w:pPr>
          </w:p>
        </w:tc>
        <w:tc>
          <w:tcPr>
            <w:tcW w:w="1347" w:type="dxa"/>
            <w:vAlign w:val="center"/>
          </w:tcPr>
          <w:p w14:paraId="5797A71E" w14:textId="77777777" w:rsidR="009E246E" w:rsidRPr="003E5D11" w:rsidRDefault="009E246E" w:rsidP="009657C6">
            <w:pPr>
              <w:spacing w:before="60" w:after="60"/>
              <w:jc w:val="center"/>
              <w:rPr>
                <w:sz w:val="16"/>
                <w:szCs w:val="16"/>
              </w:rPr>
            </w:pPr>
          </w:p>
        </w:tc>
      </w:tr>
      <w:tr w:rsidR="009E246E" w:rsidRPr="00C023DD" w14:paraId="6F54ABC4" w14:textId="77777777" w:rsidTr="0011325C">
        <w:trPr>
          <w:gridAfter w:val="1"/>
          <w:wAfter w:w="6" w:type="dxa"/>
          <w:trHeight w:val="299"/>
        </w:trPr>
        <w:tc>
          <w:tcPr>
            <w:tcW w:w="2840" w:type="dxa"/>
          </w:tcPr>
          <w:p w14:paraId="5C755234" w14:textId="77777777" w:rsidR="009E246E" w:rsidRPr="003E5D11" w:rsidRDefault="009E246E" w:rsidP="009657C6">
            <w:pPr>
              <w:spacing w:before="60" w:after="60"/>
              <w:rPr>
                <w:spacing w:val="-2"/>
                <w:sz w:val="16"/>
                <w:szCs w:val="16"/>
              </w:rPr>
            </w:pPr>
            <w:r w:rsidRPr="003E5D11">
              <w:rPr>
                <w:spacing w:val="-2"/>
                <w:sz w:val="16"/>
                <w:szCs w:val="16"/>
              </w:rPr>
              <w:t>Demographics</w:t>
            </w:r>
          </w:p>
        </w:tc>
        <w:tc>
          <w:tcPr>
            <w:tcW w:w="873" w:type="dxa"/>
            <w:vAlign w:val="center"/>
          </w:tcPr>
          <w:p w14:paraId="1BDF8E80" w14:textId="77777777" w:rsidR="009E246E" w:rsidRPr="003E5D11" w:rsidRDefault="009E246E" w:rsidP="009657C6">
            <w:pPr>
              <w:spacing w:before="60" w:after="60"/>
              <w:jc w:val="center"/>
              <w:rPr>
                <w:sz w:val="16"/>
                <w:szCs w:val="16"/>
              </w:rPr>
            </w:pPr>
            <w:r w:rsidRPr="003E5D11">
              <w:rPr>
                <w:sz w:val="16"/>
                <w:szCs w:val="16"/>
              </w:rPr>
              <w:t>X</w:t>
            </w:r>
          </w:p>
        </w:tc>
        <w:tc>
          <w:tcPr>
            <w:tcW w:w="634" w:type="dxa"/>
            <w:vAlign w:val="center"/>
          </w:tcPr>
          <w:p w14:paraId="6A6A96C5" w14:textId="77777777" w:rsidR="009E246E" w:rsidRPr="003E5D11" w:rsidRDefault="009E246E" w:rsidP="009657C6">
            <w:pPr>
              <w:spacing w:before="60" w:after="60"/>
              <w:jc w:val="center"/>
              <w:rPr>
                <w:sz w:val="16"/>
                <w:szCs w:val="16"/>
              </w:rPr>
            </w:pPr>
          </w:p>
        </w:tc>
        <w:tc>
          <w:tcPr>
            <w:tcW w:w="600" w:type="dxa"/>
            <w:vAlign w:val="center"/>
          </w:tcPr>
          <w:p w14:paraId="1626EE58" w14:textId="77777777" w:rsidR="009E246E" w:rsidRPr="003E5D11" w:rsidRDefault="009E246E" w:rsidP="009657C6">
            <w:pPr>
              <w:spacing w:before="60" w:after="60"/>
              <w:jc w:val="center"/>
              <w:rPr>
                <w:sz w:val="16"/>
                <w:szCs w:val="16"/>
              </w:rPr>
            </w:pPr>
          </w:p>
        </w:tc>
        <w:tc>
          <w:tcPr>
            <w:tcW w:w="617" w:type="dxa"/>
            <w:vAlign w:val="center"/>
          </w:tcPr>
          <w:p w14:paraId="6E925339" w14:textId="77777777" w:rsidR="009E246E" w:rsidRPr="003E5D11" w:rsidRDefault="009E246E" w:rsidP="009657C6">
            <w:pPr>
              <w:spacing w:before="60" w:after="60"/>
              <w:jc w:val="center"/>
              <w:rPr>
                <w:sz w:val="16"/>
                <w:szCs w:val="16"/>
              </w:rPr>
            </w:pPr>
          </w:p>
        </w:tc>
        <w:tc>
          <w:tcPr>
            <w:tcW w:w="704" w:type="dxa"/>
            <w:vAlign w:val="center"/>
          </w:tcPr>
          <w:p w14:paraId="7E8FA6D1" w14:textId="77777777" w:rsidR="009E246E" w:rsidRPr="003E5D11" w:rsidRDefault="009E246E" w:rsidP="009657C6">
            <w:pPr>
              <w:spacing w:before="60" w:after="60"/>
              <w:jc w:val="center"/>
              <w:rPr>
                <w:sz w:val="16"/>
                <w:szCs w:val="16"/>
              </w:rPr>
            </w:pPr>
          </w:p>
        </w:tc>
        <w:tc>
          <w:tcPr>
            <w:tcW w:w="635" w:type="dxa"/>
            <w:vAlign w:val="center"/>
          </w:tcPr>
          <w:p w14:paraId="67FF9C88" w14:textId="77777777" w:rsidR="009E246E" w:rsidRPr="003E5D11" w:rsidRDefault="009E246E" w:rsidP="009657C6">
            <w:pPr>
              <w:spacing w:before="60" w:after="60"/>
              <w:jc w:val="center"/>
              <w:rPr>
                <w:sz w:val="16"/>
                <w:szCs w:val="16"/>
              </w:rPr>
            </w:pPr>
          </w:p>
        </w:tc>
        <w:tc>
          <w:tcPr>
            <w:tcW w:w="635" w:type="dxa"/>
            <w:vAlign w:val="center"/>
          </w:tcPr>
          <w:p w14:paraId="5424E9F1" w14:textId="77777777" w:rsidR="009E246E" w:rsidRPr="003E5D11" w:rsidRDefault="009E246E" w:rsidP="009657C6">
            <w:pPr>
              <w:spacing w:before="60" w:after="60"/>
              <w:jc w:val="center"/>
              <w:rPr>
                <w:sz w:val="16"/>
                <w:szCs w:val="16"/>
              </w:rPr>
            </w:pPr>
          </w:p>
        </w:tc>
        <w:tc>
          <w:tcPr>
            <w:tcW w:w="635" w:type="dxa"/>
            <w:vAlign w:val="center"/>
          </w:tcPr>
          <w:p w14:paraId="272FA8E8" w14:textId="77777777" w:rsidR="009E246E" w:rsidRPr="003E5D11" w:rsidRDefault="009E246E" w:rsidP="009657C6">
            <w:pPr>
              <w:spacing w:before="60" w:after="60"/>
              <w:jc w:val="center"/>
              <w:rPr>
                <w:sz w:val="16"/>
                <w:szCs w:val="16"/>
              </w:rPr>
            </w:pPr>
          </w:p>
        </w:tc>
        <w:tc>
          <w:tcPr>
            <w:tcW w:w="652" w:type="dxa"/>
            <w:vAlign w:val="center"/>
          </w:tcPr>
          <w:p w14:paraId="6A6F8466" w14:textId="77777777" w:rsidR="009E246E" w:rsidRPr="003E5D11" w:rsidRDefault="009E246E" w:rsidP="009657C6">
            <w:pPr>
              <w:spacing w:before="60" w:after="60"/>
              <w:jc w:val="center"/>
              <w:rPr>
                <w:sz w:val="16"/>
                <w:szCs w:val="16"/>
              </w:rPr>
            </w:pPr>
          </w:p>
        </w:tc>
        <w:tc>
          <w:tcPr>
            <w:tcW w:w="635" w:type="dxa"/>
            <w:vAlign w:val="center"/>
          </w:tcPr>
          <w:p w14:paraId="53373F21" w14:textId="77777777" w:rsidR="009E246E" w:rsidRPr="003E5D11" w:rsidRDefault="009E246E" w:rsidP="009657C6">
            <w:pPr>
              <w:spacing w:before="60" w:after="60"/>
              <w:jc w:val="center"/>
              <w:rPr>
                <w:sz w:val="16"/>
                <w:szCs w:val="16"/>
              </w:rPr>
            </w:pPr>
          </w:p>
        </w:tc>
        <w:tc>
          <w:tcPr>
            <w:tcW w:w="686" w:type="dxa"/>
            <w:vAlign w:val="center"/>
          </w:tcPr>
          <w:p w14:paraId="097DBB6B" w14:textId="77777777" w:rsidR="009E246E" w:rsidRPr="003E5D11" w:rsidRDefault="009E246E" w:rsidP="009657C6">
            <w:pPr>
              <w:spacing w:before="60" w:after="60"/>
              <w:jc w:val="center"/>
              <w:rPr>
                <w:sz w:val="16"/>
                <w:szCs w:val="16"/>
              </w:rPr>
            </w:pPr>
          </w:p>
        </w:tc>
        <w:tc>
          <w:tcPr>
            <w:tcW w:w="721" w:type="dxa"/>
            <w:vAlign w:val="center"/>
          </w:tcPr>
          <w:p w14:paraId="378BB6F6" w14:textId="77777777" w:rsidR="009E246E" w:rsidRPr="003E5D11" w:rsidRDefault="009E246E" w:rsidP="009657C6">
            <w:pPr>
              <w:spacing w:before="60" w:after="60"/>
              <w:jc w:val="center"/>
              <w:rPr>
                <w:sz w:val="16"/>
                <w:szCs w:val="16"/>
              </w:rPr>
            </w:pPr>
          </w:p>
        </w:tc>
        <w:tc>
          <w:tcPr>
            <w:tcW w:w="709" w:type="dxa"/>
            <w:vAlign w:val="center"/>
          </w:tcPr>
          <w:p w14:paraId="05F6D2F6" w14:textId="77777777" w:rsidR="009E246E" w:rsidRPr="003E5D11" w:rsidRDefault="009E246E" w:rsidP="009657C6">
            <w:pPr>
              <w:spacing w:before="60" w:after="60"/>
              <w:jc w:val="center"/>
              <w:rPr>
                <w:sz w:val="16"/>
                <w:szCs w:val="16"/>
              </w:rPr>
            </w:pPr>
          </w:p>
        </w:tc>
        <w:tc>
          <w:tcPr>
            <w:tcW w:w="1347" w:type="dxa"/>
            <w:vAlign w:val="center"/>
          </w:tcPr>
          <w:p w14:paraId="6907E7CE" w14:textId="77777777" w:rsidR="009E246E" w:rsidRPr="003E5D11" w:rsidRDefault="009E246E" w:rsidP="009657C6">
            <w:pPr>
              <w:spacing w:before="60" w:after="60"/>
              <w:jc w:val="center"/>
              <w:rPr>
                <w:sz w:val="16"/>
                <w:szCs w:val="16"/>
              </w:rPr>
            </w:pPr>
          </w:p>
        </w:tc>
      </w:tr>
      <w:tr w:rsidR="009E246E" w:rsidRPr="00C023DD" w14:paraId="187594B1" w14:textId="77777777" w:rsidTr="0011325C">
        <w:trPr>
          <w:gridAfter w:val="1"/>
          <w:wAfter w:w="6" w:type="dxa"/>
          <w:trHeight w:val="299"/>
        </w:trPr>
        <w:tc>
          <w:tcPr>
            <w:tcW w:w="2840" w:type="dxa"/>
          </w:tcPr>
          <w:p w14:paraId="1E4E678E" w14:textId="77777777" w:rsidR="009E246E" w:rsidRPr="003E5D11" w:rsidRDefault="009E246E" w:rsidP="009657C6">
            <w:pPr>
              <w:spacing w:before="60" w:after="60"/>
              <w:rPr>
                <w:spacing w:val="-2"/>
                <w:sz w:val="16"/>
                <w:szCs w:val="16"/>
              </w:rPr>
            </w:pPr>
            <w:r w:rsidRPr="003E5D11">
              <w:rPr>
                <w:spacing w:val="-2"/>
                <w:sz w:val="16"/>
                <w:szCs w:val="16"/>
              </w:rPr>
              <w:t>Medical history</w:t>
            </w:r>
          </w:p>
        </w:tc>
        <w:tc>
          <w:tcPr>
            <w:tcW w:w="873" w:type="dxa"/>
            <w:vAlign w:val="center"/>
          </w:tcPr>
          <w:p w14:paraId="40E7750C" w14:textId="77777777" w:rsidR="009E246E" w:rsidRPr="003E5D11" w:rsidRDefault="009E246E" w:rsidP="009657C6">
            <w:pPr>
              <w:spacing w:before="60" w:after="60"/>
              <w:jc w:val="center"/>
              <w:rPr>
                <w:sz w:val="16"/>
                <w:szCs w:val="16"/>
              </w:rPr>
            </w:pPr>
            <w:r w:rsidRPr="003E5D11">
              <w:rPr>
                <w:sz w:val="16"/>
                <w:szCs w:val="16"/>
              </w:rPr>
              <w:t>X</w:t>
            </w:r>
          </w:p>
        </w:tc>
        <w:tc>
          <w:tcPr>
            <w:tcW w:w="634" w:type="dxa"/>
            <w:vAlign w:val="center"/>
          </w:tcPr>
          <w:p w14:paraId="0A822B9F" w14:textId="77777777" w:rsidR="009E246E" w:rsidRPr="003E5D11" w:rsidRDefault="009E246E" w:rsidP="009657C6">
            <w:pPr>
              <w:spacing w:before="60" w:after="60"/>
              <w:jc w:val="center"/>
              <w:rPr>
                <w:sz w:val="16"/>
                <w:szCs w:val="16"/>
              </w:rPr>
            </w:pPr>
          </w:p>
        </w:tc>
        <w:tc>
          <w:tcPr>
            <w:tcW w:w="600" w:type="dxa"/>
            <w:vAlign w:val="center"/>
          </w:tcPr>
          <w:p w14:paraId="3ED03992" w14:textId="77777777" w:rsidR="009E246E" w:rsidRPr="003E5D11" w:rsidRDefault="009E246E" w:rsidP="009657C6">
            <w:pPr>
              <w:spacing w:before="60" w:after="60"/>
              <w:jc w:val="center"/>
              <w:rPr>
                <w:sz w:val="16"/>
                <w:szCs w:val="16"/>
              </w:rPr>
            </w:pPr>
          </w:p>
        </w:tc>
        <w:tc>
          <w:tcPr>
            <w:tcW w:w="617" w:type="dxa"/>
            <w:vAlign w:val="center"/>
          </w:tcPr>
          <w:p w14:paraId="553D6277" w14:textId="77777777" w:rsidR="009E246E" w:rsidRPr="003E5D11" w:rsidRDefault="009E246E" w:rsidP="009657C6">
            <w:pPr>
              <w:spacing w:before="60" w:after="60"/>
              <w:jc w:val="center"/>
              <w:rPr>
                <w:sz w:val="16"/>
                <w:szCs w:val="16"/>
              </w:rPr>
            </w:pPr>
          </w:p>
        </w:tc>
        <w:tc>
          <w:tcPr>
            <w:tcW w:w="704" w:type="dxa"/>
            <w:vAlign w:val="center"/>
          </w:tcPr>
          <w:p w14:paraId="2EF75390" w14:textId="77777777" w:rsidR="009E246E" w:rsidRPr="003E5D11" w:rsidRDefault="009E246E" w:rsidP="009657C6">
            <w:pPr>
              <w:spacing w:before="60" w:after="60"/>
              <w:jc w:val="center"/>
              <w:rPr>
                <w:sz w:val="16"/>
                <w:szCs w:val="16"/>
              </w:rPr>
            </w:pPr>
          </w:p>
        </w:tc>
        <w:tc>
          <w:tcPr>
            <w:tcW w:w="635" w:type="dxa"/>
            <w:vAlign w:val="center"/>
          </w:tcPr>
          <w:p w14:paraId="614D771B" w14:textId="77777777" w:rsidR="009E246E" w:rsidRPr="003E5D11" w:rsidRDefault="009E246E" w:rsidP="009657C6">
            <w:pPr>
              <w:spacing w:before="60" w:after="60"/>
              <w:jc w:val="center"/>
              <w:rPr>
                <w:sz w:val="16"/>
                <w:szCs w:val="16"/>
              </w:rPr>
            </w:pPr>
          </w:p>
        </w:tc>
        <w:tc>
          <w:tcPr>
            <w:tcW w:w="635" w:type="dxa"/>
            <w:vAlign w:val="center"/>
          </w:tcPr>
          <w:p w14:paraId="73DF1EB2" w14:textId="77777777" w:rsidR="009E246E" w:rsidRPr="003E5D11" w:rsidRDefault="009E246E" w:rsidP="009657C6">
            <w:pPr>
              <w:spacing w:before="60" w:after="60"/>
              <w:jc w:val="center"/>
              <w:rPr>
                <w:sz w:val="16"/>
                <w:szCs w:val="16"/>
              </w:rPr>
            </w:pPr>
          </w:p>
        </w:tc>
        <w:tc>
          <w:tcPr>
            <w:tcW w:w="635" w:type="dxa"/>
            <w:vAlign w:val="center"/>
          </w:tcPr>
          <w:p w14:paraId="51A99557" w14:textId="77777777" w:rsidR="009E246E" w:rsidRPr="003E5D11" w:rsidRDefault="009E246E" w:rsidP="009657C6">
            <w:pPr>
              <w:spacing w:before="60" w:after="60"/>
              <w:jc w:val="center"/>
              <w:rPr>
                <w:sz w:val="16"/>
                <w:szCs w:val="16"/>
              </w:rPr>
            </w:pPr>
          </w:p>
        </w:tc>
        <w:tc>
          <w:tcPr>
            <w:tcW w:w="652" w:type="dxa"/>
            <w:vAlign w:val="center"/>
          </w:tcPr>
          <w:p w14:paraId="71D2FC0D" w14:textId="77777777" w:rsidR="009E246E" w:rsidRPr="003E5D11" w:rsidRDefault="009E246E" w:rsidP="009657C6">
            <w:pPr>
              <w:spacing w:before="60" w:after="60"/>
              <w:jc w:val="center"/>
              <w:rPr>
                <w:sz w:val="16"/>
                <w:szCs w:val="16"/>
              </w:rPr>
            </w:pPr>
          </w:p>
        </w:tc>
        <w:tc>
          <w:tcPr>
            <w:tcW w:w="635" w:type="dxa"/>
            <w:vAlign w:val="center"/>
          </w:tcPr>
          <w:p w14:paraId="461C6992" w14:textId="77777777" w:rsidR="009E246E" w:rsidRPr="003E5D11" w:rsidRDefault="009E246E" w:rsidP="009657C6">
            <w:pPr>
              <w:spacing w:before="60" w:after="60"/>
              <w:jc w:val="center"/>
              <w:rPr>
                <w:sz w:val="16"/>
                <w:szCs w:val="16"/>
              </w:rPr>
            </w:pPr>
          </w:p>
        </w:tc>
        <w:tc>
          <w:tcPr>
            <w:tcW w:w="686" w:type="dxa"/>
            <w:vAlign w:val="center"/>
          </w:tcPr>
          <w:p w14:paraId="4B0AE0C7" w14:textId="77777777" w:rsidR="009E246E" w:rsidRPr="003E5D11" w:rsidRDefault="009E246E" w:rsidP="009657C6">
            <w:pPr>
              <w:spacing w:before="60" w:after="60"/>
              <w:jc w:val="center"/>
              <w:rPr>
                <w:sz w:val="16"/>
                <w:szCs w:val="16"/>
              </w:rPr>
            </w:pPr>
          </w:p>
        </w:tc>
        <w:tc>
          <w:tcPr>
            <w:tcW w:w="721" w:type="dxa"/>
            <w:vAlign w:val="center"/>
          </w:tcPr>
          <w:p w14:paraId="7B5E0ADB" w14:textId="77777777" w:rsidR="009E246E" w:rsidRPr="003E5D11" w:rsidRDefault="009E246E" w:rsidP="009657C6">
            <w:pPr>
              <w:spacing w:before="60" w:after="60"/>
              <w:jc w:val="center"/>
              <w:rPr>
                <w:sz w:val="16"/>
                <w:szCs w:val="16"/>
              </w:rPr>
            </w:pPr>
          </w:p>
        </w:tc>
        <w:tc>
          <w:tcPr>
            <w:tcW w:w="709" w:type="dxa"/>
            <w:vAlign w:val="center"/>
          </w:tcPr>
          <w:p w14:paraId="61D36838" w14:textId="77777777" w:rsidR="009E246E" w:rsidRPr="003E5D11" w:rsidRDefault="009E246E" w:rsidP="009657C6">
            <w:pPr>
              <w:spacing w:before="60" w:after="60"/>
              <w:jc w:val="center"/>
              <w:rPr>
                <w:sz w:val="16"/>
                <w:szCs w:val="16"/>
              </w:rPr>
            </w:pPr>
          </w:p>
        </w:tc>
        <w:tc>
          <w:tcPr>
            <w:tcW w:w="1347" w:type="dxa"/>
            <w:vAlign w:val="center"/>
          </w:tcPr>
          <w:p w14:paraId="06522582" w14:textId="77777777" w:rsidR="009E246E" w:rsidRPr="003E5D11" w:rsidRDefault="009E246E" w:rsidP="009657C6">
            <w:pPr>
              <w:spacing w:before="60" w:after="60"/>
              <w:jc w:val="center"/>
              <w:rPr>
                <w:sz w:val="16"/>
                <w:szCs w:val="16"/>
              </w:rPr>
            </w:pPr>
          </w:p>
        </w:tc>
      </w:tr>
      <w:tr w:rsidR="009E246E" w:rsidRPr="00C023DD" w14:paraId="6DB5672D" w14:textId="77777777" w:rsidTr="0011325C">
        <w:trPr>
          <w:trHeight w:val="299"/>
        </w:trPr>
        <w:tc>
          <w:tcPr>
            <w:tcW w:w="2840" w:type="dxa"/>
          </w:tcPr>
          <w:p w14:paraId="71D60112" w14:textId="77777777" w:rsidR="009E246E" w:rsidRPr="003E5D11" w:rsidRDefault="009E246E" w:rsidP="009657C6">
            <w:pPr>
              <w:spacing w:before="60" w:after="60"/>
              <w:rPr>
                <w:spacing w:val="-2"/>
                <w:sz w:val="16"/>
                <w:szCs w:val="16"/>
              </w:rPr>
            </w:pPr>
            <w:r w:rsidRPr="003E5D11">
              <w:rPr>
                <w:spacing w:val="-2"/>
                <w:sz w:val="16"/>
                <w:szCs w:val="16"/>
              </w:rPr>
              <w:t>Concurrent meds</w:t>
            </w:r>
          </w:p>
        </w:tc>
        <w:tc>
          <w:tcPr>
            <w:tcW w:w="873" w:type="dxa"/>
            <w:vAlign w:val="center"/>
          </w:tcPr>
          <w:p w14:paraId="39F40746" w14:textId="77777777" w:rsidR="009E246E" w:rsidRPr="003E5D11" w:rsidRDefault="009E246E" w:rsidP="009657C6">
            <w:pPr>
              <w:spacing w:before="60" w:after="60"/>
              <w:jc w:val="center"/>
              <w:rPr>
                <w:sz w:val="16"/>
                <w:szCs w:val="16"/>
              </w:rPr>
            </w:pPr>
            <w:r w:rsidRPr="003E5D11">
              <w:rPr>
                <w:sz w:val="16"/>
                <w:szCs w:val="16"/>
              </w:rPr>
              <w:t>X</w:t>
            </w:r>
          </w:p>
        </w:tc>
        <w:tc>
          <w:tcPr>
            <w:tcW w:w="7863" w:type="dxa"/>
            <w:gridSpan w:val="12"/>
            <w:vAlign w:val="center"/>
          </w:tcPr>
          <w:p w14:paraId="61C7EC75" w14:textId="77777777" w:rsidR="009E246E" w:rsidRPr="003E5D11" w:rsidRDefault="009E246E" w:rsidP="009657C6">
            <w:pPr>
              <w:spacing w:before="60" w:after="60"/>
              <w:jc w:val="center"/>
              <w:rPr>
                <w:sz w:val="16"/>
                <w:szCs w:val="16"/>
              </w:rPr>
            </w:pPr>
            <w:r w:rsidRPr="003E5D11">
              <w:rPr>
                <w:sz w:val="16"/>
                <w:szCs w:val="16"/>
              </w:rPr>
              <w:t>X---------------------------------------------------------------------------------------------X</w:t>
            </w:r>
          </w:p>
        </w:tc>
        <w:tc>
          <w:tcPr>
            <w:tcW w:w="1353" w:type="dxa"/>
            <w:gridSpan w:val="2"/>
            <w:vAlign w:val="center"/>
          </w:tcPr>
          <w:p w14:paraId="4DC73126" w14:textId="77777777" w:rsidR="009E246E" w:rsidRPr="003E5D11" w:rsidRDefault="009E246E" w:rsidP="009657C6">
            <w:pPr>
              <w:spacing w:before="60" w:after="60"/>
              <w:jc w:val="center"/>
              <w:rPr>
                <w:sz w:val="16"/>
                <w:szCs w:val="16"/>
              </w:rPr>
            </w:pPr>
          </w:p>
        </w:tc>
      </w:tr>
      <w:tr w:rsidR="009D0547" w:rsidRPr="00C023DD" w14:paraId="349E1CCE" w14:textId="77777777" w:rsidTr="0011325C">
        <w:trPr>
          <w:gridAfter w:val="1"/>
          <w:wAfter w:w="6" w:type="dxa"/>
          <w:trHeight w:val="299"/>
        </w:trPr>
        <w:tc>
          <w:tcPr>
            <w:tcW w:w="2840" w:type="dxa"/>
          </w:tcPr>
          <w:p w14:paraId="63442A86" w14:textId="79933FC2" w:rsidR="009D0547" w:rsidRPr="003E5D11" w:rsidRDefault="009D0547" w:rsidP="009D0547">
            <w:pPr>
              <w:spacing w:before="60" w:after="60"/>
              <w:rPr>
                <w:spacing w:val="-2"/>
                <w:sz w:val="16"/>
                <w:szCs w:val="16"/>
              </w:rPr>
            </w:pPr>
            <w:r w:rsidRPr="00FB749D">
              <w:rPr>
                <w:spacing w:val="-2"/>
                <w:sz w:val="16"/>
                <w:szCs w:val="16"/>
              </w:rPr>
              <w:t>Physical exam</w:t>
            </w:r>
          </w:p>
        </w:tc>
        <w:tc>
          <w:tcPr>
            <w:tcW w:w="873" w:type="dxa"/>
            <w:vAlign w:val="center"/>
          </w:tcPr>
          <w:p w14:paraId="49203637" w14:textId="647FB744" w:rsidR="009D0547" w:rsidRPr="003E5D11" w:rsidRDefault="009D0547" w:rsidP="009D0547">
            <w:pPr>
              <w:spacing w:before="60" w:after="60"/>
              <w:jc w:val="center"/>
              <w:rPr>
                <w:sz w:val="16"/>
                <w:szCs w:val="16"/>
              </w:rPr>
            </w:pPr>
            <w:r w:rsidRPr="00FB749D">
              <w:rPr>
                <w:sz w:val="16"/>
                <w:szCs w:val="16"/>
              </w:rPr>
              <w:t>X</w:t>
            </w:r>
          </w:p>
        </w:tc>
        <w:tc>
          <w:tcPr>
            <w:tcW w:w="634" w:type="dxa"/>
            <w:vAlign w:val="center"/>
          </w:tcPr>
          <w:p w14:paraId="73CCA628" w14:textId="1E405EEA" w:rsidR="009D0547" w:rsidRPr="003E5D11" w:rsidRDefault="009D0547" w:rsidP="009D0547">
            <w:pPr>
              <w:spacing w:before="60" w:after="60"/>
              <w:jc w:val="center"/>
              <w:rPr>
                <w:sz w:val="16"/>
                <w:szCs w:val="16"/>
              </w:rPr>
            </w:pPr>
            <w:r w:rsidRPr="00FB749D">
              <w:rPr>
                <w:sz w:val="16"/>
                <w:szCs w:val="16"/>
              </w:rPr>
              <w:t>X</w:t>
            </w:r>
          </w:p>
        </w:tc>
        <w:tc>
          <w:tcPr>
            <w:tcW w:w="600" w:type="dxa"/>
            <w:vAlign w:val="center"/>
          </w:tcPr>
          <w:p w14:paraId="0D0F45FE" w14:textId="2685F473" w:rsidR="009D0547" w:rsidRPr="003E5D11" w:rsidRDefault="009D0547" w:rsidP="009D0547">
            <w:pPr>
              <w:spacing w:before="60" w:after="60"/>
              <w:jc w:val="center"/>
              <w:rPr>
                <w:sz w:val="16"/>
                <w:szCs w:val="16"/>
              </w:rPr>
            </w:pPr>
            <w:r>
              <w:rPr>
                <w:sz w:val="16"/>
                <w:szCs w:val="16"/>
              </w:rPr>
              <w:t>X</w:t>
            </w:r>
          </w:p>
        </w:tc>
        <w:tc>
          <w:tcPr>
            <w:tcW w:w="617" w:type="dxa"/>
            <w:vAlign w:val="center"/>
          </w:tcPr>
          <w:p w14:paraId="1DFCE5AF" w14:textId="77777777" w:rsidR="009D0547" w:rsidRPr="003E5D11" w:rsidRDefault="009D0547" w:rsidP="009D0547">
            <w:pPr>
              <w:spacing w:before="60" w:after="60"/>
              <w:jc w:val="center"/>
              <w:rPr>
                <w:sz w:val="16"/>
                <w:szCs w:val="16"/>
              </w:rPr>
            </w:pPr>
          </w:p>
        </w:tc>
        <w:tc>
          <w:tcPr>
            <w:tcW w:w="704" w:type="dxa"/>
            <w:vAlign w:val="center"/>
          </w:tcPr>
          <w:p w14:paraId="0A043E33" w14:textId="1C3037B2" w:rsidR="009D0547" w:rsidRPr="003E5D11" w:rsidRDefault="009D0547" w:rsidP="009D0547">
            <w:pPr>
              <w:spacing w:before="60" w:after="60"/>
              <w:jc w:val="center"/>
              <w:rPr>
                <w:sz w:val="16"/>
                <w:szCs w:val="16"/>
              </w:rPr>
            </w:pPr>
            <w:r w:rsidRPr="00FB749D">
              <w:rPr>
                <w:sz w:val="16"/>
                <w:szCs w:val="16"/>
              </w:rPr>
              <w:t>X</w:t>
            </w:r>
          </w:p>
        </w:tc>
        <w:tc>
          <w:tcPr>
            <w:tcW w:w="635" w:type="dxa"/>
            <w:vAlign w:val="center"/>
          </w:tcPr>
          <w:p w14:paraId="5FD2D2E9" w14:textId="77777777" w:rsidR="009D0547" w:rsidRPr="003E5D11" w:rsidRDefault="009D0547" w:rsidP="009D0547">
            <w:pPr>
              <w:spacing w:before="60" w:after="60"/>
              <w:jc w:val="center"/>
              <w:rPr>
                <w:sz w:val="16"/>
                <w:szCs w:val="16"/>
              </w:rPr>
            </w:pPr>
          </w:p>
        </w:tc>
        <w:tc>
          <w:tcPr>
            <w:tcW w:w="635" w:type="dxa"/>
            <w:vAlign w:val="center"/>
          </w:tcPr>
          <w:p w14:paraId="35F2312D" w14:textId="77777777" w:rsidR="009D0547" w:rsidRPr="003E5D11" w:rsidRDefault="009D0547" w:rsidP="009D0547">
            <w:pPr>
              <w:spacing w:before="60" w:after="60"/>
              <w:jc w:val="center"/>
              <w:rPr>
                <w:sz w:val="16"/>
                <w:szCs w:val="16"/>
              </w:rPr>
            </w:pPr>
          </w:p>
        </w:tc>
        <w:tc>
          <w:tcPr>
            <w:tcW w:w="635" w:type="dxa"/>
            <w:vAlign w:val="center"/>
          </w:tcPr>
          <w:p w14:paraId="275560D8" w14:textId="00D55B25" w:rsidR="009D0547" w:rsidRPr="003E5D11" w:rsidRDefault="009D0547" w:rsidP="009D0547">
            <w:pPr>
              <w:spacing w:before="60" w:after="60"/>
              <w:jc w:val="center"/>
              <w:rPr>
                <w:sz w:val="16"/>
                <w:szCs w:val="16"/>
              </w:rPr>
            </w:pPr>
          </w:p>
        </w:tc>
        <w:tc>
          <w:tcPr>
            <w:tcW w:w="652" w:type="dxa"/>
            <w:vAlign w:val="center"/>
          </w:tcPr>
          <w:p w14:paraId="1170FB9D" w14:textId="77777777" w:rsidR="009D0547" w:rsidRPr="003E5D11" w:rsidRDefault="009D0547" w:rsidP="009D0547">
            <w:pPr>
              <w:spacing w:before="60" w:after="60"/>
              <w:jc w:val="center"/>
              <w:rPr>
                <w:sz w:val="16"/>
                <w:szCs w:val="16"/>
              </w:rPr>
            </w:pPr>
          </w:p>
        </w:tc>
        <w:tc>
          <w:tcPr>
            <w:tcW w:w="635" w:type="dxa"/>
            <w:vAlign w:val="center"/>
          </w:tcPr>
          <w:p w14:paraId="367171E7" w14:textId="77777777" w:rsidR="009D0547" w:rsidRPr="003E5D11" w:rsidRDefault="009D0547" w:rsidP="009D0547">
            <w:pPr>
              <w:spacing w:before="60" w:after="60"/>
              <w:jc w:val="center"/>
              <w:rPr>
                <w:sz w:val="16"/>
                <w:szCs w:val="16"/>
              </w:rPr>
            </w:pPr>
          </w:p>
        </w:tc>
        <w:tc>
          <w:tcPr>
            <w:tcW w:w="686" w:type="dxa"/>
            <w:vAlign w:val="center"/>
          </w:tcPr>
          <w:p w14:paraId="392B89C7" w14:textId="141645C1" w:rsidR="009D0547" w:rsidRPr="003E5D11" w:rsidRDefault="009D0547" w:rsidP="009D0547">
            <w:pPr>
              <w:spacing w:before="60" w:after="60"/>
              <w:jc w:val="center"/>
              <w:rPr>
                <w:sz w:val="16"/>
                <w:szCs w:val="16"/>
              </w:rPr>
            </w:pPr>
          </w:p>
        </w:tc>
        <w:tc>
          <w:tcPr>
            <w:tcW w:w="721" w:type="dxa"/>
            <w:vAlign w:val="center"/>
          </w:tcPr>
          <w:p w14:paraId="56516F7C" w14:textId="77777777" w:rsidR="009D0547" w:rsidRPr="003E5D11" w:rsidRDefault="009D0547" w:rsidP="009D0547">
            <w:pPr>
              <w:spacing w:before="60" w:after="60"/>
              <w:jc w:val="center"/>
              <w:rPr>
                <w:sz w:val="16"/>
                <w:szCs w:val="16"/>
              </w:rPr>
            </w:pPr>
          </w:p>
        </w:tc>
        <w:tc>
          <w:tcPr>
            <w:tcW w:w="709" w:type="dxa"/>
            <w:vAlign w:val="center"/>
          </w:tcPr>
          <w:p w14:paraId="0D2EB9DF" w14:textId="357EB024" w:rsidR="009D0547" w:rsidRPr="003E5D11" w:rsidRDefault="009D0547" w:rsidP="009D0547">
            <w:pPr>
              <w:spacing w:before="60" w:after="60"/>
              <w:jc w:val="center"/>
              <w:rPr>
                <w:sz w:val="16"/>
                <w:szCs w:val="16"/>
              </w:rPr>
            </w:pPr>
            <w:r>
              <w:rPr>
                <w:sz w:val="16"/>
                <w:szCs w:val="16"/>
              </w:rPr>
              <w:t>X</w:t>
            </w:r>
          </w:p>
        </w:tc>
        <w:tc>
          <w:tcPr>
            <w:tcW w:w="1347" w:type="dxa"/>
            <w:vAlign w:val="center"/>
          </w:tcPr>
          <w:p w14:paraId="549D60F9" w14:textId="7E686F32" w:rsidR="009D0547" w:rsidRPr="003E5D11" w:rsidRDefault="009D0547" w:rsidP="009D0547">
            <w:pPr>
              <w:spacing w:before="60" w:after="60"/>
              <w:jc w:val="center"/>
              <w:rPr>
                <w:sz w:val="16"/>
                <w:szCs w:val="16"/>
              </w:rPr>
            </w:pPr>
            <w:r w:rsidRPr="00FB749D">
              <w:rPr>
                <w:sz w:val="16"/>
                <w:szCs w:val="16"/>
              </w:rPr>
              <w:t>X</w:t>
            </w:r>
          </w:p>
        </w:tc>
      </w:tr>
      <w:tr w:rsidR="009D0547" w:rsidRPr="00C023DD" w14:paraId="7F4742A9" w14:textId="77777777" w:rsidTr="0011325C">
        <w:trPr>
          <w:gridAfter w:val="1"/>
          <w:wAfter w:w="6" w:type="dxa"/>
          <w:trHeight w:val="299"/>
        </w:trPr>
        <w:tc>
          <w:tcPr>
            <w:tcW w:w="2840" w:type="dxa"/>
          </w:tcPr>
          <w:p w14:paraId="30C3D757" w14:textId="27891104" w:rsidR="009D0547" w:rsidRPr="003E5D11" w:rsidRDefault="009D0547" w:rsidP="009D0547">
            <w:pPr>
              <w:spacing w:before="60" w:after="60"/>
              <w:rPr>
                <w:spacing w:val="-2"/>
                <w:sz w:val="16"/>
                <w:szCs w:val="16"/>
              </w:rPr>
            </w:pPr>
            <w:r w:rsidRPr="00FB749D">
              <w:rPr>
                <w:spacing w:val="-2"/>
                <w:sz w:val="16"/>
                <w:szCs w:val="16"/>
              </w:rPr>
              <w:t>Vital signs</w:t>
            </w:r>
          </w:p>
        </w:tc>
        <w:tc>
          <w:tcPr>
            <w:tcW w:w="873" w:type="dxa"/>
            <w:vAlign w:val="center"/>
          </w:tcPr>
          <w:p w14:paraId="6428E98A" w14:textId="58EA9269" w:rsidR="009D0547" w:rsidRPr="003E5D11" w:rsidRDefault="009D0547" w:rsidP="009D0547">
            <w:pPr>
              <w:spacing w:before="60" w:after="60"/>
              <w:jc w:val="center"/>
              <w:rPr>
                <w:sz w:val="16"/>
                <w:szCs w:val="16"/>
              </w:rPr>
            </w:pPr>
            <w:r w:rsidRPr="00FB749D">
              <w:rPr>
                <w:sz w:val="16"/>
                <w:szCs w:val="16"/>
              </w:rPr>
              <w:t>X</w:t>
            </w:r>
          </w:p>
        </w:tc>
        <w:tc>
          <w:tcPr>
            <w:tcW w:w="634" w:type="dxa"/>
            <w:vAlign w:val="center"/>
          </w:tcPr>
          <w:p w14:paraId="1094312C" w14:textId="1E057F98" w:rsidR="009D0547" w:rsidRPr="003E5D11" w:rsidRDefault="009D0547" w:rsidP="009D0547">
            <w:pPr>
              <w:spacing w:before="60" w:after="60"/>
              <w:jc w:val="center"/>
              <w:rPr>
                <w:sz w:val="16"/>
                <w:szCs w:val="16"/>
              </w:rPr>
            </w:pPr>
            <w:r w:rsidRPr="00FB749D">
              <w:rPr>
                <w:sz w:val="16"/>
                <w:szCs w:val="16"/>
              </w:rPr>
              <w:t>X</w:t>
            </w:r>
          </w:p>
        </w:tc>
        <w:tc>
          <w:tcPr>
            <w:tcW w:w="600" w:type="dxa"/>
            <w:vAlign w:val="center"/>
          </w:tcPr>
          <w:p w14:paraId="202F16E4" w14:textId="53FCA1F7" w:rsidR="009D0547" w:rsidRPr="003E5D11" w:rsidRDefault="009D0547" w:rsidP="009D0547">
            <w:pPr>
              <w:spacing w:before="60" w:after="60"/>
              <w:jc w:val="center"/>
              <w:rPr>
                <w:sz w:val="16"/>
                <w:szCs w:val="16"/>
              </w:rPr>
            </w:pPr>
            <w:r>
              <w:rPr>
                <w:sz w:val="16"/>
                <w:szCs w:val="16"/>
              </w:rPr>
              <w:t>X</w:t>
            </w:r>
          </w:p>
        </w:tc>
        <w:tc>
          <w:tcPr>
            <w:tcW w:w="617" w:type="dxa"/>
            <w:vAlign w:val="center"/>
          </w:tcPr>
          <w:p w14:paraId="498DDB41" w14:textId="77777777" w:rsidR="009D0547" w:rsidRPr="003E5D11" w:rsidRDefault="009D0547" w:rsidP="009D0547">
            <w:pPr>
              <w:spacing w:before="60" w:after="60"/>
              <w:jc w:val="center"/>
              <w:rPr>
                <w:sz w:val="16"/>
                <w:szCs w:val="16"/>
              </w:rPr>
            </w:pPr>
          </w:p>
        </w:tc>
        <w:tc>
          <w:tcPr>
            <w:tcW w:w="704" w:type="dxa"/>
            <w:vAlign w:val="center"/>
          </w:tcPr>
          <w:p w14:paraId="62212FD1" w14:textId="77145B65" w:rsidR="009D0547" w:rsidRPr="003E5D11" w:rsidRDefault="009D0547" w:rsidP="009D0547">
            <w:pPr>
              <w:spacing w:before="60" w:after="60"/>
              <w:jc w:val="center"/>
              <w:rPr>
                <w:sz w:val="16"/>
                <w:szCs w:val="16"/>
              </w:rPr>
            </w:pPr>
            <w:r w:rsidRPr="00FB749D">
              <w:rPr>
                <w:sz w:val="16"/>
                <w:szCs w:val="16"/>
              </w:rPr>
              <w:t>X</w:t>
            </w:r>
          </w:p>
        </w:tc>
        <w:tc>
          <w:tcPr>
            <w:tcW w:w="635" w:type="dxa"/>
            <w:vAlign w:val="center"/>
          </w:tcPr>
          <w:p w14:paraId="2E3451A6" w14:textId="77777777" w:rsidR="009D0547" w:rsidRPr="003E5D11" w:rsidRDefault="009D0547" w:rsidP="009D0547">
            <w:pPr>
              <w:spacing w:before="60" w:after="60"/>
              <w:jc w:val="center"/>
              <w:rPr>
                <w:sz w:val="16"/>
                <w:szCs w:val="16"/>
              </w:rPr>
            </w:pPr>
          </w:p>
        </w:tc>
        <w:tc>
          <w:tcPr>
            <w:tcW w:w="635" w:type="dxa"/>
            <w:vAlign w:val="center"/>
          </w:tcPr>
          <w:p w14:paraId="282D1649" w14:textId="77777777" w:rsidR="009D0547" w:rsidRPr="003E5D11" w:rsidRDefault="009D0547" w:rsidP="009D0547">
            <w:pPr>
              <w:spacing w:before="60" w:after="60"/>
              <w:jc w:val="center"/>
              <w:rPr>
                <w:sz w:val="16"/>
                <w:szCs w:val="16"/>
              </w:rPr>
            </w:pPr>
          </w:p>
        </w:tc>
        <w:tc>
          <w:tcPr>
            <w:tcW w:w="635" w:type="dxa"/>
            <w:vAlign w:val="center"/>
          </w:tcPr>
          <w:p w14:paraId="64BCC536" w14:textId="63033BA2" w:rsidR="009D0547" w:rsidRPr="003E5D11" w:rsidRDefault="009D0547" w:rsidP="009D0547">
            <w:pPr>
              <w:spacing w:before="60" w:after="60"/>
              <w:jc w:val="center"/>
              <w:rPr>
                <w:sz w:val="16"/>
                <w:szCs w:val="16"/>
              </w:rPr>
            </w:pPr>
          </w:p>
        </w:tc>
        <w:tc>
          <w:tcPr>
            <w:tcW w:w="652" w:type="dxa"/>
            <w:vAlign w:val="center"/>
          </w:tcPr>
          <w:p w14:paraId="38E68887" w14:textId="77777777" w:rsidR="009D0547" w:rsidRPr="003E5D11" w:rsidRDefault="009D0547" w:rsidP="009D0547">
            <w:pPr>
              <w:spacing w:before="60" w:after="60"/>
              <w:jc w:val="center"/>
              <w:rPr>
                <w:sz w:val="16"/>
                <w:szCs w:val="16"/>
              </w:rPr>
            </w:pPr>
          </w:p>
        </w:tc>
        <w:tc>
          <w:tcPr>
            <w:tcW w:w="635" w:type="dxa"/>
            <w:vAlign w:val="center"/>
          </w:tcPr>
          <w:p w14:paraId="7F1069B2" w14:textId="77777777" w:rsidR="009D0547" w:rsidRPr="003E5D11" w:rsidRDefault="009D0547" w:rsidP="009D0547">
            <w:pPr>
              <w:spacing w:before="60" w:after="60"/>
              <w:jc w:val="center"/>
              <w:rPr>
                <w:sz w:val="16"/>
                <w:szCs w:val="16"/>
              </w:rPr>
            </w:pPr>
          </w:p>
        </w:tc>
        <w:tc>
          <w:tcPr>
            <w:tcW w:w="686" w:type="dxa"/>
            <w:vAlign w:val="center"/>
          </w:tcPr>
          <w:p w14:paraId="33B3DCE2" w14:textId="0E139F21" w:rsidR="009D0547" w:rsidRPr="003E5D11" w:rsidRDefault="009D0547" w:rsidP="009D0547">
            <w:pPr>
              <w:spacing w:before="60" w:after="60"/>
              <w:jc w:val="center"/>
              <w:rPr>
                <w:sz w:val="16"/>
                <w:szCs w:val="16"/>
              </w:rPr>
            </w:pPr>
          </w:p>
        </w:tc>
        <w:tc>
          <w:tcPr>
            <w:tcW w:w="721" w:type="dxa"/>
            <w:vAlign w:val="center"/>
          </w:tcPr>
          <w:p w14:paraId="162D9076" w14:textId="77777777" w:rsidR="009D0547" w:rsidRPr="003E5D11" w:rsidRDefault="009D0547" w:rsidP="009D0547">
            <w:pPr>
              <w:spacing w:before="60" w:after="60"/>
              <w:jc w:val="center"/>
              <w:rPr>
                <w:sz w:val="16"/>
                <w:szCs w:val="16"/>
              </w:rPr>
            </w:pPr>
          </w:p>
        </w:tc>
        <w:tc>
          <w:tcPr>
            <w:tcW w:w="709" w:type="dxa"/>
            <w:vAlign w:val="center"/>
          </w:tcPr>
          <w:p w14:paraId="6D0BC7D8" w14:textId="21CC7055" w:rsidR="009D0547" w:rsidRPr="003E5D11" w:rsidRDefault="009D0547" w:rsidP="009D0547">
            <w:pPr>
              <w:spacing w:before="60" w:after="60"/>
              <w:jc w:val="center"/>
              <w:rPr>
                <w:sz w:val="16"/>
                <w:szCs w:val="16"/>
              </w:rPr>
            </w:pPr>
            <w:r>
              <w:rPr>
                <w:sz w:val="16"/>
                <w:szCs w:val="16"/>
              </w:rPr>
              <w:t>X</w:t>
            </w:r>
          </w:p>
        </w:tc>
        <w:tc>
          <w:tcPr>
            <w:tcW w:w="1347" w:type="dxa"/>
            <w:vAlign w:val="center"/>
          </w:tcPr>
          <w:p w14:paraId="77FEA685" w14:textId="471CDBD4" w:rsidR="009D0547" w:rsidRPr="003E5D11" w:rsidRDefault="009D0547" w:rsidP="009D0547">
            <w:pPr>
              <w:spacing w:before="60" w:after="60"/>
              <w:jc w:val="center"/>
              <w:rPr>
                <w:sz w:val="16"/>
                <w:szCs w:val="16"/>
              </w:rPr>
            </w:pPr>
            <w:r w:rsidRPr="00FB749D">
              <w:rPr>
                <w:sz w:val="16"/>
                <w:szCs w:val="16"/>
              </w:rPr>
              <w:t>X</w:t>
            </w:r>
          </w:p>
        </w:tc>
      </w:tr>
      <w:tr w:rsidR="009D0547" w:rsidRPr="00C023DD" w14:paraId="3FD4C7CF" w14:textId="77777777" w:rsidTr="0011325C">
        <w:trPr>
          <w:gridAfter w:val="1"/>
          <w:wAfter w:w="6" w:type="dxa"/>
          <w:trHeight w:val="299"/>
        </w:trPr>
        <w:tc>
          <w:tcPr>
            <w:tcW w:w="2840" w:type="dxa"/>
          </w:tcPr>
          <w:p w14:paraId="6BD54175" w14:textId="2095CE99" w:rsidR="009D0547" w:rsidRPr="003E5D11" w:rsidRDefault="009D0547" w:rsidP="009D0547">
            <w:pPr>
              <w:spacing w:before="60" w:after="60"/>
              <w:rPr>
                <w:spacing w:val="-2"/>
                <w:sz w:val="16"/>
                <w:szCs w:val="16"/>
              </w:rPr>
            </w:pPr>
            <w:r w:rsidRPr="00FB749D">
              <w:rPr>
                <w:spacing w:val="-2"/>
                <w:sz w:val="16"/>
                <w:szCs w:val="16"/>
              </w:rPr>
              <w:t>Height</w:t>
            </w:r>
          </w:p>
        </w:tc>
        <w:tc>
          <w:tcPr>
            <w:tcW w:w="873" w:type="dxa"/>
            <w:vAlign w:val="center"/>
          </w:tcPr>
          <w:p w14:paraId="6F3D0D47" w14:textId="22FFBC16" w:rsidR="009D0547" w:rsidRPr="003E5D11" w:rsidRDefault="009D0547" w:rsidP="009D0547">
            <w:pPr>
              <w:spacing w:before="60" w:after="60"/>
              <w:jc w:val="center"/>
              <w:rPr>
                <w:sz w:val="16"/>
                <w:szCs w:val="16"/>
              </w:rPr>
            </w:pPr>
            <w:r w:rsidRPr="00FB749D">
              <w:rPr>
                <w:sz w:val="16"/>
                <w:szCs w:val="16"/>
              </w:rPr>
              <w:t>X</w:t>
            </w:r>
          </w:p>
        </w:tc>
        <w:tc>
          <w:tcPr>
            <w:tcW w:w="634" w:type="dxa"/>
            <w:vAlign w:val="center"/>
          </w:tcPr>
          <w:p w14:paraId="14334CAA" w14:textId="77777777" w:rsidR="009D0547" w:rsidRPr="003E5D11" w:rsidRDefault="009D0547" w:rsidP="009D0547">
            <w:pPr>
              <w:spacing w:before="60" w:after="60"/>
              <w:jc w:val="center"/>
              <w:rPr>
                <w:sz w:val="16"/>
                <w:szCs w:val="16"/>
              </w:rPr>
            </w:pPr>
          </w:p>
        </w:tc>
        <w:tc>
          <w:tcPr>
            <w:tcW w:w="600" w:type="dxa"/>
            <w:vAlign w:val="center"/>
          </w:tcPr>
          <w:p w14:paraId="0F10D094" w14:textId="77777777" w:rsidR="009D0547" w:rsidRPr="003E5D11" w:rsidRDefault="009D0547" w:rsidP="009D0547">
            <w:pPr>
              <w:spacing w:before="60" w:after="60"/>
              <w:jc w:val="center"/>
              <w:rPr>
                <w:sz w:val="16"/>
                <w:szCs w:val="16"/>
              </w:rPr>
            </w:pPr>
          </w:p>
        </w:tc>
        <w:tc>
          <w:tcPr>
            <w:tcW w:w="617" w:type="dxa"/>
            <w:vAlign w:val="center"/>
          </w:tcPr>
          <w:p w14:paraId="131E87CC" w14:textId="77777777" w:rsidR="009D0547" w:rsidRPr="003E5D11" w:rsidRDefault="009D0547" w:rsidP="009D0547">
            <w:pPr>
              <w:spacing w:before="60" w:after="60"/>
              <w:jc w:val="center"/>
              <w:rPr>
                <w:sz w:val="16"/>
                <w:szCs w:val="16"/>
              </w:rPr>
            </w:pPr>
          </w:p>
        </w:tc>
        <w:tc>
          <w:tcPr>
            <w:tcW w:w="704" w:type="dxa"/>
            <w:vAlign w:val="center"/>
          </w:tcPr>
          <w:p w14:paraId="154C6245" w14:textId="77777777" w:rsidR="009D0547" w:rsidRPr="003E5D11" w:rsidRDefault="009D0547" w:rsidP="009D0547">
            <w:pPr>
              <w:spacing w:before="60" w:after="60"/>
              <w:jc w:val="center"/>
              <w:rPr>
                <w:sz w:val="16"/>
                <w:szCs w:val="16"/>
              </w:rPr>
            </w:pPr>
          </w:p>
        </w:tc>
        <w:tc>
          <w:tcPr>
            <w:tcW w:w="635" w:type="dxa"/>
            <w:vAlign w:val="center"/>
          </w:tcPr>
          <w:p w14:paraId="2E62BDA5" w14:textId="77777777" w:rsidR="009D0547" w:rsidRPr="003E5D11" w:rsidRDefault="009D0547" w:rsidP="009D0547">
            <w:pPr>
              <w:spacing w:before="60" w:after="60"/>
              <w:jc w:val="center"/>
              <w:rPr>
                <w:sz w:val="16"/>
                <w:szCs w:val="16"/>
              </w:rPr>
            </w:pPr>
          </w:p>
        </w:tc>
        <w:tc>
          <w:tcPr>
            <w:tcW w:w="635" w:type="dxa"/>
            <w:vAlign w:val="center"/>
          </w:tcPr>
          <w:p w14:paraId="1D122ED9" w14:textId="77777777" w:rsidR="009D0547" w:rsidRPr="003E5D11" w:rsidRDefault="009D0547" w:rsidP="009D0547">
            <w:pPr>
              <w:spacing w:before="60" w:after="60"/>
              <w:jc w:val="center"/>
              <w:rPr>
                <w:sz w:val="16"/>
                <w:szCs w:val="16"/>
              </w:rPr>
            </w:pPr>
          </w:p>
        </w:tc>
        <w:tc>
          <w:tcPr>
            <w:tcW w:w="635" w:type="dxa"/>
            <w:vAlign w:val="center"/>
          </w:tcPr>
          <w:p w14:paraId="5D9BEE62" w14:textId="77777777" w:rsidR="009D0547" w:rsidRPr="003E5D11" w:rsidRDefault="009D0547" w:rsidP="009D0547">
            <w:pPr>
              <w:spacing w:before="60" w:after="60"/>
              <w:jc w:val="center"/>
              <w:rPr>
                <w:sz w:val="16"/>
                <w:szCs w:val="16"/>
              </w:rPr>
            </w:pPr>
          </w:p>
        </w:tc>
        <w:tc>
          <w:tcPr>
            <w:tcW w:w="652" w:type="dxa"/>
            <w:vAlign w:val="center"/>
          </w:tcPr>
          <w:p w14:paraId="4214FE3E" w14:textId="77777777" w:rsidR="009D0547" w:rsidRPr="003E5D11" w:rsidRDefault="009D0547" w:rsidP="009D0547">
            <w:pPr>
              <w:spacing w:before="60" w:after="60"/>
              <w:jc w:val="center"/>
              <w:rPr>
                <w:sz w:val="16"/>
                <w:szCs w:val="16"/>
              </w:rPr>
            </w:pPr>
          </w:p>
        </w:tc>
        <w:tc>
          <w:tcPr>
            <w:tcW w:w="635" w:type="dxa"/>
            <w:vAlign w:val="center"/>
          </w:tcPr>
          <w:p w14:paraId="3A6A65CB" w14:textId="77777777" w:rsidR="009D0547" w:rsidRPr="003E5D11" w:rsidRDefault="009D0547" w:rsidP="009D0547">
            <w:pPr>
              <w:spacing w:before="60" w:after="60"/>
              <w:jc w:val="center"/>
              <w:rPr>
                <w:sz w:val="16"/>
                <w:szCs w:val="16"/>
              </w:rPr>
            </w:pPr>
          </w:p>
        </w:tc>
        <w:tc>
          <w:tcPr>
            <w:tcW w:w="686" w:type="dxa"/>
            <w:vAlign w:val="center"/>
          </w:tcPr>
          <w:p w14:paraId="1ECFEB59" w14:textId="77777777" w:rsidR="009D0547" w:rsidRPr="003E5D11" w:rsidRDefault="009D0547" w:rsidP="009D0547">
            <w:pPr>
              <w:spacing w:before="60" w:after="60"/>
              <w:jc w:val="center"/>
              <w:rPr>
                <w:sz w:val="16"/>
                <w:szCs w:val="16"/>
              </w:rPr>
            </w:pPr>
          </w:p>
        </w:tc>
        <w:tc>
          <w:tcPr>
            <w:tcW w:w="721" w:type="dxa"/>
            <w:vAlign w:val="center"/>
          </w:tcPr>
          <w:p w14:paraId="29847D91" w14:textId="77777777" w:rsidR="009D0547" w:rsidRPr="003E5D11" w:rsidRDefault="009D0547" w:rsidP="009D0547">
            <w:pPr>
              <w:spacing w:before="60" w:after="60"/>
              <w:jc w:val="center"/>
              <w:rPr>
                <w:sz w:val="16"/>
                <w:szCs w:val="16"/>
              </w:rPr>
            </w:pPr>
          </w:p>
        </w:tc>
        <w:tc>
          <w:tcPr>
            <w:tcW w:w="709" w:type="dxa"/>
            <w:vAlign w:val="center"/>
          </w:tcPr>
          <w:p w14:paraId="5AD1DB0C" w14:textId="77777777" w:rsidR="009D0547" w:rsidRPr="003E5D11" w:rsidRDefault="009D0547" w:rsidP="009D0547">
            <w:pPr>
              <w:spacing w:before="60" w:after="60"/>
              <w:jc w:val="center"/>
              <w:rPr>
                <w:sz w:val="16"/>
                <w:szCs w:val="16"/>
              </w:rPr>
            </w:pPr>
          </w:p>
        </w:tc>
        <w:tc>
          <w:tcPr>
            <w:tcW w:w="1347" w:type="dxa"/>
            <w:vAlign w:val="center"/>
          </w:tcPr>
          <w:p w14:paraId="3FCD3E1D" w14:textId="77777777" w:rsidR="009D0547" w:rsidRPr="003E5D11" w:rsidRDefault="009D0547" w:rsidP="009D0547">
            <w:pPr>
              <w:spacing w:before="60" w:after="60"/>
              <w:jc w:val="center"/>
              <w:rPr>
                <w:sz w:val="16"/>
                <w:szCs w:val="16"/>
              </w:rPr>
            </w:pPr>
          </w:p>
        </w:tc>
      </w:tr>
      <w:tr w:rsidR="009D0547" w:rsidRPr="00C023DD" w14:paraId="6C792955" w14:textId="77777777" w:rsidTr="0011325C">
        <w:trPr>
          <w:gridAfter w:val="1"/>
          <w:wAfter w:w="6" w:type="dxa"/>
          <w:trHeight w:val="299"/>
        </w:trPr>
        <w:tc>
          <w:tcPr>
            <w:tcW w:w="2840" w:type="dxa"/>
          </w:tcPr>
          <w:p w14:paraId="610231E7" w14:textId="60362009" w:rsidR="009D0547" w:rsidRPr="003E5D11" w:rsidRDefault="009D0547" w:rsidP="009D0547">
            <w:pPr>
              <w:spacing w:before="60" w:after="60"/>
              <w:rPr>
                <w:spacing w:val="-2"/>
                <w:sz w:val="16"/>
                <w:szCs w:val="16"/>
              </w:rPr>
            </w:pPr>
            <w:r w:rsidRPr="00FB749D">
              <w:rPr>
                <w:spacing w:val="-2"/>
                <w:sz w:val="16"/>
                <w:szCs w:val="16"/>
              </w:rPr>
              <w:t>Weight</w:t>
            </w:r>
          </w:p>
        </w:tc>
        <w:tc>
          <w:tcPr>
            <w:tcW w:w="873" w:type="dxa"/>
            <w:vAlign w:val="center"/>
          </w:tcPr>
          <w:p w14:paraId="2C4165BA" w14:textId="6C5A9A4A" w:rsidR="009D0547" w:rsidRPr="003E5D11" w:rsidRDefault="009D0547" w:rsidP="009D0547">
            <w:pPr>
              <w:spacing w:before="60" w:after="60"/>
              <w:jc w:val="center"/>
              <w:rPr>
                <w:sz w:val="16"/>
                <w:szCs w:val="16"/>
              </w:rPr>
            </w:pPr>
            <w:r w:rsidRPr="00FB749D">
              <w:rPr>
                <w:sz w:val="16"/>
                <w:szCs w:val="16"/>
              </w:rPr>
              <w:t>X</w:t>
            </w:r>
          </w:p>
        </w:tc>
        <w:tc>
          <w:tcPr>
            <w:tcW w:w="634" w:type="dxa"/>
            <w:vAlign w:val="center"/>
          </w:tcPr>
          <w:p w14:paraId="63E85F3E" w14:textId="5EAE552D" w:rsidR="009D0547" w:rsidRPr="003E5D11" w:rsidRDefault="009D0547" w:rsidP="009D0547">
            <w:pPr>
              <w:spacing w:before="60" w:after="60"/>
              <w:jc w:val="center"/>
              <w:rPr>
                <w:sz w:val="16"/>
                <w:szCs w:val="16"/>
              </w:rPr>
            </w:pPr>
            <w:r w:rsidRPr="00FB749D">
              <w:rPr>
                <w:sz w:val="16"/>
                <w:szCs w:val="16"/>
              </w:rPr>
              <w:t>X</w:t>
            </w:r>
          </w:p>
        </w:tc>
        <w:tc>
          <w:tcPr>
            <w:tcW w:w="600" w:type="dxa"/>
            <w:vAlign w:val="center"/>
          </w:tcPr>
          <w:p w14:paraId="649AC316" w14:textId="77777777" w:rsidR="009D0547" w:rsidRPr="003E5D11" w:rsidRDefault="009D0547" w:rsidP="009D0547">
            <w:pPr>
              <w:spacing w:before="60" w:after="60"/>
              <w:jc w:val="center"/>
              <w:rPr>
                <w:sz w:val="16"/>
                <w:szCs w:val="16"/>
              </w:rPr>
            </w:pPr>
          </w:p>
        </w:tc>
        <w:tc>
          <w:tcPr>
            <w:tcW w:w="617" w:type="dxa"/>
            <w:vAlign w:val="center"/>
          </w:tcPr>
          <w:p w14:paraId="203AFC9C" w14:textId="61067BBC" w:rsidR="009D0547" w:rsidRPr="003E5D11" w:rsidRDefault="009D0547" w:rsidP="009D0547">
            <w:pPr>
              <w:spacing w:before="60" w:after="60"/>
              <w:jc w:val="center"/>
              <w:rPr>
                <w:sz w:val="16"/>
                <w:szCs w:val="16"/>
              </w:rPr>
            </w:pPr>
          </w:p>
        </w:tc>
        <w:tc>
          <w:tcPr>
            <w:tcW w:w="704" w:type="dxa"/>
            <w:vAlign w:val="center"/>
          </w:tcPr>
          <w:p w14:paraId="11F9A971" w14:textId="50C5B3B6" w:rsidR="009D0547" w:rsidRPr="003E5D11" w:rsidRDefault="009D0547" w:rsidP="009D0547">
            <w:pPr>
              <w:spacing w:before="60" w:after="60"/>
              <w:jc w:val="center"/>
              <w:rPr>
                <w:sz w:val="16"/>
                <w:szCs w:val="16"/>
              </w:rPr>
            </w:pPr>
            <w:r>
              <w:rPr>
                <w:sz w:val="16"/>
                <w:szCs w:val="16"/>
              </w:rPr>
              <w:t>X</w:t>
            </w:r>
          </w:p>
        </w:tc>
        <w:tc>
          <w:tcPr>
            <w:tcW w:w="635" w:type="dxa"/>
            <w:vAlign w:val="center"/>
          </w:tcPr>
          <w:p w14:paraId="31E61371" w14:textId="4B8C33D8" w:rsidR="009D0547" w:rsidRPr="003E5D11" w:rsidRDefault="009D0547" w:rsidP="009D0547">
            <w:pPr>
              <w:spacing w:before="60" w:after="60"/>
              <w:jc w:val="center"/>
              <w:rPr>
                <w:sz w:val="16"/>
                <w:szCs w:val="16"/>
              </w:rPr>
            </w:pPr>
          </w:p>
        </w:tc>
        <w:tc>
          <w:tcPr>
            <w:tcW w:w="635" w:type="dxa"/>
            <w:vAlign w:val="center"/>
          </w:tcPr>
          <w:p w14:paraId="6284A326" w14:textId="77777777" w:rsidR="009D0547" w:rsidRPr="003E5D11" w:rsidRDefault="009D0547" w:rsidP="009D0547">
            <w:pPr>
              <w:spacing w:before="60" w:after="60"/>
              <w:jc w:val="center"/>
              <w:rPr>
                <w:sz w:val="16"/>
                <w:szCs w:val="16"/>
              </w:rPr>
            </w:pPr>
          </w:p>
        </w:tc>
        <w:tc>
          <w:tcPr>
            <w:tcW w:w="635" w:type="dxa"/>
            <w:vAlign w:val="center"/>
          </w:tcPr>
          <w:p w14:paraId="1573E57D" w14:textId="5CADC06E" w:rsidR="009D0547" w:rsidRPr="003E5D11" w:rsidRDefault="009D0547" w:rsidP="009D0547">
            <w:pPr>
              <w:spacing w:before="60" w:after="60"/>
              <w:jc w:val="center"/>
              <w:rPr>
                <w:sz w:val="16"/>
                <w:szCs w:val="16"/>
              </w:rPr>
            </w:pPr>
          </w:p>
        </w:tc>
        <w:tc>
          <w:tcPr>
            <w:tcW w:w="652" w:type="dxa"/>
            <w:vAlign w:val="center"/>
          </w:tcPr>
          <w:p w14:paraId="1A37A97B" w14:textId="77777777" w:rsidR="009D0547" w:rsidRPr="003E5D11" w:rsidRDefault="009D0547" w:rsidP="009D0547">
            <w:pPr>
              <w:spacing w:before="60" w:after="60"/>
              <w:jc w:val="center"/>
              <w:rPr>
                <w:sz w:val="16"/>
                <w:szCs w:val="16"/>
              </w:rPr>
            </w:pPr>
          </w:p>
        </w:tc>
        <w:tc>
          <w:tcPr>
            <w:tcW w:w="635" w:type="dxa"/>
            <w:vAlign w:val="center"/>
          </w:tcPr>
          <w:p w14:paraId="646D8895" w14:textId="10BC296F" w:rsidR="009D0547" w:rsidRPr="003E5D11" w:rsidRDefault="009D0547" w:rsidP="009D0547">
            <w:pPr>
              <w:spacing w:before="60" w:after="60"/>
              <w:jc w:val="center"/>
              <w:rPr>
                <w:sz w:val="16"/>
                <w:szCs w:val="16"/>
              </w:rPr>
            </w:pPr>
          </w:p>
        </w:tc>
        <w:tc>
          <w:tcPr>
            <w:tcW w:w="686" w:type="dxa"/>
            <w:vAlign w:val="center"/>
          </w:tcPr>
          <w:p w14:paraId="591D9F1C" w14:textId="77777777" w:rsidR="009D0547" w:rsidRPr="003E5D11" w:rsidRDefault="009D0547" w:rsidP="009D0547">
            <w:pPr>
              <w:spacing w:before="60" w:after="60"/>
              <w:jc w:val="center"/>
              <w:rPr>
                <w:sz w:val="16"/>
                <w:szCs w:val="16"/>
              </w:rPr>
            </w:pPr>
          </w:p>
        </w:tc>
        <w:tc>
          <w:tcPr>
            <w:tcW w:w="721" w:type="dxa"/>
            <w:vAlign w:val="center"/>
          </w:tcPr>
          <w:p w14:paraId="606DCCFC" w14:textId="1D8E4943" w:rsidR="009D0547" w:rsidRPr="003E5D11" w:rsidRDefault="009D0547" w:rsidP="009D0547">
            <w:pPr>
              <w:spacing w:before="60" w:after="60"/>
              <w:jc w:val="center"/>
              <w:rPr>
                <w:sz w:val="16"/>
                <w:szCs w:val="16"/>
              </w:rPr>
            </w:pPr>
          </w:p>
        </w:tc>
        <w:tc>
          <w:tcPr>
            <w:tcW w:w="709" w:type="dxa"/>
            <w:vAlign w:val="center"/>
          </w:tcPr>
          <w:p w14:paraId="6F5DDB40" w14:textId="769D632E" w:rsidR="009D0547" w:rsidRPr="003E5D11" w:rsidRDefault="009D0547" w:rsidP="009D0547">
            <w:pPr>
              <w:spacing w:before="60" w:after="60"/>
              <w:jc w:val="center"/>
              <w:rPr>
                <w:sz w:val="16"/>
                <w:szCs w:val="16"/>
              </w:rPr>
            </w:pPr>
            <w:r>
              <w:rPr>
                <w:sz w:val="16"/>
                <w:szCs w:val="16"/>
              </w:rPr>
              <w:t>X</w:t>
            </w:r>
          </w:p>
        </w:tc>
        <w:tc>
          <w:tcPr>
            <w:tcW w:w="1347" w:type="dxa"/>
            <w:vAlign w:val="center"/>
          </w:tcPr>
          <w:p w14:paraId="7EB1222E" w14:textId="176400E4" w:rsidR="009D0547" w:rsidRPr="003E5D11" w:rsidRDefault="009D0547" w:rsidP="009D0547">
            <w:pPr>
              <w:spacing w:before="60" w:after="60"/>
              <w:jc w:val="center"/>
              <w:rPr>
                <w:sz w:val="16"/>
                <w:szCs w:val="16"/>
              </w:rPr>
            </w:pPr>
            <w:r w:rsidRPr="00FB749D">
              <w:rPr>
                <w:sz w:val="16"/>
                <w:szCs w:val="16"/>
              </w:rPr>
              <w:t>X</w:t>
            </w:r>
          </w:p>
        </w:tc>
      </w:tr>
      <w:tr w:rsidR="009D0547" w:rsidRPr="00C023DD" w14:paraId="0F9AD130" w14:textId="77777777" w:rsidTr="0011325C">
        <w:trPr>
          <w:gridAfter w:val="1"/>
          <w:wAfter w:w="6" w:type="dxa"/>
          <w:trHeight w:val="299"/>
        </w:trPr>
        <w:tc>
          <w:tcPr>
            <w:tcW w:w="2840" w:type="dxa"/>
          </w:tcPr>
          <w:p w14:paraId="7F338DFF" w14:textId="23323584" w:rsidR="009D0547" w:rsidRPr="003E5D11" w:rsidRDefault="009D0547" w:rsidP="009D0547">
            <w:pPr>
              <w:spacing w:before="60" w:after="60"/>
              <w:rPr>
                <w:spacing w:val="-2"/>
                <w:sz w:val="16"/>
                <w:szCs w:val="16"/>
              </w:rPr>
            </w:pPr>
            <w:r w:rsidRPr="00FB749D">
              <w:rPr>
                <w:spacing w:val="-2"/>
                <w:sz w:val="16"/>
                <w:szCs w:val="16"/>
              </w:rPr>
              <w:t xml:space="preserve">Performance </w:t>
            </w:r>
            <w:proofErr w:type="spellStart"/>
            <w:r w:rsidRPr="00FB749D">
              <w:rPr>
                <w:spacing w:val="-2"/>
                <w:sz w:val="16"/>
                <w:szCs w:val="16"/>
              </w:rPr>
              <w:t>status</w:t>
            </w:r>
            <w:r w:rsidRPr="00FB749D">
              <w:rPr>
                <w:spacing w:val="-2"/>
                <w:sz w:val="16"/>
                <w:szCs w:val="16"/>
                <w:vertAlign w:val="superscript"/>
              </w:rPr>
              <w:t>b</w:t>
            </w:r>
            <w:proofErr w:type="spellEnd"/>
          </w:p>
        </w:tc>
        <w:tc>
          <w:tcPr>
            <w:tcW w:w="873" w:type="dxa"/>
            <w:vAlign w:val="center"/>
          </w:tcPr>
          <w:p w14:paraId="77DB7408" w14:textId="0A562FFE" w:rsidR="009D0547" w:rsidRPr="003E5D11" w:rsidRDefault="009D0547" w:rsidP="009D0547">
            <w:pPr>
              <w:spacing w:before="60" w:after="60"/>
              <w:jc w:val="center"/>
              <w:rPr>
                <w:sz w:val="16"/>
                <w:szCs w:val="16"/>
              </w:rPr>
            </w:pPr>
            <w:r w:rsidRPr="00FB749D">
              <w:rPr>
                <w:sz w:val="16"/>
                <w:szCs w:val="16"/>
              </w:rPr>
              <w:t>X</w:t>
            </w:r>
          </w:p>
        </w:tc>
        <w:tc>
          <w:tcPr>
            <w:tcW w:w="634" w:type="dxa"/>
            <w:vAlign w:val="center"/>
          </w:tcPr>
          <w:p w14:paraId="38FF559C" w14:textId="277BE609" w:rsidR="009D0547" w:rsidRPr="003E5D11" w:rsidRDefault="009D0547" w:rsidP="009D0547">
            <w:pPr>
              <w:spacing w:before="60" w:after="60"/>
              <w:jc w:val="center"/>
              <w:rPr>
                <w:sz w:val="16"/>
                <w:szCs w:val="16"/>
              </w:rPr>
            </w:pPr>
            <w:r>
              <w:rPr>
                <w:sz w:val="16"/>
                <w:szCs w:val="16"/>
              </w:rPr>
              <w:t>X</w:t>
            </w:r>
          </w:p>
        </w:tc>
        <w:tc>
          <w:tcPr>
            <w:tcW w:w="600" w:type="dxa"/>
            <w:vAlign w:val="center"/>
          </w:tcPr>
          <w:p w14:paraId="36842182" w14:textId="5734BB0A" w:rsidR="009D0547" w:rsidRPr="003E5D11" w:rsidRDefault="009D0547" w:rsidP="009D0547">
            <w:pPr>
              <w:spacing w:before="60" w:after="60"/>
              <w:jc w:val="center"/>
              <w:rPr>
                <w:sz w:val="16"/>
                <w:szCs w:val="16"/>
              </w:rPr>
            </w:pPr>
            <w:r>
              <w:rPr>
                <w:sz w:val="16"/>
                <w:szCs w:val="16"/>
              </w:rPr>
              <w:t>X</w:t>
            </w:r>
          </w:p>
        </w:tc>
        <w:tc>
          <w:tcPr>
            <w:tcW w:w="617" w:type="dxa"/>
            <w:vAlign w:val="center"/>
          </w:tcPr>
          <w:p w14:paraId="060637EB" w14:textId="77777777" w:rsidR="009D0547" w:rsidRPr="003E5D11" w:rsidRDefault="009D0547" w:rsidP="009D0547">
            <w:pPr>
              <w:spacing w:before="60" w:after="60"/>
              <w:jc w:val="center"/>
              <w:rPr>
                <w:sz w:val="16"/>
                <w:szCs w:val="16"/>
              </w:rPr>
            </w:pPr>
          </w:p>
        </w:tc>
        <w:tc>
          <w:tcPr>
            <w:tcW w:w="704" w:type="dxa"/>
            <w:vAlign w:val="center"/>
          </w:tcPr>
          <w:p w14:paraId="379BF4FC" w14:textId="1CF84B52" w:rsidR="009D0547" w:rsidRPr="003E5D11" w:rsidRDefault="009D0547" w:rsidP="009D0547">
            <w:pPr>
              <w:spacing w:before="60" w:after="60"/>
              <w:jc w:val="center"/>
              <w:rPr>
                <w:sz w:val="16"/>
                <w:szCs w:val="16"/>
              </w:rPr>
            </w:pPr>
            <w:r>
              <w:rPr>
                <w:sz w:val="16"/>
                <w:szCs w:val="16"/>
              </w:rPr>
              <w:t>X</w:t>
            </w:r>
          </w:p>
        </w:tc>
        <w:tc>
          <w:tcPr>
            <w:tcW w:w="635" w:type="dxa"/>
            <w:vAlign w:val="center"/>
          </w:tcPr>
          <w:p w14:paraId="75122D61" w14:textId="58B489FD" w:rsidR="009D0547" w:rsidRPr="003E5D11" w:rsidRDefault="009D0547" w:rsidP="009D0547">
            <w:pPr>
              <w:spacing w:before="60" w:after="60"/>
              <w:jc w:val="center"/>
              <w:rPr>
                <w:sz w:val="16"/>
                <w:szCs w:val="16"/>
              </w:rPr>
            </w:pPr>
          </w:p>
        </w:tc>
        <w:tc>
          <w:tcPr>
            <w:tcW w:w="635" w:type="dxa"/>
            <w:vAlign w:val="center"/>
          </w:tcPr>
          <w:p w14:paraId="5563C72A" w14:textId="77777777" w:rsidR="009D0547" w:rsidRPr="003E5D11" w:rsidRDefault="009D0547" w:rsidP="009D0547">
            <w:pPr>
              <w:spacing w:before="60" w:after="60"/>
              <w:jc w:val="center"/>
              <w:rPr>
                <w:sz w:val="16"/>
                <w:szCs w:val="16"/>
              </w:rPr>
            </w:pPr>
          </w:p>
        </w:tc>
        <w:tc>
          <w:tcPr>
            <w:tcW w:w="635" w:type="dxa"/>
            <w:vAlign w:val="center"/>
          </w:tcPr>
          <w:p w14:paraId="6FDC89DF" w14:textId="77777777" w:rsidR="009D0547" w:rsidRPr="003E5D11" w:rsidRDefault="009D0547" w:rsidP="009D0547">
            <w:pPr>
              <w:spacing w:before="60" w:after="60"/>
              <w:jc w:val="center"/>
              <w:rPr>
                <w:sz w:val="16"/>
                <w:szCs w:val="16"/>
              </w:rPr>
            </w:pPr>
          </w:p>
        </w:tc>
        <w:tc>
          <w:tcPr>
            <w:tcW w:w="652" w:type="dxa"/>
            <w:vAlign w:val="center"/>
          </w:tcPr>
          <w:p w14:paraId="7AA21443" w14:textId="77777777" w:rsidR="009D0547" w:rsidRPr="003E5D11" w:rsidRDefault="009D0547" w:rsidP="009D0547">
            <w:pPr>
              <w:spacing w:before="60" w:after="60"/>
              <w:jc w:val="center"/>
              <w:rPr>
                <w:sz w:val="16"/>
                <w:szCs w:val="16"/>
              </w:rPr>
            </w:pPr>
          </w:p>
        </w:tc>
        <w:tc>
          <w:tcPr>
            <w:tcW w:w="635" w:type="dxa"/>
            <w:vAlign w:val="center"/>
          </w:tcPr>
          <w:p w14:paraId="36F0500B" w14:textId="211E82AF" w:rsidR="009D0547" w:rsidRPr="003E5D11" w:rsidRDefault="009D0547" w:rsidP="009D0547">
            <w:pPr>
              <w:spacing w:before="60" w:after="60"/>
              <w:jc w:val="center"/>
              <w:rPr>
                <w:sz w:val="16"/>
                <w:szCs w:val="16"/>
              </w:rPr>
            </w:pPr>
          </w:p>
        </w:tc>
        <w:tc>
          <w:tcPr>
            <w:tcW w:w="686" w:type="dxa"/>
            <w:vAlign w:val="center"/>
          </w:tcPr>
          <w:p w14:paraId="3C3B79A8" w14:textId="77777777" w:rsidR="009D0547" w:rsidRPr="003E5D11" w:rsidRDefault="009D0547" w:rsidP="009D0547">
            <w:pPr>
              <w:spacing w:before="60" w:after="60"/>
              <w:jc w:val="center"/>
              <w:rPr>
                <w:sz w:val="16"/>
                <w:szCs w:val="16"/>
              </w:rPr>
            </w:pPr>
          </w:p>
        </w:tc>
        <w:tc>
          <w:tcPr>
            <w:tcW w:w="721" w:type="dxa"/>
            <w:vAlign w:val="center"/>
          </w:tcPr>
          <w:p w14:paraId="50B6FCB2" w14:textId="77777777" w:rsidR="009D0547" w:rsidRPr="003E5D11" w:rsidRDefault="009D0547" w:rsidP="009D0547">
            <w:pPr>
              <w:spacing w:before="60" w:after="60"/>
              <w:jc w:val="center"/>
              <w:rPr>
                <w:sz w:val="16"/>
                <w:szCs w:val="16"/>
              </w:rPr>
            </w:pPr>
          </w:p>
        </w:tc>
        <w:tc>
          <w:tcPr>
            <w:tcW w:w="709" w:type="dxa"/>
            <w:vAlign w:val="center"/>
          </w:tcPr>
          <w:p w14:paraId="17090A44" w14:textId="7C6E56B6" w:rsidR="009D0547" w:rsidRPr="003E5D11" w:rsidRDefault="009D0547" w:rsidP="009D0547">
            <w:pPr>
              <w:spacing w:before="60" w:after="60"/>
              <w:jc w:val="center"/>
              <w:rPr>
                <w:sz w:val="16"/>
                <w:szCs w:val="16"/>
              </w:rPr>
            </w:pPr>
            <w:r>
              <w:rPr>
                <w:sz w:val="16"/>
                <w:szCs w:val="16"/>
              </w:rPr>
              <w:t>X</w:t>
            </w:r>
          </w:p>
        </w:tc>
        <w:tc>
          <w:tcPr>
            <w:tcW w:w="1347" w:type="dxa"/>
            <w:vAlign w:val="center"/>
          </w:tcPr>
          <w:p w14:paraId="50DB7EC3" w14:textId="300180B9" w:rsidR="009D0547" w:rsidRPr="003E5D11" w:rsidRDefault="009D0547" w:rsidP="009D0547">
            <w:pPr>
              <w:spacing w:before="60" w:after="60"/>
              <w:jc w:val="center"/>
              <w:rPr>
                <w:sz w:val="16"/>
                <w:szCs w:val="16"/>
              </w:rPr>
            </w:pPr>
            <w:r>
              <w:rPr>
                <w:sz w:val="16"/>
                <w:szCs w:val="16"/>
              </w:rPr>
              <w:t>X</w:t>
            </w:r>
          </w:p>
        </w:tc>
      </w:tr>
      <w:tr w:rsidR="009D0547" w:rsidRPr="00C023DD" w14:paraId="53E90971" w14:textId="77777777" w:rsidTr="0011325C">
        <w:trPr>
          <w:gridAfter w:val="1"/>
          <w:wAfter w:w="6" w:type="dxa"/>
          <w:trHeight w:val="299"/>
        </w:trPr>
        <w:tc>
          <w:tcPr>
            <w:tcW w:w="2840" w:type="dxa"/>
          </w:tcPr>
          <w:p w14:paraId="4157E9D1" w14:textId="4BB30060" w:rsidR="009D0547" w:rsidRPr="003E5D11" w:rsidRDefault="009D0547" w:rsidP="009D0547">
            <w:pPr>
              <w:spacing w:before="60" w:after="60"/>
              <w:rPr>
                <w:spacing w:val="-2"/>
                <w:sz w:val="16"/>
                <w:szCs w:val="16"/>
              </w:rPr>
            </w:pPr>
            <w:r w:rsidRPr="00FB749D">
              <w:rPr>
                <w:spacing w:val="-2"/>
                <w:sz w:val="16"/>
                <w:szCs w:val="16"/>
              </w:rPr>
              <w:t xml:space="preserve">CBC w/diff, </w:t>
            </w:r>
            <w:proofErr w:type="spellStart"/>
            <w:r w:rsidRPr="00FB749D">
              <w:rPr>
                <w:spacing w:val="-2"/>
                <w:sz w:val="16"/>
                <w:szCs w:val="16"/>
              </w:rPr>
              <w:t>plts</w:t>
            </w:r>
            <w:proofErr w:type="spellEnd"/>
          </w:p>
        </w:tc>
        <w:tc>
          <w:tcPr>
            <w:tcW w:w="873" w:type="dxa"/>
            <w:vAlign w:val="center"/>
          </w:tcPr>
          <w:p w14:paraId="64B1C66C" w14:textId="16324223" w:rsidR="009D0547" w:rsidRPr="003E5D11" w:rsidRDefault="009D0547" w:rsidP="009D0547">
            <w:pPr>
              <w:spacing w:before="60" w:after="60"/>
              <w:jc w:val="center"/>
              <w:rPr>
                <w:sz w:val="16"/>
                <w:szCs w:val="16"/>
              </w:rPr>
            </w:pPr>
            <w:r w:rsidRPr="00FB749D">
              <w:rPr>
                <w:sz w:val="16"/>
                <w:szCs w:val="16"/>
              </w:rPr>
              <w:t>X</w:t>
            </w:r>
          </w:p>
        </w:tc>
        <w:tc>
          <w:tcPr>
            <w:tcW w:w="634" w:type="dxa"/>
            <w:vAlign w:val="center"/>
          </w:tcPr>
          <w:p w14:paraId="131612BA" w14:textId="6297CFBE" w:rsidR="009D0547" w:rsidRPr="003E5D11" w:rsidRDefault="009D0547" w:rsidP="009D0547">
            <w:pPr>
              <w:spacing w:before="60" w:after="60"/>
              <w:jc w:val="center"/>
              <w:rPr>
                <w:sz w:val="16"/>
                <w:szCs w:val="16"/>
              </w:rPr>
            </w:pPr>
            <w:r w:rsidRPr="00FB749D">
              <w:rPr>
                <w:sz w:val="16"/>
                <w:szCs w:val="16"/>
              </w:rPr>
              <w:t>X</w:t>
            </w:r>
          </w:p>
        </w:tc>
        <w:tc>
          <w:tcPr>
            <w:tcW w:w="600" w:type="dxa"/>
            <w:vAlign w:val="center"/>
          </w:tcPr>
          <w:p w14:paraId="50D915DA" w14:textId="0ECAC2A0" w:rsidR="009D0547" w:rsidRPr="003E5D11" w:rsidRDefault="009D0547" w:rsidP="009D0547">
            <w:pPr>
              <w:spacing w:before="60" w:after="60"/>
              <w:jc w:val="center"/>
              <w:rPr>
                <w:sz w:val="16"/>
                <w:szCs w:val="16"/>
              </w:rPr>
            </w:pPr>
            <w:r w:rsidRPr="00FB749D">
              <w:rPr>
                <w:sz w:val="16"/>
                <w:szCs w:val="16"/>
              </w:rPr>
              <w:t>X</w:t>
            </w:r>
          </w:p>
        </w:tc>
        <w:tc>
          <w:tcPr>
            <w:tcW w:w="617" w:type="dxa"/>
            <w:vAlign w:val="center"/>
          </w:tcPr>
          <w:p w14:paraId="33283373" w14:textId="13992FB2" w:rsidR="009D0547" w:rsidRPr="003E5D11" w:rsidRDefault="009D0547" w:rsidP="009D0547">
            <w:pPr>
              <w:spacing w:before="60" w:after="60"/>
              <w:jc w:val="center"/>
              <w:rPr>
                <w:sz w:val="16"/>
                <w:szCs w:val="16"/>
              </w:rPr>
            </w:pPr>
          </w:p>
        </w:tc>
        <w:tc>
          <w:tcPr>
            <w:tcW w:w="704" w:type="dxa"/>
            <w:vAlign w:val="center"/>
          </w:tcPr>
          <w:p w14:paraId="284A81CB" w14:textId="5EEC02FA" w:rsidR="009D0547" w:rsidRPr="003E5D11" w:rsidRDefault="009D0547" w:rsidP="009D0547">
            <w:pPr>
              <w:spacing w:before="60" w:after="60"/>
              <w:jc w:val="center"/>
              <w:rPr>
                <w:sz w:val="16"/>
                <w:szCs w:val="16"/>
              </w:rPr>
            </w:pPr>
            <w:r w:rsidRPr="00FB749D">
              <w:rPr>
                <w:sz w:val="16"/>
                <w:szCs w:val="16"/>
              </w:rPr>
              <w:t>X</w:t>
            </w:r>
          </w:p>
        </w:tc>
        <w:tc>
          <w:tcPr>
            <w:tcW w:w="635" w:type="dxa"/>
            <w:vAlign w:val="center"/>
          </w:tcPr>
          <w:p w14:paraId="4D62195E" w14:textId="1F3B2795" w:rsidR="009D0547" w:rsidRPr="003E5D11" w:rsidRDefault="009D0547" w:rsidP="009D0547">
            <w:pPr>
              <w:spacing w:before="60" w:after="60"/>
              <w:jc w:val="center"/>
              <w:rPr>
                <w:sz w:val="16"/>
                <w:szCs w:val="16"/>
              </w:rPr>
            </w:pPr>
          </w:p>
        </w:tc>
        <w:tc>
          <w:tcPr>
            <w:tcW w:w="635" w:type="dxa"/>
            <w:vAlign w:val="center"/>
          </w:tcPr>
          <w:p w14:paraId="47741612" w14:textId="3B6A5526" w:rsidR="009D0547" w:rsidRPr="003E5D11" w:rsidRDefault="009D0547" w:rsidP="009D0547">
            <w:pPr>
              <w:spacing w:before="60" w:after="60"/>
              <w:jc w:val="center"/>
              <w:rPr>
                <w:sz w:val="16"/>
                <w:szCs w:val="16"/>
              </w:rPr>
            </w:pPr>
          </w:p>
        </w:tc>
        <w:tc>
          <w:tcPr>
            <w:tcW w:w="635" w:type="dxa"/>
            <w:vAlign w:val="center"/>
          </w:tcPr>
          <w:p w14:paraId="4B7F9218" w14:textId="79515A5C" w:rsidR="009D0547" w:rsidRPr="003E5D11" w:rsidRDefault="009D0547" w:rsidP="009D0547">
            <w:pPr>
              <w:spacing w:before="60" w:after="60"/>
              <w:jc w:val="center"/>
              <w:rPr>
                <w:sz w:val="16"/>
                <w:szCs w:val="16"/>
              </w:rPr>
            </w:pPr>
          </w:p>
        </w:tc>
        <w:tc>
          <w:tcPr>
            <w:tcW w:w="652" w:type="dxa"/>
            <w:vAlign w:val="center"/>
          </w:tcPr>
          <w:p w14:paraId="78148F96" w14:textId="4104672B" w:rsidR="009D0547" w:rsidRPr="003E5D11" w:rsidRDefault="009D0547" w:rsidP="009D0547">
            <w:pPr>
              <w:spacing w:before="60" w:after="60"/>
              <w:jc w:val="center"/>
              <w:rPr>
                <w:sz w:val="16"/>
                <w:szCs w:val="16"/>
              </w:rPr>
            </w:pPr>
          </w:p>
        </w:tc>
        <w:tc>
          <w:tcPr>
            <w:tcW w:w="635" w:type="dxa"/>
            <w:vAlign w:val="center"/>
          </w:tcPr>
          <w:p w14:paraId="47D56AC6" w14:textId="60F6BE40" w:rsidR="009D0547" w:rsidRPr="003E5D11" w:rsidRDefault="009D0547" w:rsidP="009D0547">
            <w:pPr>
              <w:spacing w:before="60" w:after="60"/>
              <w:jc w:val="center"/>
              <w:rPr>
                <w:sz w:val="16"/>
                <w:szCs w:val="16"/>
              </w:rPr>
            </w:pPr>
          </w:p>
        </w:tc>
        <w:tc>
          <w:tcPr>
            <w:tcW w:w="686" w:type="dxa"/>
            <w:vAlign w:val="center"/>
          </w:tcPr>
          <w:p w14:paraId="616DFC61" w14:textId="74ED9116" w:rsidR="009D0547" w:rsidRPr="003E5D11" w:rsidRDefault="009D0547" w:rsidP="009D0547">
            <w:pPr>
              <w:spacing w:before="60" w:after="60"/>
              <w:jc w:val="center"/>
              <w:rPr>
                <w:sz w:val="16"/>
                <w:szCs w:val="16"/>
              </w:rPr>
            </w:pPr>
          </w:p>
        </w:tc>
        <w:tc>
          <w:tcPr>
            <w:tcW w:w="721" w:type="dxa"/>
            <w:vAlign w:val="center"/>
          </w:tcPr>
          <w:p w14:paraId="5377F5E5" w14:textId="58E3F226" w:rsidR="009D0547" w:rsidRPr="003E5D11" w:rsidRDefault="009D0547" w:rsidP="009D0547">
            <w:pPr>
              <w:spacing w:before="60" w:after="60"/>
              <w:jc w:val="center"/>
              <w:rPr>
                <w:sz w:val="16"/>
                <w:szCs w:val="16"/>
              </w:rPr>
            </w:pPr>
          </w:p>
        </w:tc>
        <w:tc>
          <w:tcPr>
            <w:tcW w:w="709" w:type="dxa"/>
            <w:vAlign w:val="center"/>
          </w:tcPr>
          <w:p w14:paraId="3C21382B" w14:textId="3BCD9111" w:rsidR="009D0547" w:rsidRPr="003E5D11" w:rsidRDefault="009D0547" w:rsidP="009D0547">
            <w:pPr>
              <w:spacing w:before="60" w:after="60"/>
              <w:jc w:val="center"/>
              <w:rPr>
                <w:sz w:val="16"/>
                <w:szCs w:val="16"/>
              </w:rPr>
            </w:pPr>
          </w:p>
        </w:tc>
        <w:tc>
          <w:tcPr>
            <w:tcW w:w="1347" w:type="dxa"/>
            <w:vAlign w:val="center"/>
          </w:tcPr>
          <w:p w14:paraId="6174ABA0" w14:textId="58431D47" w:rsidR="009D0547" w:rsidRPr="003E5D11" w:rsidRDefault="009D0547" w:rsidP="009D0547">
            <w:pPr>
              <w:spacing w:before="60" w:after="60"/>
              <w:jc w:val="center"/>
              <w:rPr>
                <w:sz w:val="16"/>
                <w:szCs w:val="16"/>
              </w:rPr>
            </w:pPr>
          </w:p>
        </w:tc>
      </w:tr>
      <w:tr w:rsidR="009D0547" w:rsidRPr="00C023DD" w14:paraId="1C1804E6" w14:textId="77777777" w:rsidTr="0011325C">
        <w:trPr>
          <w:gridAfter w:val="1"/>
          <w:wAfter w:w="6" w:type="dxa"/>
          <w:trHeight w:val="299"/>
        </w:trPr>
        <w:tc>
          <w:tcPr>
            <w:tcW w:w="2840" w:type="dxa"/>
          </w:tcPr>
          <w:p w14:paraId="2E1C189B" w14:textId="6F331A08" w:rsidR="009D0547" w:rsidRPr="003E5D11" w:rsidRDefault="009D0547" w:rsidP="009D0547">
            <w:pPr>
              <w:spacing w:before="60" w:after="60"/>
              <w:rPr>
                <w:spacing w:val="-2"/>
                <w:sz w:val="16"/>
                <w:szCs w:val="16"/>
              </w:rPr>
            </w:pPr>
            <w:r w:rsidRPr="00FB749D">
              <w:rPr>
                <w:spacing w:val="-2"/>
                <w:sz w:val="16"/>
                <w:szCs w:val="16"/>
              </w:rPr>
              <w:t xml:space="preserve">Serum </w:t>
            </w:r>
            <w:proofErr w:type="spellStart"/>
            <w:r w:rsidRPr="00FB749D">
              <w:rPr>
                <w:spacing w:val="-2"/>
                <w:sz w:val="16"/>
                <w:szCs w:val="16"/>
              </w:rPr>
              <w:t>chemistry</w:t>
            </w:r>
            <w:r w:rsidRPr="00FB749D">
              <w:rPr>
                <w:spacing w:val="-3"/>
                <w:sz w:val="16"/>
                <w:szCs w:val="16"/>
                <w:vertAlign w:val="superscript"/>
              </w:rPr>
              <w:t>c</w:t>
            </w:r>
            <w:proofErr w:type="spellEnd"/>
          </w:p>
        </w:tc>
        <w:tc>
          <w:tcPr>
            <w:tcW w:w="873" w:type="dxa"/>
            <w:vAlign w:val="center"/>
          </w:tcPr>
          <w:p w14:paraId="06E8C303" w14:textId="7A50B296" w:rsidR="009D0547" w:rsidRPr="003E5D11" w:rsidRDefault="009D0547" w:rsidP="009D0547">
            <w:pPr>
              <w:spacing w:before="60" w:after="60"/>
              <w:jc w:val="center"/>
              <w:rPr>
                <w:sz w:val="16"/>
                <w:szCs w:val="16"/>
              </w:rPr>
            </w:pPr>
            <w:r w:rsidRPr="00FB749D">
              <w:rPr>
                <w:sz w:val="16"/>
                <w:szCs w:val="16"/>
              </w:rPr>
              <w:t>X</w:t>
            </w:r>
          </w:p>
        </w:tc>
        <w:tc>
          <w:tcPr>
            <w:tcW w:w="634" w:type="dxa"/>
            <w:vAlign w:val="center"/>
          </w:tcPr>
          <w:p w14:paraId="2A8DEF42" w14:textId="274862B0" w:rsidR="009D0547" w:rsidRPr="003E5D11" w:rsidRDefault="009D0547" w:rsidP="009D0547">
            <w:pPr>
              <w:spacing w:before="60" w:after="60"/>
              <w:jc w:val="center"/>
              <w:rPr>
                <w:sz w:val="16"/>
                <w:szCs w:val="16"/>
              </w:rPr>
            </w:pPr>
            <w:r w:rsidRPr="00FB749D">
              <w:rPr>
                <w:sz w:val="16"/>
                <w:szCs w:val="16"/>
              </w:rPr>
              <w:t>X</w:t>
            </w:r>
          </w:p>
        </w:tc>
        <w:tc>
          <w:tcPr>
            <w:tcW w:w="600" w:type="dxa"/>
            <w:vAlign w:val="center"/>
          </w:tcPr>
          <w:p w14:paraId="22206E0D" w14:textId="3100EB9D" w:rsidR="009D0547" w:rsidRPr="003E5D11" w:rsidRDefault="009D0547" w:rsidP="009D0547">
            <w:pPr>
              <w:spacing w:before="60" w:after="60"/>
              <w:jc w:val="center"/>
              <w:rPr>
                <w:sz w:val="16"/>
                <w:szCs w:val="16"/>
              </w:rPr>
            </w:pPr>
            <w:r w:rsidRPr="00FB749D">
              <w:rPr>
                <w:sz w:val="16"/>
                <w:szCs w:val="16"/>
              </w:rPr>
              <w:t>X</w:t>
            </w:r>
          </w:p>
        </w:tc>
        <w:tc>
          <w:tcPr>
            <w:tcW w:w="617" w:type="dxa"/>
            <w:vAlign w:val="center"/>
          </w:tcPr>
          <w:p w14:paraId="512AAF9B" w14:textId="0B5BADAC" w:rsidR="009D0547" w:rsidRPr="003E5D11" w:rsidRDefault="009D0547" w:rsidP="009D0547">
            <w:pPr>
              <w:spacing w:before="60" w:after="60"/>
              <w:jc w:val="center"/>
              <w:rPr>
                <w:sz w:val="16"/>
                <w:szCs w:val="16"/>
              </w:rPr>
            </w:pPr>
          </w:p>
        </w:tc>
        <w:tc>
          <w:tcPr>
            <w:tcW w:w="704" w:type="dxa"/>
            <w:vAlign w:val="center"/>
          </w:tcPr>
          <w:p w14:paraId="6D9FA0B4" w14:textId="58D01051" w:rsidR="009D0547" w:rsidRPr="003E5D11" w:rsidRDefault="009D0547" w:rsidP="009D0547">
            <w:pPr>
              <w:spacing w:before="60" w:after="60"/>
              <w:jc w:val="center"/>
              <w:rPr>
                <w:sz w:val="16"/>
                <w:szCs w:val="16"/>
              </w:rPr>
            </w:pPr>
            <w:r w:rsidRPr="00FB749D">
              <w:rPr>
                <w:sz w:val="16"/>
                <w:szCs w:val="16"/>
              </w:rPr>
              <w:t>X</w:t>
            </w:r>
          </w:p>
        </w:tc>
        <w:tc>
          <w:tcPr>
            <w:tcW w:w="635" w:type="dxa"/>
            <w:vAlign w:val="center"/>
          </w:tcPr>
          <w:p w14:paraId="1FE4F99A" w14:textId="410ED9B4" w:rsidR="009D0547" w:rsidRPr="003E5D11" w:rsidRDefault="009D0547" w:rsidP="009D0547">
            <w:pPr>
              <w:spacing w:before="60" w:after="60"/>
              <w:jc w:val="center"/>
              <w:rPr>
                <w:sz w:val="16"/>
                <w:szCs w:val="16"/>
              </w:rPr>
            </w:pPr>
          </w:p>
        </w:tc>
        <w:tc>
          <w:tcPr>
            <w:tcW w:w="635" w:type="dxa"/>
            <w:vAlign w:val="center"/>
          </w:tcPr>
          <w:p w14:paraId="2E48451D" w14:textId="71C2A5E7" w:rsidR="009D0547" w:rsidRPr="003E5D11" w:rsidRDefault="009D0547" w:rsidP="009D0547">
            <w:pPr>
              <w:spacing w:before="60" w:after="60"/>
              <w:jc w:val="center"/>
              <w:rPr>
                <w:sz w:val="16"/>
                <w:szCs w:val="16"/>
              </w:rPr>
            </w:pPr>
          </w:p>
        </w:tc>
        <w:tc>
          <w:tcPr>
            <w:tcW w:w="635" w:type="dxa"/>
            <w:vAlign w:val="center"/>
          </w:tcPr>
          <w:p w14:paraId="25903DE8" w14:textId="5363951D" w:rsidR="009D0547" w:rsidRPr="003E5D11" w:rsidRDefault="009D0547" w:rsidP="009D0547">
            <w:pPr>
              <w:spacing w:before="60" w:after="60"/>
              <w:jc w:val="center"/>
              <w:rPr>
                <w:sz w:val="16"/>
                <w:szCs w:val="16"/>
              </w:rPr>
            </w:pPr>
          </w:p>
        </w:tc>
        <w:tc>
          <w:tcPr>
            <w:tcW w:w="652" w:type="dxa"/>
            <w:vAlign w:val="center"/>
          </w:tcPr>
          <w:p w14:paraId="29A3B4FD" w14:textId="2E5C5FAA" w:rsidR="009D0547" w:rsidRPr="003E5D11" w:rsidRDefault="009D0547" w:rsidP="009D0547">
            <w:pPr>
              <w:spacing w:before="60" w:after="60"/>
              <w:jc w:val="center"/>
              <w:rPr>
                <w:sz w:val="16"/>
                <w:szCs w:val="16"/>
              </w:rPr>
            </w:pPr>
          </w:p>
        </w:tc>
        <w:tc>
          <w:tcPr>
            <w:tcW w:w="635" w:type="dxa"/>
            <w:vAlign w:val="center"/>
          </w:tcPr>
          <w:p w14:paraId="0863213C" w14:textId="28CEC657" w:rsidR="009D0547" w:rsidRPr="003E5D11" w:rsidRDefault="009D0547" w:rsidP="009D0547">
            <w:pPr>
              <w:spacing w:before="60" w:after="60"/>
              <w:jc w:val="center"/>
              <w:rPr>
                <w:sz w:val="16"/>
                <w:szCs w:val="16"/>
              </w:rPr>
            </w:pPr>
          </w:p>
        </w:tc>
        <w:tc>
          <w:tcPr>
            <w:tcW w:w="686" w:type="dxa"/>
            <w:vAlign w:val="center"/>
          </w:tcPr>
          <w:p w14:paraId="5DFEADAC" w14:textId="1F9BB952" w:rsidR="009D0547" w:rsidRPr="003E5D11" w:rsidRDefault="009D0547" w:rsidP="009D0547">
            <w:pPr>
              <w:spacing w:before="60" w:after="60"/>
              <w:jc w:val="center"/>
              <w:rPr>
                <w:sz w:val="16"/>
                <w:szCs w:val="16"/>
              </w:rPr>
            </w:pPr>
          </w:p>
        </w:tc>
        <w:tc>
          <w:tcPr>
            <w:tcW w:w="721" w:type="dxa"/>
            <w:vAlign w:val="center"/>
          </w:tcPr>
          <w:p w14:paraId="0E598624" w14:textId="34213DBB" w:rsidR="009D0547" w:rsidRPr="003E5D11" w:rsidRDefault="009D0547" w:rsidP="009D0547">
            <w:pPr>
              <w:spacing w:before="60" w:after="60"/>
              <w:jc w:val="center"/>
              <w:rPr>
                <w:sz w:val="16"/>
                <w:szCs w:val="16"/>
              </w:rPr>
            </w:pPr>
          </w:p>
        </w:tc>
        <w:tc>
          <w:tcPr>
            <w:tcW w:w="709" w:type="dxa"/>
            <w:vAlign w:val="center"/>
          </w:tcPr>
          <w:p w14:paraId="1B7BC0B6" w14:textId="7A49F896" w:rsidR="009D0547" w:rsidRPr="003E5D11" w:rsidRDefault="009D0547" w:rsidP="009D0547">
            <w:pPr>
              <w:spacing w:before="60" w:after="60"/>
              <w:jc w:val="center"/>
              <w:rPr>
                <w:sz w:val="16"/>
                <w:szCs w:val="16"/>
              </w:rPr>
            </w:pPr>
          </w:p>
        </w:tc>
        <w:tc>
          <w:tcPr>
            <w:tcW w:w="1347" w:type="dxa"/>
            <w:vAlign w:val="center"/>
          </w:tcPr>
          <w:p w14:paraId="759CD158" w14:textId="02D2818A" w:rsidR="009D0547" w:rsidRPr="003E5D11" w:rsidRDefault="009D0547" w:rsidP="009D0547">
            <w:pPr>
              <w:spacing w:before="60" w:after="60"/>
              <w:jc w:val="center"/>
              <w:rPr>
                <w:sz w:val="16"/>
                <w:szCs w:val="16"/>
              </w:rPr>
            </w:pPr>
          </w:p>
        </w:tc>
      </w:tr>
      <w:tr w:rsidR="009E246E" w:rsidRPr="00C023DD" w14:paraId="1F52CB5B" w14:textId="77777777" w:rsidTr="0011325C">
        <w:trPr>
          <w:trHeight w:val="299"/>
        </w:trPr>
        <w:tc>
          <w:tcPr>
            <w:tcW w:w="2840" w:type="dxa"/>
          </w:tcPr>
          <w:p w14:paraId="0FB8D8BF" w14:textId="77777777" w:rsidR="009E246E" w:rsidRPr="003E5D11" w:rsidRDefault="009E246E" w:rsidP="009657C6">
            <w:pPr>
              <w:spacing w:before="60" w:after="60"/>
              <w:rPr>
                <w:spacing w:val="-2"/>
                <w:sz w:val="16"/>
                <w:szCs w:val="16"/>
              </w:rPr>
            </w:pPr>
            <w:r w:rsidRPr="003E5D11">
              <w:rPr>
                <w:spacing w:val="-2"/>
                <w:sz w:val="16"/>
                <w:szCs w:val="16"/>
              </w:rPr>
              <w:t>Adverse event evaluation</w:t>
            </w:r>
          </w:p>
        </w:tc>
        <w:tc>
          <w:tcPr>
            <w:tcW w:w="873" w:type="dxa"/>
            <w:vAlign w:val="center"/>
          </w:tcPr>
          <w:p w14:paraId="415FD14E" w14:textId="77777777" w:rsidR="009E246E" w:rsidRPr="003E5D11" w:rsidRDefault="009E246E" w:rsidP="009657C6">
            <w:pPr>
              <w:spacing w:before="60" w:after="60"/>
              <w:jc w:val="center"/>
              <w:rPr>
                <w:sz w:val="16"/>
                <w:szCs w:val="16"/>
              </w:rPr>
            </w:pPr>
          </w:p>
        </w:tc>
        <w:tc>
          <w:tcPr>
            <w:tcW w:w="7863" w:type="dxa"/>
            <w:gridSpan w:val="12"/>
            <w:vAlign w:val="center"/>
          </w:tcPr>
          <w:p w14:paraId="13ED86D7" w14:textId="77777777" w:rsidR="009E246E" w:rsidRPr="003E5D11" w:rsidRDefault="009E246E" w:rsidP="009657C6">
            <w:pPr>
              <w:spacing w:before="60" w:after="60"/>
              <w:jc w:val="center"/>
              <w:rPr>
                <w:sz w:val="16"/>
                <w:szCs w:val="16"/>
              </w:rPr>
            </w:pPr>
            <w:r w:rsidRPr="003E5D11">
              <w:rPr>
                <w:sz w:val="16"/>
                <w:szCs w:val="16"/>
              </w:rPr>
              <w:t>X---------------------------------------------------------------------------------------------X</w:t>
            </w:r>
          </w:p>
        </w:tc>
        <w:tc>
          <w:tcPr>
            <w:tcW w:w="1353" w:type="dxa"/>
            <w:gridSpan w:val="2"/>
            <w:vAlign w:val="center"/>
          </w:tcPr>
          <w:p w14:paraId="1A5A8FFE" w14:textId="77777777" w:rsidR="009E246E" w:rsidRPr="003E5D11" w:rsidRDefault="009E246E" w:rsidP="009657C6">
            <w:pPr>
              <w:spacing w:before="60" w:after="60"/>
              <w:jc w:val="center"/>
              <w:rPr>
                <w:sz w:val="16"/>
                <w:szCs w:val="16"/>
              </w:rPr>
            </w:pPr>
            <w:r w:rsidRPr="003E5D11">
              <w:rPr>
                <w:sz w:val="16"/>
                <w:szCs w:val="16"/>
              </w:rPr>
              <w:t>X</w:t>
            </w:r>
          </w:p>
        </w:tc>
      </w:tr>
      <w:tr w:rsidR="009E246E" w:rsidRPr="00C023DD" w14:paraId="577E0406" w14:textId="77777777" w:rsidTr="0011325C">
        <w:trPr>
          <w:trHeight w:val="479"/>
        </w:trPr>
        <w:tc>
          <w:tcPr>
            <w:tcW w:w="2840" w:type="dxa"/>
          </w:tcPr>
          <w:p w14:paraId="465031DB" w14:textId="77777777" w:rsidR="009E246E" w:rsidRPr="003E5D11" w:rsidRDefault="009E246E" w:rsidP="009657C6">
            <w:pPr>
              <w:spacing w:before="60" w:after="60"/>
              <w:rPr>
                <w:spacing w:val="-2"/>
                <w:sz w:val="16"/>
                <w:szCs w:val="16"/>
              </w:rPr>
            </w:pPr>
            <w:r w:rsidRPr="003E5D11">
              <w:rPr>
                <w:spacing w:val="-2"/>
                <w:sz w:val="16"/>
                <w:szCs w:val="16"/>
              </w:rPr>
              <w:t>Tumor measurements</w:t>
            </w:r>
          </w:p>
        </w:tc>
        <w:tc>
          <w:tcPr>
            <w:tcW w:w="873" w:type="dxa"/>
            <w:vAlign w:val="center"/>
          </w:tcPr>
          <w:p w14:paraId="0D95898F" w14:textId="77777777" w:rsidR="009E246E" w:rsidRPr="003E5D11" w:rsidRDefault="009E246E" w:rsidP="009657C6">
            <w:pPr>
              <w:spacing w:before="60" w:after="60"/>
              <w:jc w:val="center"/>
              <w:rPr>
                <w:sz w:val="16"/>
                <w:szCs w:val="16"/>
              </w:rPr>
            </w:pPr>
            <w:r w:rsidRPr="003E5D11">
              <w:rPr>
                <w:sz w:val="16"/>
                <w:szCs w:val="16"/>
              </w:rPr>
              <w:t>X</w:t>
            </w:r>
          </w:p>
        </w:tc>
        <w:tc>
          <w:tcPr>
            <w:tcW w:w="7863" w:type="dxa"/>
            <w:gridSpan w:val="12"/>
            <w:vAlign w:val="center"/>
          </w:tcPr>
          <w:p w14:paraId="3CCAF51D" w14:textId="2FDF8F48" w:rsidR="009E246E" w:rsidRPr="003E5D11" w:rsidRDefault="009E246E" w:rsidP="009657C6">
            <w:pPr>
              <w:spacing w:before="60" w:after="60"/>
              <w:rPr>
                <w:sz w:val="16"/>
                <w:szCs w:val="16"/>
              </w:rPr>
            </w:pPr>
            <w:r w:rsidRPr="003E5D11">
              <w:rPr>
                <w:sz w:val="16"/>
                <w:szCs w:val="16"/>
              </w:rPr>
              <w:t>Tumor measurements are repeated every</w:t>
            </w:r>
            <w:r w:rsidR="00E62943">
              <w:rPr>
                <w:sz w:val="16"/>
                <w:szCs w:val="16"/>
              </w:rPr>
              <w:t xml:space="preserve"> 12</w:t>
            </w:r>
            <w:r w:rsidRPr="003E5D11">
              <w:rPr>
                <w:sz w:val="16"/>
                <w:szCs w:val="16"/>
              </w:rPr>
              <w:t xml:space="preserve"> weeks.  Documentation (radiologic) must be provided for patients removed from study for progressive disease.</w:t>
            </w:r>
          </w:p>
        </w:tc>
        <w:tc>
          <w:tcPr>
            <w:tcW w:w="1353" w:type="dxa"/>
            <w:gridSpan w:val="2"/>
            <w:vAlign w:val="center"/>
          </w:tcPr>
          <w:p w14:paraId="512A1BEC" w14:textId="77777777" w:rsidR="009E246E" w:rsidRPr="003E5D11" w:rsidRDefault="009E246E" w:rsidP="009657C6">
            <w:pPr>
              <w:spacing w:before="60" w:after="60"/>
              <w:jc w:val="center"/>
              <w:rPr>
                <w:sz w:val="16"/>
                <w:szCs w:val="16"/>
              </w:rPr>
            </w:pPr>
            <w:r w:rsidRPr="003E5D11">
              <w:rPr>
                <w:sz w:val="16"/>
                <w:szCs w:val="16"/>
              </w:rPr>
              <w:t>X</w:t>
            </w:r>
          </w:p>
        </w:tc>
      </w:tr>
      <w:tr w:rsidR="009E246E" w:rsidRPr="00C023DD" w14:paraId="17311C47" w14:textId="77777777" w:rsidTr="0011325C">
        <w:trPr>
          <w:trHeight w:val="479"/>
        </w:trPr>
        <w:tc>
          <w:tcPr>
            <w:tcW w:w="2840" w:type="dxa"/>
          </w:tcPr>
          <w:p w14:paraId="186D4B79" w14:textId="77777777" w:rsidR="009E246E" w:rsidRPr="003E5D11" w:rsidRDefault="009E246E" w:rsidP="009657C6">
            <w:pPr>
              <w:spacing w:before="60" w:after="60"/>
              <w:rPr>
                <w:spacing w:val="-2"/>
                <w:sz w:val="16"/>
                <w:szCs w:val="16"/>
              </w:rPr>
            </w:pPr>
            <w:r w:rsidRPr="003E5D11">
              <w:rPr>
                <w:spacing w:val="-2"/>
                <w:sz w:val="16"/>
                <w:szCs w:val="16"/>
              </w:rPr>
              <w:t>Radiologic evaluation</w:t>
            </w:r>
          </w:p>
        </w:tc>
        <w:tc>
          <w:tcPr>
            <w:tcW w:w="873" w:type="dxa"/>
            <w:vAlign w:val="center"/>
          </w:tcPr>
          <w:p w14:paraId="33F52D03" w14:textId="77777777" w:rsidR="009E246E" w:rsidRPr="003E5D11" w:rsidRDefault="009E246E" w:rsidP="009657C6">
            <w:pPr>
              <w:spacing w:before="60" w:after="60"/>
              <w:jc w:val="center"/>
              <w:rPr>
                <w:sz w:val="16"/>
                <w:szCs w:val="16"/>
              </w:rPr>
            </w:pPr>
            <w:r w:rsidRPr="003E5D11">
              <w:rPr>
                <w:sz w:val="16"/>
                <w:szCs w:val="16"/>
              </w:rPr>
              <w:t>X</w:t>
            </w:r>
          </w:p>
        </w:tc>
        <w:tc>
          <w:tcPr>
            <w:tcW w:w="7863" w:type="dxa"/>
            <w:gridSpan w:val="12"/>
            <w:vAlign w:val="center"/>
          </w:tcPr>
          <w:p w14:paraId="5FCC8D93" w14:textId="399FA79D" w:rsidR="009E246E" w:rsidRPr="003E5D11" w:rsidRDefault="009E246E" w:rsidP="009657C6">
            <w:pPr>
              <w:spacing w:before="60" w:after="60"/>
              <w:rPr>
                <w:sz w:val="16"/>
                <w:szCs w:val="16"/>
              </w:rPr>
            </w:pPr>
            <w:r w:rsidRPr="003E5D11">
              <w:rPr>
                <w:sz w:val="16"/>
                <w:szCs w:val="16"/>
              </w:rPr>
              <w:t xml:space="preserve">Radiologic measurements should be performed </w:t>
            </w:r>
            <w:r w:rsidR="00A46AE0">
              <w:rPr>
                <w:sz w:val="16"/>
                <w:szCs w:val="16"/>
              </w:rPr>
              <w:t xml:space="preserve">at week 4 and </w:t>
            </w:r>
            <w:r w:rsidRPr="003E5D11">
              <w:rPr>
                <w:sz w:val="16"/>
                <w:szCs w:val="16"/>
              </w:rPr>
              <w:t>every</w:t>
            </w:r>
            <w:r w:rsidR="00EC6DA1">
              <w:rPr>
                <w:sz w:val="16"/>
                <w:szCs w:val="16"/>
              </w:rPr>
              <w:t xml:space="preserve"> 12</w:t>
            </w:r>
            <w:r w:rsidRPr="003E5D11">
              <w:rPr>
                <w:sz w:val="16"/>
                <w:szCs w:val="16"/>
              </w:rPr>
              <w:t xml:space="preserve"> weeks</w:t>
            </w:r>
            <w:r w:rsidR="00EC6DA1">
              <w:rPr>
                <w:sz w:val="16"/>
                <w:szCs w:val="16"/>
              </w:rPr>
              <w:t xml:space="preserve"> thereafter</w:t>
            </w:r>
            <w:r w:rsidR="00E20AC7">
              <w:rPr>
                <w:sz w:val="16"/>
                <w:szCs w:val="16"/>
              </w:rPr>
              <w:t xml:space="preserve"> for up to 2 years</w:t>
            </w:r>
            <w:r w:rsidRPr="003E5D11">
              <w:rPr>
                <w:sz w:val="16"/>
                <w:szCs w:val="16"/>
              </w:rPr>
              <w:t>.</w:t>
            </w:r>
          </w:p>
        </w:tc>
        <w:tc>
          <w:tcPr>
            <w:tcW w:w="1353" w:type="dxa"/>
            <w:gridSpan w:val="2"/>
            <w:vAlign w:val="center"/>
          </w:tcPr>
          <w:p w14:paraId="4560372A" w14:textId="77777777" w:rsidR="009E246E" w:rsidRPr="003E5D11" w:rsidRDefault="009E246E" w:rsidP="009657C6">
            <w:pPr>
              <w:spacing w:before="60" w:after="60"/>
              <w:jc w:val="center"/>
              <w:rPr>
                <w:sz w:val="16"/>
                <w:szCs w:val="16"/>
              </w:rPr>
            </w:pPr>
            <w:r w:rsidRPr="003E5D11">
              <w:rPr>
                <w:sz w:val="16"/>
                <w:szCs w:val="16"/>
              </w:rPr>
              <w:t>X</w:t>
            </w:r>
          </w:p>
        </w:tc>
      </w:tr>
      <w:tr w:rsidR="009E246E" w:rsidRPr="00C023DD" w14:paraId="356A3D62" w14:textId="77777777" w:rsidTr="0011325C">
        <w:trPr>
          <w:gridAfter w:val="1"/>
          <w:wAfter w:w="6" w:type="dxa"/>
          <w:trHeight w:val="299"/>
        </w:trPr>
        <w:tc>
          <w:tcPr>
            <w:tcW w:w="2840" w:type="dxa"/>
          </w:tcPr>
          <w:p w14:paraId="52169759" w14:textId="77777777" w:rsidR="009E246E" w:rsidRPr="00EC147A" w:rsidRDefault="00E21EE9" w:rsidP="009657C6">
            <w:pPr>
              <w:spacing w:before="60" w:after="60"/>
              <w:rPr>
                <w:color w:val="auto"/>
                <w:spacing w:val="-2"/>
                <w:sz w:val="16"/>
                <w:szCs w:val="16"/>
                <w:vertAlign w:val="superscript"/>
              </w:rPr>
            </w:pPr>
            <w:r w:rsidRPr="00EC147A">
              <w:rPr>
                <w:color w:val="auto"/>
                <w:spacing w:val="-2"/>
                <w:sz w:val="16"/>
                <w:szCs w:val="16"/>
              </w:rPr>
              <w:t xml:space="preserve">Pregnancy </w:t>
            </w:r>
            <w:proofErr w:type="spellStart"/>
            <w:r w:rsidRPr="00EC147A">
              <w:rPr>
                <w:color w:val="auto"/>
                <w:spacing w:val="-2"/>
                <w:sz w:val="16"/>
                <w:szCs w:val="16"/>
              </w:rPr>
              <w:t>test</w:t>
            </w:r>
            <w:r w:rsidRPr="00EC147A">
              <w:rPr>
                <w:color w:val="auto"/>
                <w:spacing w:val="-2"/>
                <w:sz w:val="16"/>
                <w:szCs w:val="16"/>
                <w:vertAlign w:val="superscript"/>
              </w:rPr>
              <w:t>d</w:t>
            </w:r>
            <w:proofErr w:type="spellEnd"/>
          </w:p>
        </w:tc>
        <w:tc>
          <w:tcPr>
            <w:tcW w:w="873" w:type="dxa"/>
            <w:vAlign w:val="center"/>
          </w:tcPr>
          <w:p w14:paraId="47B91D14" w14:textId="77777777" w:rsidR="009E246E" w:rsidRPr="003E5D11" w:rsidRDefault="00BE6AF1" w:rsidP="009657C6">
            <w:pPr>
              <w:spacing w:before="60" w:after="60"/>
              <w:jc w:val="center"/>
              <w:rPr>
                <w:sz w:val="16"/>
                <w:szCs w:val="16"/>
              </w:rPr>
            </w:pPr>
            <w:r>
              <w:rPr>
                <w:sz w:val="16"/>
                <w:szCs w:val="16"/>
              </w:rPr>
              <w:t>X</w:t>
            </w:r>
          </w:p>
        </w:tc>
        <w:tc>
          <w:tcPr>
            <w:tcW w:w="634" w:type="dxa"/>
            <w:vAlign w:val="center"/>
          </w:tcPr>
          <w:p w14:paraId="239D69C0" w14:textId="77777777" w:rsidR="009E246E" w:rsidRPr="003E5D11" w:rsidRDefault="009E246E" w:rsidP="009657C6">
            <w:pPr>
              <w:spacing w:before="60" w:after="60"/>
              <w:jc w:val="center"/>
              <w:rPr>
                <w:sz w:val="16"/>
                <w:szCs w:val="16"/>
              </w:rPr>
            </w:pPr>
          </w:p>
        </w:tc>
        <w:tc>
          <w:tcPr>
            <w:tcW w:w="600" w:type="dxa"/>
            <w:vAlign w:val="center"/>
          </w:tcPr>
          <w:p w14:paraId="68EEAA49" w14:textId="77777777" w:rsidR="009E246E" w:rsidRPr="003E5D11" w:rsidRDefault="009E246E" w:rsidP="009657C6">
            <w:pPr>
              <w:spacing w:before="60" w:after="60"/>
              <w:jc w:val="center"/>
              <w:rPr>
                <w:sz w:val="16"/>
                <w:szCs w:val="16"/>
              </w:rPr>
            </w:pPr>
          </w:p>
        </w:tc>
        <w:tc>
          <w:tcPr>
            <w:tcW w:w="617" w:type="dxa"/>
            <w:vAlign w:val="center"/>
          </w:tcPr>
          <w:p w14:paraId="2707B3EC" w14:textId="77777777" w:rsidR="009E246E" w:rsidRPr="003E5D11" w:rsidRDefault="009E246E" w:rsidP="009657C6">
            <w:pPr>
              <w:spacing w:before="60" w:after="60"/>
              <w:jc w:val="center"/>
              <w:rPr>
                <w:sz w:val="16"/>
                <w:szCs w:val="16"/>
              </w:rPr>
            </w:pPr>
          </w:p>
        </w:tc>
        <w:tc>
          <w:tcPr>
            <w:tcW w:w="704" w:type="dxa"/>
            <w:vAlign w:val="center"/>
          </w:tcPr>
          <w:p w14:paraId="6D8E32CF" w14:textId="77777777" w:rsidR="009E246E" w:rsidRPr="003E5D11" w:rsidRDefault="009E246E" w:rsidP="009657C6">
            <w:pPr>
              <w:spacing w:before="60" w:after="60"/>
              <w:jc w:val="center"/>
              <w:rPr>
                <w:sz w:val="16"/>
                <w:szCs w:val="16"/>
              </w:rPr>
            </w:pPr>
          </w:p>
        </w:tc>
        <w:tc>
          <w:tcPr>
            <w:tcW w:w="635" w:type="dxa"/>
            <w:vAlign w:val="center"/>
          </w:tcPr>
          <w:p w14:paraId="03401362" w14:textId="77777777" w:rsidR="009E246E" w:rsidRPr="003E5D11" w:rsidRDefault="009E246E" w:rsidP="009657C6">
            <w:pPr>
              <w:spacing w:before="60" w:after="60"/>
              <w:jc w:val="center"/>
              <w:rPr>
                <w:sz w:val="16"/>
                <w:szCs w:val="16"/>
              </w:rPr>
            </w:pPr>
          </w:p>
        </w:tc>
        <w:tc>
          <w:tcPr>
            <w:tcW w:w="635" w:type="dxa"/>
            <w:vAlign w:val="center"/>
          </w:tcPr>
          <w:p w14:paraId="4C344488" w14:textId="77777777" w:rsidR="009E246E" w:rsidRPr="003E5D11" w:rsidRDefault="009E246E" w:rsidP="009657C6">
            <w:pPr>
              <w:spacing w:before="60" w:after="60"/>
              <w:jc w:val="center"/>
              <w:rPr>
                <w:sz w:val="16"/>
                <w:szCs w:val="16"/>
              </w:rPr>
            </w:pPr>
          </w:p>
        </w:tc>
        <w:tc>
          <w:tcPr>
            <w:tcW w:w="635" w:type="dxa"/>
            <w:vAlign w:val="center"/>
          </w:tcPr>
          <w:p w14:paraId="0C35FC83" w14:textId="77777777" w:rsidR="009E246E" w:rsidRPr="003E5D11" w:rsidRDefault="009E246E" w:rsidP="009657C6">
            <w:pPr>
              <w:spacing w:before="60" w:after="60"/>
              <w:jc w:val="center"/>
              <w:rPr>
                <w:sz w:val="16"/>
                <w:szCs w:val="16"/>
              </w:rPr>
            </w:pPr>
          </w:p>
        </w:tc>
        <w:tc>
          <w:tcPr>
            <w:tcW w:w="652" w:type="dxa"/>
            <w:vAlign w:val="center"/>
          </w:tcPr>
          <w:p w14:paraId="0E24F5AD" w14:textId="77777777" w:rsidR="009E246E" w:rsidRPr="003E5D11" w:rsidRDefault="009E246E" w:rsidP="009657C6">
            <w:pPr>
              <w:spacing w:before="60" w:after="60"/>
              <w:jc w:val="center"/>
              <w:rPr>
                <w:sz w:val="16"/>
                <w:szCs w:val="16"/>
              </w:rPr>
            </w:pPr>
          </w:p>
        </w:tc>
        <w:tc>
          <w:tcPr>
            <w:tcW w:w="635" w:type="dxa"/>
            <w:vAlign w:val="center"/>
          </w:tcPr>
          <w:p w14:paraId="3AF19749" w14:textId="77777777" w:rsidR="009E246E" w:rsidRPr="003E5D11" w:rsidRDefault="009E246E" w:rsidP="009657C6">
            <w:pPr>
              <w:spacing w:before="60" w:after="60"/>
              <w:jc w:val="center"/>
              <w:rPr>
                <w:sz w:val="16"/>
                <w:szCs w:val="16"/>
              </w:rPr>
            </w:pPr>
          </w:p>
        </w:tc>
        <w:tc>
          <w:tcPr>
            <w:tcW w:w="686" w:type="dxa"/>
            <w:vAlign w:val="center"/>
          </w:tcPr>
          <w:p w14:paraId="61459027" w14:textId="77777777" w:rsidR="009E246E" w:rsidRPr="003E5D11" w:rsidRDefault="009E246E" w:rsidP="009657C6">
            <w:pPr>
              <w:spacing w:before="60" w:after="60"/>
              <w:jc w:val="center"/>
              <w:rPr>
                <w:sz w:val="16"/>
                <w:szCs w:val="16"/>
              </w:rPr>
            </w:pPr>
          </w:p>
        </w:tc>
        <w:tc>
          <w:tcPr>
            <w:tcW w:w="721" w:type="dxa"/>
            <w:vAlign w:val="center"/>
          </w:tcPr>
          <w:p w14:paraId="44B810B1" w14:textId="77777777" w:rsidR="009E246E" w:rsidRPr="003E5D11" w:rsidRDefault="009E246E" w:rsidP="009657C6">
            <w:pPr>
              <w:spacing w:before="60" w:after="60"/>
              <w:jc w:val="center"/>
              <w:rPr>
                <w:sz w:val="16"/>
                <w:szCs w:val="16"/>
              </w:rPr>
            </w:pPr>
          </w:p>
        </w:tc>
        <w:tc>
          <w:tcPr>
            <w:tcW w:w="709" w:type="dxa"/>
            <w:vAlign w:val="center"/>
          </w:tcPr>
          <w:p w14:paraId="64653F0C" w14:textId="77777777" w:rsidR="009E246E" w:rsidRPr="003E5D11" w:rsidRDefault="009E246E" w:rsidP="009657C6">
            <w:pPr>
              <w:spacing w:before="60" w:after="60"/>
              <w:jc w:val="center"/>
              <w:rPr>
                <w:sz w:val="16"/>
                <w:szCs w:val="16"/>
              </w:rPr>
            </w:pPr>
          </w:p>
        </w:tc>
        <w:tc>
          <w:tcPr>
            <w:tcW w:w="1347" w:type="dxa"/>
            <w:vAlign w:val="center"/>
          </w:tcPr>
          <w:p w14:paraId="1B30AD04" w14:textId="77777777" w:rsidR="009E246E" w:rsidRPr="003E5D11" w:rsidRDefault="009E246E" w:rsidP="009657C6">
            <w:pPr>
              <w:spacing w:before="60" w:after="60"/>
              <w:jc w:val="center"/>
              <w:rPr>
                <w:sz w:val="16"/>
                <w:szCs w:val="16"/>
              </w:rPr>
            </w:pPr>
          </w:p>
        </w:tc>
      </w:tr>
      <w:tr w:rsidR="009E246E" w:rsidRPr="00C023DD" w14:paraId="3742EAE1" w14:textId="77777777" w:rsidTr="0011325C">
        <w:trPr>
          <w:gridAfter w:val="1"/>
          <w:wAfter w:w="6" w:type="dxa"/>
          <w:trHeight w:val="299"/>
        </w:trPr>
        <w:tc>
          <w:tcPr>
            <w:tcW w:w="2840" w:type="dxa"/>
          </w:tcPr>
          <w:p w14:paraId="47C1A4A7" w14:textId="4F459F93" w:rsidR="009B0D15" w:rsidRPr="00EC147A" w:rsidRDefault="00DE0E14" w:rsidP="009657C6">
            <w:pPr>
              <w:spacing w:before="60" w:after="60"/>
              <w:rPr>
                <w:iCs/>
                <w:color w:val="auto"/>
                <w:spacing w:val="-2"/>
                <w:sz w:val="16"/>
                <w:szCs w:val="16"/>
                <w:vertAlign w:val="superscript"/>
              </w:rPr>
            </w:pPr>
            <w:r w:rsidRPr="00EC147A">
              <w:rPr>
                <w:iCs/>
                <w:color w:val="auto"/>
                <w:spacing w:val="-2"/>
                <w:sz w:val="16"/>
                <w:szCs w:val="16"/>
              </w:rPr>
              <w:t xml:space="preserve">Archival </w:t>
            </w:r>
            <w:proofErr w:type="spellStart"/>
            <w:r w:rsidRPr="00EC147A">
              <w:rPr>
                <w:iCs/>
                <w:color w:val="auto"/>
                <w:spacing w:val="-2"/>
                <w:sz w:val="16"/>
                <w:szCs w:val="16"/>
              </w:rPr>
              <w:t>Tissue</w:t>
            </w:r>
            <w:r w:rsidR="00530170" w:rsidRPr="00EC147A">
              <w:rPr>
                <w:iCs/>
                <w:color w:val="auto"/>
                <w:spacing w:val="-2"/>
                <w:sz w:val="16"/>
                <w:szCs w:val="16"/>
                <w:vertAlign w:val="superscript"/>
              </w:rPr>
              <w:t>e</w:t>
            </w:r>
            <w:proofErr w:type="spellEnd"/>
          </w:p>
        </w:tc>
        <w:tc>
          <w:tcPr>
            <w:tcW w:w="873" w:type="dxa"/>
            <w:vAlign w:val="center"/>
          </w:tcPr>
          <w:p w14:paraId="6AD68284" w14:textId="54522254" w:rsidR="009E246E" w:rsidRPr="00EC147A" w:rsidRDefault="009477C3" w:rsidP="009657C6">
            <w:pPr>
              <w:spacing w:before="60" w:after="60"/>
              <w:jc w:val="center"/>
              <w:rPr>
                <w:color w:val="auto"/>
                <w:sz w:val="16"/>
                <w:szCs w:val="16"/>
              </w:rPr>
            </w:pPr>
            <w:r w:rsidRPr="00EC147A">
              <w:rPr>
                <w:color w:val="auto"/>
                <w:sz w:val="16"/>
                <w:szCs w:val="16"/>
              </w:rPr>
              <w:t>X</w:t>
            </w:r>
          </w:p>
        </w:tc>
        <w:tc>
          <w:tcPr>
            <w:tcW w:w="634" w:type="dxa"/>
            <w:vAlign w:val="center"/>
          </w:tcPr>
          <w:p w14:paraId="4259F8B7" w14:textId="77777777" w:rsidR="009E246E" w:rsidRPr="00EC147A" w:rsidRDefault="009E246E" w:rsidP="009657C6">
            <w:pPr>
              <w:spacing w:before="60" w:after="60"/>
              <w:jc w:val="center"/>
              <w:rPr>
                <w:color w:val="auto"/>
                <w:sz w:val="16"/>
                <w:szCs w:val="16"/>
              </w:rPr>
            </w:pPr>
          </w:p>
        </w:tc>
        <w:tc>
          <w:tcPr>
            <w:tcW w:w="600" w:type="dxa"/>
            <w:vAlign w:val="center"/>
          </w:tcPr>
          <w:p w14:paraId="10A75A94" w14:textId="77777777" w:rsidR="009E246E" w:rsidRPr="00EC147A" w:rsidRDefault="009E246E" w:rsidP="009657C6">
            <w:pPr>
              <w:spacing w:before="60" w:after="60"/>
              <w:jc w:val="center"/>
              <w:rPr>
                <w:color w:val="auto"/>
                <w:sz w:val="16"/>
                <w:szCs w:val="16"/>
              </w:rPr>
            </w:pPr>
          </w:p>
        </w:tc>
        <w:tc>
          <w:tcPr>
            <w:tcW w:w="617" w:type="dxa"/>
            <w:vAlign w:val="center"/>
          </w:tcPr>
          <w:p w14:paraId="7F4A87EC" w14:textId="77777777" w:rsidR="009E246E" w:rsidRPr="00EC147A" w:rsidRDefault="009E246E" w:rsidP="009657C6">
            <w:pPr>
              <w:spacing w:before="60" w:after="60"/>
              <w:jc w:val="center"/>
              <w:rPr>
                <w:color w:val="auto"/>
                <w:sz w:val="16"/>
                <w:szCs w:val="16"/>
              </w:rPr>
            </w:pPr>
          </w:p>
        </w:tc>
        <w:tc>
          <w:tcPr>
            <w:tcW w:w="704" w:type="dxa"/>
            <w:vAlign w:val="center"/>
          </w:tcPr>
          <w:p w14:paraId="694D76B9" w14:textId="77777777" w:rsidR="009E246E" w:rsidRPr="003E5D11" w:rsidRDefault="009E246E" w:rsidP="009657C6">
            <w:pPr>
              <w:spacing w:before="60" w:after="60"/>
              <w:jc w:val="center"/>
              <w:rPr>
                <w:sz w:val="16"/>
                <w:szCs w:val="16"/>
              </w:rPr>
            </w:pPr>
          </w:p>
        </w:tc>
        <w:tc>
          <w:tcPr>
            <w:tcW w:w="635" w:type="dxa"/>
            <w:vAlign w:val="center"/>
          </w:tcPr>
          <w:p w14:paraId="5BD07923" w14:textId="77777777" w:rsidR="009E246E" w:rsidRPr="003E5D11" w:rsidRDefault="009E246E" w:rsidP="009657C6">
            <w:pPr>
              <w:spacing w:before="60" w:after="60"/>
              <w:jc w:val="center"/>
              <w:rPr>
                <w:sz w:val="16"/>
                <w:szCs w:val="16"/>
              </w:rPr>
            </w:pPr>
          </w:p>
        </w:tc>
        <w:tc>
          <w:tcPr>
            <w:tcW w:w="635" w:type="dxa"/>
            <w:vAlign w:val="center"/>
          </w:tcPr>
          <w:p w14:paraId="67C41D10" w14:textId="77777777" w:rsidR="009E246E" w:rsidRPr="003E5D11" w:rsidRDefault="009E246E" w:rsidP="009657C6">
            <w:pPr>
              <w:spacing w:before="60" w:after="60"/>
              <w:jc w:val="center"/>
              <w:rPr>
                <w:sz w:val="16"/>
                <w:szCs w:val="16"/>
              </w:rPr>
            </w:pPr>
          </w:p>
        </w:tc>
        <w:tc>
          <w:tcPr>
            <w:tcW w:w="635" w:type="dxa"/>
            <w:vAlign w:val="center"/>
          </w:tcPr>
          <w:p w14:paraId="699BD77C" w14:textId="77777777" w:rsidR="009E246E" w:rsidRPr="003E5D11" w:rsidRDefault="009E246E" w:rsidP="009657C6">
            <w:pPr>
              <w:spacing w:before="60" w:after="60"/>
              <w:jc w:val="center"/>
              <w:rPr>
                <w:sz w:val="16"/>
                <w:szCs w:val="16"/>
              </w:rPr>
            </w:pPr>
          </w:p>
        </w:tc>
        <w:tc>
          <w:tcPr>
            <w:tcW w:w="652" w:type="dxa"/>
            <w:vAlign w:val="center"/>
          </w:tcPr>
          <w:p w14:paraId="1AA6A6BC" w14:textId="77777777" w:rsidR="009E246E" w:rsidRPr="003E5D11" w:rsidRDefault="009E246E" w:rsidP="009657C6">
            <w:pPr>
              <w:spacing w:before="60" w:after="60"/>
              <w:jc w:val="center"/>
              <w:rPr>
                <w:sz w:val="16"/>
                <w:szCs w:val="16"/>
              </w:rPr>
            </w:pPr>
          </w:p>
        </w:tc>
        <w:tc>
          <w:tcPr>
            <w:tcW w:w="635" w:type="dxa"/>
            <w:vAlign w:val="center"/>
          </w:tcPr>
          <w:p w14:paraId="0657495A" w14:textId="77777777" w:rsidR="009E246E" w:rsidRPr="003E5D11" w:rsidRDefault="009E246E" w:rsidP="009657C6">
            <w:pPr>
              <w:spacing w:before="60" w:after="60"/>
              <w:jc w:val="center"/>
              <w:rPr>
                <w:sz w:val="16"/>
                <w:szCs w:val="16"/>
              </w:rPr>
            </w:pPr>
          </w:p>
        </w:tc>
        <w:tc>
          <w:tcPr>
            <w:tcW w:w="686" w:type="dxa"/>
            <w:vAlign w:val="center"/>
          </w:tcPr>
          <w:p w14:paraId="5DA5A702" w14:textId="77777777" w:rsidR="009E246E" w:rsidRPr="003E5D11" w:rsidRDefault="009E246E" w:rsidP="009657C6">
            <w:pPr>
              <w:spacing w:before="60" w:after="60"/>
              <w:jc w:val="center"/>
              <w:rPr>
                <w:sz w:val="16"/>
                <w:szCs w:val="16"/>
              </w:rPr>
            </w:pPr>
          </w:p>
        </w:tc>
        <w:tc>
          <w:tcPr>
            <w:tcW w:w="721" w:type="dxa"/>
            <w:vAlign w:val="center"/>
          </w:tcPr>
          <w:p w14:paraId="3704E31A" w14:textId="77777777" w:rsidR="009E246E" w:rsidRPr="003E5D11" w:rsidRDefault="009E246E" w:rsidP="009657C6">
            <w:pPr>
              <w:spacing w:before="60" w:after="60"/>
              <w:jc w:val="center"/>
              <w:rPr>
                <w:sz w:val="16"/>
                <w:szCs w:val="16"/>
              </w:rPr>
            </w:pPr>
          </w:p>
        </w:tc>
        <w:tc>
          <w:tcPr>
            <w:tcW w:w="709" w:type="dxa"/>
            <w:vAlign w:val="center"/>
          </w:tcPr>
          <w:p w14:paraId="51891B16" w14:textId="77777777" w:rsidR="009E246E" w:rsidRPr="003E5D11" w:rsidRDefault="009E246E" w:rsidP="009657C6">
            <w:pPr>
              <w:spacing w:before="60" w:after="60"/>
              <w:jc w:val="center"/>
              <w:rPr>
                <w:sz w:val="16"/>
                <w:szCs w:val="16"/>
              </w:rPr>
            </w:pPr>
          </w:p>
        </w:tc>
        <w:tc>
          <w:tcPr>
            <w:tcW w:w="1347" w:type="dxa"/>
            <w:vAlign w:val="center"/>
          </w:tcPr>
          <w:p w14:paraId="13E0EF24" w14:textId="77777777" w:rsidR="009E246E" w:rsidRPr="003E5D11" w:rsidRDefault="009E246E" w:rsidP="009657C6">
            <w:pPr>
              <w:spacing w:before="60" w:after="60"/>
              <w:jc w:val="center"/>
              <w:rPr>
                <w:sz w:val="16"/>
                <w:szCs w:val="16"/>
              </w:rPr>
            </w:pPr>
          </w:p>
        </w:tc>
      </w:tr>
      <w:tr w:rsidR="0011325C" w:rsidRPr="00C023DD" w14:paraId="14EA83B1" w14:textId="77777777" w:rsidTr="0011325C">
        <w:trPr>
          <w:gridAfter w:val="1"/>
          <w:wAfter w:w="6" w:type="dxa"/>
          <w:trHeight w:val="299"/>
        </w:trPr>
        <w:tc>
          <w:tcPr>
            <w:tcW w:w="2840" w:type="dxa"/>
          </w:tcPr>
          <w:p w14:paraId="078ED7E5" w14:textId="5205DB72" w:rsidR="0011325C" w:rsidRPr="00EC147A" w:rsidRDefault="0011325C" w:rsidP="0011325C">
            <w:pPr>
              <w:spacing w:before="60" w:after="60"/>
              <w:rPr>
                <w:iCs/>
                <w:color w:val="auto"/>
                <w:spacing w:val="-2"/>
                <w:sz w:val="16"/>
                <w:szCs w:val="16"/>
              </w:rPr>
            </w:pPr>
            <w:r w:rsidRPr="00EC147A">
              <w:rPr>
                <w:iCs/>
                <w:color w:val="auto"/>
                <w:spacing w:val="-2"/>
                <w:sz w:val="16"/>
                <w:szCs w:val="16"/>
              </w:rPr>
              <w:t xml:space="preserve">CSF in </w:t>
            </w:r>
            <w:proofErr w:type="spellStart"/>
            <w:r w:rsidRPr="00EC147A">
              <w:rPr>
                <w:iCs/>
                <w:color w:val="auto"/>
                <w:spacing w:val="-2"/>
                <w:sz w:val="16"/>
                <w:szCs w:val="16"/>
              </w:rPr>
              <w:t>microvial</w:t>
            </w:r>
            <w:r w:rsidRPr="00EC147A">
              <w:rPr>
                <w:iCs/>
                <w:color w:val="auto"/>
                <w:spacing w:val="-2"/>
                <w:sz w:val="16"/>
                <w:szCs w:val="16"/>
                <w:vertAlign w:val="superscript"/>
              </w:rPr>
              <w:t>f</w:t>
            </w:r>
            <w:proofErr w:type="spellEnd"/>
          </w:p>
        </w:tc>
        <w:tc>
          <w:tcPr>
            <w:tcW w:w="873" w:type="dxa"/>
            <w:vAlign w:val="center"/>
          </w:tcPr>
          <w:p w14:paraId="0DFD21EB" w14:textId="085E8B42" w:rsidR="0011325C" w:rsidRPr="00EC147A" w:rsidRDefault="0011325C" w:rsidP="0011325C">
            <w:pPr>
              <w:spacing w:before="60" w:after="60"/>
              <w:jc w:val="center"/>
              <w:rPr>
                <w:color w:val="auto"/>
                <w:sz w:val="16"/>
                <w:szCs w:val="16"/>
              </w:rPr>
            </w:pPr>
            <w:r w:rsidRPr="00EC147A">
              <w:rPr>
                <w:color w:val="auto"/>
                <w:sz w:val="16"/>
                <w:szCs w:val="16"/>
              </w:rPr>
              <w:t>X</w:t>
            </w:r>
          </w:p>
        </w:tc>
        <w:tc>
          <w:tcPr>
            <w:tcW w:w="634" w:type="dxa"/>
            <w:vAlign w:val="center"/>
          </w:tcPr>
          <w:p w14:paraId="430AF0EA" w14:textId="77777777" w:rsidR="0011325C" w:rsidRPr="00EC147A" w:rsidRDefault="0011325C" w:rsidP="0011325C">
            <w:pPr>
              <w:spacing w:before="60" w:after="60"/>
              <w:jc w:val="center"/>
              <w:rPr>
                <w:color w:val="auto"/>
                <w:sz w:val="16"/>
                <w:szCs w:val="16"/>
              </w:rPr>
            </w:pPr>
          </w:p>
        </w:tc>
        <w:tc>
          <w:tcPr>
            <w:tcW w:w="600" w:type="dxa"/>
            <w:vAlign w:val="center"/>
          </w:tcPr>
          <w:p w14:paraId="15C911DC" w14:textId="77777777" w:rsidR="0011325C" w:rsidRPr="00EC147A" w:rsidRDefault="0011325C" w:rsidP="0011325C">
            <w:pPr>
              <w:spacing w:before="60" w:after="60"/>
              <w:jc w:val="center"/>
              <w:rPr>
                <w:color w:val="auto"/>
                <w:sz w:val="16"/>
                <w:szCs w:val="16"/>
              </w:rPr>
            </w:pPr>
          </w:p>
        </w:tc>
        <w:tc>
          <w:tcPr>
            <w:tcW w:w="617" w:type="dxa"/>
            <w:vAlign w:val="center"/>
          </w:tcPr>
          <w:p w14:paraId="5DBED806" w14:textId="77777777" w:rsidR="0011325C" w:rsidRPr="00EC147A" w:rsidRDefault="0011325C" w:rsidP="0011325C">
            <w:pPr>
              <w:spacing w:before="60" w:after="60"/>
              <w:jc w:val="center"/>
              <w:rPr>
                <w:color w:val="auto"/>
                <w:sz w:val="16"/>
                <w:szCs w:val="16"/>
              </w:rPr>
            </w:pPr>
          </w:p>
        </w:tc>
        <w:tc>
          <w:tcPr>
            <w:tcW w:w="704" w:type="dxa"/>
            <w:vAlign w:val="center"/>
          </w:tcPr>
          <w:p w14:paraId="7D72335F" w14:textId="77777777" w:rsidR="0011325C" w:rsidRPr="003E5D11" w:rsidRDefault="0011325C" w:rsidP="0011325C">
            <w:pPr>
              <w:spacing w:before="60" w:after="60"/>
              <w:jc w:val="center"/>
              <w:rPr>
                <w:sz w:val="16"/>
                <w:szCs w:val="16"/>
              </w:rPr>
            </w:pPr>
          </w:p>
        </w:tc>
        <w:tc>
          <w:tcPr>
            <w:tcW w:w="635" w:type="dxa"/>
            <w:vAlign w:val="center"/>
          </w:tcPr>
          <w:p w14:paraId="2129B182" w14:textId="77777777" w:rsidR="0011325C" w:rsidRPr="003E5D11" w:rsidRDefault="0011325C" w:rsidP="0011325C">
            <w:pPr>
              <w:spacing w:before="60" w:after="60"/>
              <w:jc w:val="center"/>
              <w:rPr>
                <w:sz w:val="16"/>
                <w:szCs w:val="16"/>
              </w:rPr>
            </w:pPr>
          </w:p>
        </w:tc>
        <w:tc>
          <w:tcPr>
            <w:tcW w:w="635" w:type="dxa"/>
            <w:vAlign w:val="center"/>
          </w:tcPr>
          <w:p w14:paraId="578B9494" w14:textId="77777777" w:rsidR="0011325C" w:rsidRPr="003E5D11" w:rsidRDefault="0011325C" w:rsidP="0011325C">
            <w:pPr>
              <w:spacing w:before="60" w:after="60"/>
              <w:jc w:val="center"/>
              <w:rPr>
                <w:sz w:val="16"/>
                <w:szCs w:val="16"/>
              </w:rPr>
            </w:pPr>
          </w:p>
        </w:tc>
        <w:tc>
          <w:tcPr>
            <w:tcW w:w="635" w:type="dxa"/>
            <w:vAlign w:val="center"/>
          </w:tcPr>
          <w:p w14:paraId="20CFCF21" w14:textId="77777777" w:rsidR="0011325C" w:rsidRPr="003E5D11" w:rsidRDefault="0011325C" w:rsidP="0011325C">
            <w:pPr>
              <w:spacing w:before="60" w:after="60"/>
              <w:jc w:val="center"/>
              <w:rPr>
                <w:sz w:val="16"/>
                <w:szCs w:val="16"/>
              </w:rPr>
            </w:pPr>
          </w:p>
        </w:tc>
        <w:tc>
          <w:tcPr>
            <w:tcW w:w="652" w:type="dxa"/>
            <w:vAlign w:val="center"/>
          </w:tcPr>
          <w:p w14:paraId="5F49E4E7" w14:textId="77777777" w:rsidR="0011325C" w:rsidRPr="003E5D11" w:rsidRDefault="0011325C" w:rsidP="0011325C">
            <w:pPr>
              <w:spacing w:before="60" w:after="60"/>
              <w:jc w:val="center"/>
              <w:rPr>
                <w:sz w:val="16"/>
                <w:szCs w:val="16"/>
              </w:rPr>
            </w:pPr>
          </w:p>
        </w:tc>
        <w:tc>
          <w:tcPr>
            <w:tcW w:w="635" w:type="dxa"/>
            <w:vAlign w:val="center"/>
          </w:tcPr>
          <w:p w14:paraId="30DF496F" w14:textId="77777777" w:rsidR="0011325C" w:rsidRPr="003E5D11" w:rsidRDefault="0011325C" w:rsidP="0011325C">
            <w:pPr>
              <w:spacing w:before="60" w:after="60"/>
              <w:jc w:val="center"/>
              <w:rPr>
                <w:sz w:val="16"/>
                <w:szCs w:val="16"/>
              </w:rPr>
            </w:pPr>
          </w:p>
        </w:tc>
        <w:tc>
          <w:tcPr>
            <w:tcW w:w="686" w:type="dxa"/>
            <w:vAlign w:val="center"/>
          </w:tcPr>
          <w:p w14:paraId="01110729" w14:textId="77777777" w:rsidR="0011325C" w:rsidRPr="003E5D11" w:rsidRDefault="0011325C" w:rsidP="0011325C">
            <w:pPr>
              <w:spacing w:before="60" w:after="60"/>
              <w:jc w:val="center"/>
              <w:rPr>
                <w:sz w:val="16"/>
                <w:szCs w:val="16"/>
              </w:rPr>
            </w:pPr>
          </w:p>
        </w:tc>
        <w:tc>
          <w:tcPr>
            <w:tcW w:w="721" w:type="dxa"/>
            <w:vAlign w:val="center"/>
          </w:tcPr>
          <w:p w14:paraId="054C6F96" w14:textId="77777777" w:rsidR="0011325C" w:rsidRPr="003E5D11" w:rsidRDefault="0011325C" w:rsidP="0011325C">
            <w:pPr>
              <w:spacing w:before="60" w:after="60"/>
              <w:jc w:val="center"/>
              <w:rPr>
                <w:sz w:val="16"/>
                <w:szCs w:val="16"/>
              </w:rPr>
            </w:pPr>
          </w:p>
        </w:tc>
        <w:tc>
          <w:tcPr>
            <w:tcW w:w="709" w:type="dxa"/>
            <w:vAlign w:val="center"/>
          </w:tcPr>
          <w:p w14:paraId="6061901A" w14:textId="77777777" w:rsidR="0011325C" w:rsidRPr="003E5D11" w:rsidRDefault="0011325C" w:rsidP="0011325C">
            <w:pPr>
              <w:spacing w:before="60" w:after="60"/>
              <w:jc w:val="center"/>
              <w:rPr>
                <w:sz w:val="16"/>
                <w:szCs w:val="16"/>
              </w:rPr>
            </w:pPr>
          </w:p>
        </w:tc>
        <w:tc>
          <w:tcPr>
            <w:tcW w:w="1347" w:type="dxa"/>
            <w:vAlign w:val="center"/>
          </w:tcPr>
          <w:p w14:paraId="19E22D24" w14:textId="77777777" w:rsidR="0011325C" w:rsidRPr="003E5D11" w:rsidRDefault="0011325C" w:rsidP="0011325C">
            <w:pPr>
              <w:spacing w:before="60" w:after="60"/>
              <w:jc w:val="center"/>
              <w:rPr>
                <w:sz w:val="16"/>
                <w:szCs w:val="16"/>
              </w:rPr>
            </w:pPr>
          </w:p>
        </w:tc>
      </w:tr>
      <w:tr w:rsidR="009E246E" w:rsidRPr="00C023DD" w14:paraId="6B28E7A3" w14:textId="77777777" w:rsidTr="0011325C">
        <w:trPr>
          <w:gridAfter w:val="1"/>
          <w:wAfter w:w="6" w:type="dxa"/>
          <w:trHeight w:val="479"/>
        </w:trPr>
        <w:tc>
          <w:tcPr>
            <w:tcW w:w="2840" w:type="dxa"/>
          </w:tcPr>
          <w:p w14:paraId="1D39996D" w14:textId="2914559B" w:rsidR="0081749D" w:rsidRPr="00EC147A" w:rsidRDefault="00F169F1" w:rsidP="009657C6">
            <w:pPr>
              <w:spacing w:before="60" w:after="60"/>
              <w:rPr>
                <w:iCs/>
                <w:color w:val="auto"/>
                <w:spacing w:val="-2"/>
                <w:sz w:val="16"/>
                <w:szCs w:val="16"/>
              </w:rPr>
            </w:pPr>
            <w:r w:rsidRPr="00EC147A">
              <w:rPr>
                <w:iCs/>
                <w:color w:val="auto"/>
                <w:spacing w:val="-2"/>
                <w:sz w:val="16"/>
                <w:szCs w:val="16"/>
              </w:rPr>
              <w:t xml:space="preserve">Blood in </w:t>
            </w:r>
            <w:r w:rsidR="00E504F7" w:rsidRPr="00EC147A">
              <w:rPr>
                <w:iCs/>
                <w:color w:val="auto"/>
                <w:spacing w:val="-2"/>
                <w:sz w:val="16"/>
                <w:szCs w:val="16"/>
              </w:rPr>
              <w:t xml:space="preserve">purple-top </w:t>
            </w:r>
            <w:r w:rsidRPr="00EC147A">
              <w:rPr>
                <w:iCs/>
                <w:color w:val="auto"/>
                <w:spacing w:val="-2"/>
                <w:sz w:val="16"/>
                <w:szCs w:val="16"/>
              </w:rPr>
              <w:t>EDTA Tubes</w:t>
            </w:r>
          </w:p>
        </w:tc>
        <w:tc>
          <w:tcPr>
            <w:tcW w:w="873" w:type="dxa"/>
            <w:vAlign w:val="center"/>
          </w:tcPr>
          <w:p w14:paraId="45BF9C5A" w14:textId="15F4B656" w:rsidR="009E246E" w:rsidRPr="00397D2D" w:rsidRDefault="00397D2D" w:rsidP="009657C6">
            <w:pPr>
              <w:spacing w:before="60" w:after="60"/>
              <w:jc w:val="center"/>
              <w:rPr>
                <w:color w:val="auto"/>
                <w:sz w:val="16"/>
                <w:szCs w:val="16"/>
                <w:vertAlign w:val="superscript"/>
              </w:rPr>
            </w:pPr>
            <w:proofErr w:type="spellStart"/>
            <w:r w:rsidRPr="00EC147A">
              <w:rPr>
                <w:color w:val="auto"/>
                <w:sz w:val="16"/>
                <w:szCs w:val="16"/>
              </w:rPr>
              <w:t>X</w:t>
            </w:r>
            <w:r>
              <w:rPr>
                <w:color w:val="auto"/>
                <w:sz w:val="16"/>
                <w:szCs w:val="16"/>
                <w:vertAlign w:val="superscript"/>
              </w:rPr>
              <w:t>f</w:t>
            </w:r>
            <w:proofErr w:type="spellEnd"/>
          </w:p>
        </w:tc>
        <w:tc>
          <w:tcPr>
            <w:tcW w:w="634" w:type="dxa"/>
            <w:vAlign w:val="center"/>
          </w:tcPr>
          <w:p w14:paraId="62DDF38C" w14:textId="6E3C7452" w:rsidR="009E246E" w:rsidRPr="00EC147A" w:rsidRDefault="0025117F" w:rsidP="009657C6">
            <w:pPr>
              <w:spacing w:before="60" w:after="60"/>
              <w:jc w:val="center"/>
              <w:rPr>
                <w:color w:val="auto"/>
                <w:sz w:val="16"/>
                <w:szCs w:val="16"/>
                <w:vertAlign w:val="superscript"/>
              </w:rPr>
            </w:pPr>
            <w:proofErr w:type="spellStart"/>
            <w:r w:rsidRPr="00EC147A">
              <w:rPr>
                <w:color w:val="auto"/>
                <w:sz w:val="16"/>
                <w:szCs w:val="16"/>
              </w:rPr>
              <w:t>X</w:t>
            </w:r>
            <w:r w:rsidR="00D74273" w:rsidRPr="00EC147A">
              <w:rPr>
                <w:color w:val="auto"/>
                <w:sz w:val="16"/>
                <w:szCs w:val="16"/>
                <w:vertAlign w:val="superscript"/>
              </w:rPr>
              <w:t>g</w:t>
            </w:r>
            <w:proofErr w:type="spellEnd"/>
          </w:p>
        </w:tc>
        <w:tc>
          <w:tcPr>
            <w:tcW w:w="600" w:type="dxa"/>
            <w:vAlign w:val="center"/>
          </w:tcPr>
          <w:p w14:paraId="77D52D4E" w14:textId="6E50C6A8" w:rsidR="009E246E" w:rsidRPr="00EC147A" w:rsidRDefault="00BD5827" w:rsidP="009657C6">
            <w:pPr>
              <w:spacing w:before="60" w:after="60"/>
              <w:jc w:val="center"/>
              <w:rPr>
                <w:color w:val="auto"/>
                <w:sz w:val="16"/>
                <w:szCs w:val="16"/>
              </w:rPr>
            </w:pPr>
            <w:proofErr w:type="spellStart"/>
            <w:r w:rsidRPr="00EC147A">
              <w:rPr>
                <w:color w:val="auto"/>
                <w:sz w:val="16"/>
                <w:szCs w:val="16"/>
              </w:rPr>
              <w:t>X</w:t>
            </w:r>
            <w:r w:rsidR="00D74273" w:rsidRPr="00EC147A">
              <w:rPr>
                <w:color w:val="auto"/>
                <w:sz w:val="16"/>
                <w:szCs w:val="16"/>
                <w:vertAlign w:val="superscript"/>
              </w:rPr>
              <w:t>g</w:t>
            </w:r>
            <w:proofErr w:type="spellEnd"/>
          </w:p>
        </w:tc>
        <w:tc>
          <w:tcPr>
            <w:tcW w:w="617" w:type="dxa"/>
            <w:vAlign w:val="center"/>
          </w:tcPr>
          <w:p w14:paraId="4837F54F" w14:textId="77777777" w:rsidR="009E246E" w:rsidRPr="00EC147A" w:rsidRDefault="009E246E" w:rsidP="009657C6">
            <w:pPr>
              <w:spacing w:before="60" w:after="60"/>
              <w:jc w:val="center"/>
              <w:rPr>
                <w:color w:val="auto"/>
                <w:sz w:val="16"/>
                <w:szCs w:val="16"/>
              </w:rPr>
            </w:pPr>
          </w:p>
        </w:tc>
        <w:tc>
          <w:tcPr>
            <w:tcW w:w="704" w:type="dxa"/>
            <w:vAlign w:val="center"/>
          </w:tcPr>
          <w:p w14:paraId="25CAA7CD" w14:textId="77777777" w:rsidR="009E246E" w:rsidRPr="003E5D11" w:rsidRDefault="009E246E" w:rsidP="009657C6">
            <w:pPr>
              <w:spacing w:before="60" w:after="60"/>
              <w:jc w:val="center"/>
              <w:rPr>
                <w:sz w:val="16"/>
                <w:szCs w:val="16"/>
              </w:rPr>
            </w:pPr>
          </w:p>
        </w:tc>
        <w:tc>
          <w:tcPr>
            <w:tcW w:w="635" w:type="dxa"/>
            <w:vAlign w:val="center"/>
          </w:tcPr>
          <w:p w14:paraId="6A941D9D" w14:textId="77777777" w:rsidR="009E246E" w:rsidRPr="003E5D11" w:rsidRDefault="009E246E" w:rsidP="009657C6">
            <w:pPr>
              <w:spacing w:before="60" w:after="60"/>
              <w:jc w:val="center"/>
              <w:rPr>
                <w:sz w:val="16"/>
                <w:szCs w:val="16"/>
              </w:rPr>
            </w:pPr>
          </w:p>
        </w:tc>
        <w:tc>
          <w:tcPr>
            <w:tcW w:w="635" w:type="dxa"/>
            <w:vAlign w:val="center"/>
          </w:tcPr>
          <w:p w14:paraId="4F410E70" w14:textId="77777777" w:rsidR="009E246E" w:rsidRPr="003E5D11" w:rsidRDefault="009E246E" w:rsidP="009657C6">
            <w:pPr>
              <w:spacing w:before="60" w:after="60"/>
              <w:jc w:val="center"/>
              <w:rPr>
                <w:sz w:val="16"/>
                <w:szCs w:val="16"/>
              </w:rPr>
            </w:pPr>
          </w:p>
        </w:tc>
        <w:tc>
          <w:tcPr>
            <w:tcW w:w="635" w:type="dxa"/>
            <w:vAlign w:val="center"/>
          </w:tcPr>
          <w:p w14:paraId="0DD3C8F0" w14:textId="77777777" w:rsidR="009E246E" w:rsidRPr="003E5D11" w:rsidRDefault="009E246E" w:rsidP="009657C6">
            <w:pPr>
              <w:spacing w:before="60" w:after="60"/>
              <w:jc w:val="center"/>
              <w:rPr>
                <w:sz w:val="16"/>
                <w:szCs w:val="16"/>
              </w:rPr>
            </w:pPr>
          </w:p>
        </w:tc>
        <w:tc>
          <w:tcPr>
            <w:tcW w:w="652" w:type="dxa"/>
            <w:vAlign w:val="center"/>
          </w:tcPr>
          <w:p w14:paraId="10D06865" w14:textId="77777777" w:rsidR="009E246E" w:rsidRPr="003E5D11" w:rsidRDefault="009E246E" w:rsidP="009657C6">
            <w:pPr>
              <w:spacing w:before="60" w:after="60"/>
              <w:jc w:val="center"/>
              <w:rPr>
                <w:sz w:val="16"/>
                <w:szCs w:val="16"/>
              </w:rPr>
            </w:pPr>
          </w:p>
        </w:tc>
        <w:tc>
          <w:tcPr>
            <w:tcW w:w="635" w:type="dxa"/>
            <w:vAlign w:val="center"/>
          </w:tcPr>
          <w:p w14:paraId="2641AFED" w14:textId="77777777" w:rsidR="009E246E" w:rsidRPr="003E5D11" w:rsidRDefault="009E246E" w:rsidP="009657C6">
            <w:pPr>
              <w:spacing w:before="60" w:after="60"/>
              <w:jc w:val="center"/>
              <w:rPr>
                <w:sz w:val="16"/>
                <w:szCs w:val="16"/>
              </w:rPr>
            </w:pPr>
          </w:p>
        </w:tc>
        <w:tc>
          <w:tcPr>
            <w:tcW w:w="686" w:type="dxa"/>
            <w:vAlign w:val="center"/>
          </w:tcPr>
          <w:p w14:paraId="4106EAA5" w14:textId="77777777" w:rsidR="009E246E" w:rsidRPr="003E5D11" w:rsidRDefault="009E246E" w:rsidP="009657C6">
            <w:pPr>
              <w:spacing w:before="60" w:after="60"/>
              <w:jc w:val="center"/>
              <w:rPr>
                <w:sz w:val="16"/>
                <w:szCs w:val="16"/>
              </w:rPr>
            </w:pPr>
          </w:p>
        </w:tc>
        <w:tc>
          <w:tcPr>
            <w:tcW w:w="721" w:type="dxa"/>
            <w:vAlign w:val="center"/>
          </w:tcPr>
          <w:p w14:paraId="416483B9" w14:textId="77777777" w:rsidR="009E246E" w:rsidRPr="003E5D11" w:rsidRDefault="009E246E" w:rsidP="009657C6">
            <w:pPr>
              <w:spacing w:before="60" w:after="60"/>
              <w:jc w:val="center"/>
              <w:rPr>
                <w:sz w:val="16"/>
                <w:szCs w:val="16"/>
              </w:rPr>
            </w:pPr>
          </w:p>
        </w:tc>
        <w:tc>
          <w:tcPr>
            <w:tcW w:w="709" w:type="dxa"/>
            <w:vAlign w:val="center"/>
          </w:tcPr>
          <w:p w14:paraId="481E2A7F" w14:textId="77777777" w:rsidR="009E246E" w:rsidRPr="003E5D11" w:rsidRDefault="009E246E" w:rsidP="009657C6">
            <w:pPr>
              <w:spacing w:before="60" w:after="60"/>
              <w:jc w:val="center"/>
              <w:rPr>
                <w:sz w:val="16"/>
                <w:szCs w:val="16"/>
              </w:rPr>
            </w:pPr>
          </w:p>
        </w:tc>
        <w:tc>
          <w:tcPr>
            <w:tcW w:w="1347" w:type="dxa"/>
            <w:vAlign w:val="center"/>
          </w:tcPr>
          <w:p w14:paraId="48511F41" w14:textId="77777777" w:rsidR="009E246E" w:rsidRPr="003E5D11" w:rsidRDefault="009E246E" w:rsidP="009657C6">
            <w:pPr>
              <w:spacing w:before="60" w:after="60"/>
              <w:jc w:val="center"/>
              <w:rPr>
                <w:sz w:val="16"/>
                <w:szCs w:val="16"/>
              </w:rPr>
            </w:pPr>
          </w:p>
        </w:tc>
      </w:tr>
      <w:tr w:rsidR="00E504F7" w:rsidRPr="00C023DD" w14:paraId="38E99357" w14:textId="77777777" w:rsidTr="0011325C">
        <w:trPr>
          <w:gridAfter w:val="1"/>
          <w:wAfter w:w="6" w:type="dxa"/>
          <w:trHeight w:val="299"/>
        </w:trPr>
        <w:tc>
          <w:tcPr>
            <w:tcW w:w="2840" w:type="dxa"/>
          </w:tcPr>
          <w:p w14:paraId="38F57895" w14:textId="43BABD64" w:rsidR="00E504F7" w:rsidRPr="00EC147A" w:rsidRDefault="006B2643" w:rsidP="009657C6">
            <w:pPr>
              <w:spacing w:before="60" w:after="60"/>
              <w:rPr>
                <w:iCs/>
                <w:color w:val="auto"/>
                <w:spacing w:val="-2"/>
                <w:sz w:val="16"/>
                <w:szCs w:val="16"/>
              </w:rPr>
            </w:pPr>
            <w:r w:rsidRPr="00EC147A">
              <w:rPr>
                <w:iCs/>
                <w:color w:val="auto"/>
                <w:spacing w:val="-2"/>
                <w:sz w:val="16"/>
                <w:szCs w:val="16"/>
              </w:rPr>
              <w:lastRenderedPageBreak/>
              <w:t xml:space="preserve">Blood in </w:t>
            </w:r>
            <w:r w:rsidR="00C01E9F" w:rsidRPr="00EC147A">
              <w:rPr>
                <w:iCs/>
                <w:color w:val="auto"/>
                <w:spacing w:val="-2"/>
                <w:sz w:val="16"/>
                <w:szCs w:val="16"/>
              </w:rPr>
              <w:t>K2 EDTA Tubes</w:t>
            </w:r>
          </w:p>
        </w:tc>
        <w:tc>
          <w:tcPr>
            <w:tcW w:w="873" w:type="dxa"/>
            <w:vAlign w:val="center"/>
          </w:tcPr>
          <w:p w14:paraId="3C1FCF1C" w14:textId="487BC3CE" w:rsidR="00E504F7" w:rsidRPr="00EC147A" w:rsidRDefault="00BA53EA" w:rsidP="009657C6">
            <w:pPr>
              <w:spacing w:before="60" w:after="60"/>
              <w:jc w:val="center"/>
              <w:rPr>
                <w:color w:val="auto"/>
                <w:sz w:val="16"/>
                <w:szCs w:val="16"/>
              </w:rPr>
            </w:pPr>
            <w:r w:rsidRPr="00EC147A">
              <w:rPr>
                <w:color w:val="auto"/>
                <w:sz w:val="16"/>
                <w:szCs w:val="16"/>
              </w:rPr>
              <w:t>X</w:t>
            </w:r>
          </w:p>
        </w:tc>
        <w:tc>
          <w:tcPr>
            <w:tcW w:w="634" w:type="dxa"/>
            <w:vAlign w:val="center"/>
          </w:tcPr>
          <w:p w14:paraId="2B593CFD" w14:textId="77777777" w:rsidR="00E504F7" w:rsidRPr="00EC147A" w:rsidRDefault="00E504F7" w:rsidP="009657C6">
            <w:pPr>
              <w:spacing w:before="60" w:after="60"/>
              <w:jc w:val="center"/>
              <w:rPr>
                <w:color w:val="auto"/>
                <w:sz w:val="16"/>
                <w:szCs w:val="16"/>
              </w:rPr>
            </w:pPr>
          </w:p>
        </w:tc>
        <w:tc>
          <w:tcPr>
            <w:tcW w:w="600" w:type="dxa"/>
            <w:vAlign w:val="center"/>
          </w:tcPr>
          <w:p w14:paraId="19858B42" w14:textId="77777777" w:rsidR="00E504F7" w:rsidRPr="00EC147A" w:rsidRDefault="00E504F7" w:rsidP="009657C6">
            <w:pPr>
              <w:spacing w:before="60" w:after="60"/>
              <w:jc w:val="center"/>
              <w:rPr>
                <w:color w:val="auto"/>
                <w:sz w:val="16"/>
                <w:szCs w:val="16"/>
              </w:rPr>
            </w:pPr>
          </w:p>
        </w:tc>
        <w:tc>
          <w:tcPr>
            <w:tcW w:w="617" w:type="dxa"/>
            <w:vAlign w:val="center"/>
          </w:tcPr>
          <w:p w14:paraId="333C122F" w14:textId="77777777" w:rsidR="00E504F7" w:rsidRPr="00EC147A" w:rsidRDefault="00E504F7" w:rsidP="009657C6">
            <w:pPr>
              <w:spacing w:before="60" w:after="60"/>
              <w:jc w:val="center"/>
              <w:rPr>
                <w:color w:val="auto"/>
                <w:sz w:val="16"/>
                <w:szCs w:val="16"/>
              </w:rPr>
            </w:pPr>
          </w:p>
        </w:tc>
        <w:tc>
          <w:tcPr>
            <w:tcW w:w="704" w:type="dxa"/>
            <w:vAlign w:val="center"/>
          </w:tcPr>
          <w:p w14:paraId="22925930" w14:textId="77777777" w:rsidR="00E504F7" w:rsidRPr="003E5D11" w:rsidRDefault="00E504F7" w:rsidP="009657C6">
            <w:pPr>
              <w:spacing w:before="60" w:after="60"/>
              <w:jc w:val="center"/>
              <w:rPr>
                <w:sz w:val="16"/>
                <w:szCs w:val="16"/>
              </w:rPr>
            </w:pPr>
          </w:p>
        </w:tc>
        <w:tc>
          <w:tcPr>
            <w:tcW w:w="635" w:type="dxa"/>
            <w:vAlign w:val="center"/>
          </w:tcPr>
          <w:p w14:paraId="63743E2F" w14:textId="77777777" w:rsidR="00E504F7" w:rsidRPr="003E5D11" w:rsidRDefault="00E504F7" w:rsidP="009657C6">
            <w:pPr>
              <w:spacing w:before="60" w:after="60"/>
              <w:jc w:val="center"/>
              <w:rPr>
                <w:sz w:val="16"/>
                <w:szCs w:val="16"/>
              </w:rPr>
            </w:pPr>
          </w:p>
        </w:tc>
        <w:tc>
          <w:tcPr>
            <w:tcW w:w="635" w:type="dxa"/>
            <w:vAlign w:val="center"/>
          </w:tcPr>
          <w:p w14:paraId="7D82704E" w14:textId="77777777" w:rsidR="00E504F7" w:rsidRPr="003E5D11" w:rsidRDefault="00E504F7" w:rsidP="009657C6">
            <w:pPr>
              <w:spacing w:before="60" w:after="60"/>
              <w:jc w:val="center"/>
              <w:rPr>
                <w:sz w:val="16"/>
                <w:szCs w:val="16"/>
              </w:rPr>
            </w:pPr>
          </w:p>
        </w:tc>
        <w:tc>
          <w:tcPr>
            <w:tcW w:w="635" w:type="dxa"/>
            <w:vAlign w:val="center"/>
          </w:tcPr>
          <w:p w14:paraId="101B5B5F" w14:textId="77777777" w:rsidR="00E504F7" w:rsidRPr="003E5D11" w:rsidRDefault="00E504F7" w:rsidP="009657C6">
            <w:pPr>
              <w:spacing w:before="60" w:after="60"/>
              <w:jc w:val="center"/>
              <w:rPr>
                <w:sz w:val="16"/>
                <w:szCs w:val="16"/>
              </w:rPr>
            </w:pPr>
          </w:p>
        </w:tc>
        <w:tc>
          <w:tcPr>
            <w:tcW w:w="652" w:type="dxa"/>
            <w:vAlign w:val="center"/>
          </w:tcPr>
          <w:p w14:paraId="048D08E2" w14:textId="77777777" w:rsidR="00E504F7" w:rsidRPr="003E5D11" w:rsidRDefault="00E504F7" w:rsidP="009657C6">
            <w:pPr>
              <w:spacing w:before="60" w:after="60"/>
              <w:jc w:val="center"/>
              <w:rPr>
                <w:sz w:val="16"/>
                <w:szCs w:val="16"/>
              </w:rPr>
            </w:pPr>
          </w:p>
        </w:tc>
        <w:tc>
          <w:tcPr>
            <w:tcW w:w="635" w:type="dxa"/>
            <w:vAlign w:val="center"/>
          </w:tcPr>
          <w:p w14:paraId="319A7083" w14:textId="77777777" w:rsidR="00E504F7" w:rsidRPr="003E5D11" w:rsidRDefault="00E504F7" w:rsidP="009657C6">
            <w:pPr>
              <w:spacing w:before="60" w:after="60"/>
              <w:jc w:val="center"/>
              <w:rPr>
                <w:sz w:val="16"/>
                <w:szCs w:val="16"/>
              </w:rPr>
            </w:pPr>
          </w:p>
        </w:tc>
        <w:tc>
          <w:tcPr>
            <w:tcW w:w="686" w:type="dxa"/>
            <w:vAlign w:val="center"/>
          </w:tcPr>
          <w:p w14:paraId="0CDB2417" w14:textId="77777777" w:rsidR="00E504F7" w:rsidRPr="003E5D11" w:rsidRDefault="00E504F7" w:rsidP="009657C6">
            <w:pPr>
              <w:spacing w:before="60" w:after="60"/>
              <w:jc w:val="center"/>
              <w:rPr>
                <w:sz w:val="16"/>
                <w:szCs w:val="16"/>
              </w:rPr>
            </w:pPr>
          </w:p>
        </w:tc>
        <w:tc>
          <w:tcPr>
            <w:tcW w:w="721" w:type="dxa"/>
            <w:vAlign w:val="center"/>
          </w:tcPr>
          <w:p w14:paraId="4E04394E" w14:textId="77777777" w:rsidR="00E504F7" w:rsidRPr="003E5D11" w:rsidRDefault="00E504F7" w:rsidP="009657C6">
            <w:pPr>
              <w:spacing w:before="60" w:after="60"/>
              <w:jc w:val="center"/>
              <w:rPr>
                <w:sz w:val="16"/>
                <w:szCs w:val="16"/>
              </w:rPr>
            </w:pPr>
          </w:p>
        </w:tc>
        <w:tc>
          <w:tcPr>
            <w:tcW w:w="709" w:type="dxa"/>
            <w:vAlign w:val="center"/>
          </w:tcPr>
          <w:p w14:paraId="131752F6" w14:textId="77777777" w:rsidR="00E504F7" w:rsidRPr="003E5D11" w:rsidRDefault="00E504F7" w:rsidP="009657C6">
            <w:pPr>
              <w:spacing w:before="60" w:after="60"/>
              <w:jc w:val="center"/>
              <w:rPr>
                <w:sz w:val="16"/>
                <w:szCs w:val="16"/>
              </w:rPr>
            </w:pPr>
          </w:p>
        </w:tc>
        <w:tc>
          <w:tcPr>
            <w:tcW w:w="1347" w:type="dxa"/>
            <w:vAlign w:val="center"/>
          </w:tcPr>
          <w:p w14:paraId="00D650E2" w14:textId="77777777" w:rsidR="00E504F7" w:rsidRPr="003E5D11" w:rsidRDefault="00E504F7" w:rsidP="009657C6">
            <w:pPr>
              <w:spacing w:before="60" w:after="60"/>
              <w:jc w:val="center"/>
              <w:rPr>
                <w:sz w:val="16"/>
                <w:szCs w:val="16"/>
              </w:rPr>
            </w:pPr>
          </w:p>
        </w:tc>
      </w:tr>
      <w:tr w:rsidR="009E246E" w:rsidRPr="00C023DD" w14:paraId="23B8291F" w14:textId="77777777" w:rsidTr="00643E15">
        <w:trPr>
          <w:trHeight w:val="2357"/>
        </w:trPr>
        <w:tc>
          <w:tcPr>
            <w:tcW w:w="12929" w:type="dxa"/>
            <w:gridSpan w:val="16"/>
          </w:tcPr>
          <w:p w14:paraId="351D72F4" w14:textId="55A4D1E2" w:rsidR="009E246E" w:rsidRPr="00EC147A" w:rsidRDefault="009E246E" w:rsidP="009657C6">
            <w:pPr>
              <w:tabs>
                <w:tab w:val="left" w:pos="366"/>
              </w:tabs>
              <w:ind w:left="366" w:hanging="360"/>
              <w:rPr>
                <w:iCs/>
                <w:color w:val="auto"/>
                <w:sz w:val="16"/>
                <w:szCs w:val="16"/>
              </w:rPr>
            </w:pPr>
            <w:r w:rsidRPr="00EC147A">
              <w:rPr>
                <w:color w:val="auto"/>
                <w:sz w:val="16"/>
                <w:szCs w:val="16"/>
              </w:rPr>
              <w:t>A:</w:t>
            </w:r>
            <w:r w:rsidRPr="00EC147A">
              <w:rPr>
                <w:i/>
                <w:color w:val="auto"/>
                <w:sz w:val="16"/>
                <w:szCs w:val="16"/>
              </w:rPr>
              <w:tab/>
            </w:r>
            <w:r w:rsidR="00E0276F" w:rsidRPr="00EC147A">
              <w:rPr>
                <w:iCs/>
                <w:color w:val="auto"/>
                <w:sz w:val="16"/>
                <w:szCs w:val="16"/>
              </w:rPr>
              <w:t>Triapine</w:t>
            </w:r>
            <w:r w:rsidRPr="00EC147A">
              <w:rPr>
                <w:iCs/>
                <w:color w:val="auto"/>
                <w:sz w:val="16"/>
                <w:szCs w:val="16"/>
              </w:rPr>
              <w:t xml:space="preserve">:  Dose as assigned; </w:t>
            </w:r>
            <w:r w:rsidR="00E0276F" w:rsidRPr="00EC147A">
              <w:rPr>
                <w:iCs/>
                <w:color w:val="auto"/>
                <w:sz w:val="16"/>
                <w:szCs w:val="16"/>
              </w:rPr>
              <w:t>administered within</w:t>
            </w:r>
            <w:r w:rsidR="005C1D5E" w:rsidRPr="00EC147A">
              <w:rPr>
                <w:iCs/>
                <w:color w:val="auto"/>
                <w:sz w:val="16"/>
                <w:szCs w:val="16"/>
              </w:rPr>
              <w:t xml:space="preserve"> </w:t>
            </w:r>
            <w:r w:rsidR="00E0276F" w:rsidRPr="00EC147A">
              <w:rPr>
                <w:iCs/>
                <w:color w:val="auto"/>
                <w:sz w:val="16"/>
                <w:szCs w:val="16"/>
              </w:rPr>
              <w:t xml:space="preserve">2 hours prior to radiation therapy. </w:t>
            </w:r>
            <w:r w:rsidR="00EC147A">
              <w:rPr>
                <w:iCs/>
                <w:color w:val="auto"/>
                <w:sz w:val="16"/>
                <w:szCs w:val="16"/>
              </w:rPr>
              <w:t xml:space="preserve"> </w:t>
            </w:r>
            <w:r w:rsidR="00E0276F" w:rsidRPr="00EC147A">
              <w:rPr>
                <w:iCs/>
                <w:color w:val="auto"/>
                <w:sz w:val="16"/>
                <w:szCs w:val="16"/>
              </w:rPr>
              <w:t>No do</w:t>
            </w:r>
            <w:r w:rsidR="00225A70" w:rsidRPr="00EC147A">
              <w:rPr>
                <w:iCs/>
                <w:color w:val="auto"/>
                <w:sz w:val="16"/>
                <w:szCs w:val="16"/>
              </w:rPr>
              <w:t>se will be administered during non-radiation treatment days .</w:t>
            </w:r>
          </w:p>
          <w:p w14:paraId="45CFCD23" w14:textId="49BA4423" w:rsidR="009E246E" w:rsidRPr="00EC147A" w:rsidRDefault="009E246E" w:rsidP="009657C6">
            <w:pPr>
              <w:tabs>
                <w:tab w:val="left" w:pos="366"/>
              </w:tabs>
              <w:ind w:left="366" w:hanging="360"/>
              <w:rPr>
                <w:iCs/>
                <w:color w:val="auto"/>
                <w:sz w:val="16"/>
                <w:szCs w:val="16"/>
              </w:rPr>
            </w:pPr>
            <w:r w:rsidRPr="00EC147A">
              <w:rPr>
                <w:iCs/>
                <w:color w:val="auto"/>
                <w:sz w:val="16"/>
                <w:szCs w:val="16"/>
              </w:rPr>
              <w:t>B:</w:t>
            </w:r>
            <w:r w:rsidRPr="00EC147A">
              <w:rPr>
                <w:iCs/>
                <w:color w:val="auto"/>
                <w:sz w:val="16"/>
                <w:szCs w:val="16"/>
              </w:rPr>
              <w:tab/>
            </w:r>
            <w:r w:rsidR="00225A70" w:rsidRPr="00EC147A">
              <w:rPr>
                <w:iCs/>
                <w:color w:val="auto"/>
                <w:sz w:val="16"/>
                <w:szCs w:val="16"/>
              </w:rPr>
              <w:t>Radiation Therapy</w:t>
            </w:r>
            <w:r w:rsidRPr="00EC147A">
              <w:rPr>
                <w:iCs/>
                <w:color w:val="auto"/>
                <w:sz w:val="16"/>
                <w:szCs w:val="16"/>
              </w:rPr>
              <w:t xml:space="preserve">:  </w:t>
            </w:r>
            <w:r w:rsidR="00B94C23" w:rsidRPr="00EC147A">
              <w:rPr>
                <w:iCs/>
                <w:color w:val="auto"/>
                <w:sz w:val="16"/>
                <w:szCs w:val="16"/>
              </w:rPr>
              <w:t xml:space="preserve">3.5 </w:t>
            </w:r>
            <w:proofErr w:type="spellStart"/>
            <w:r w:rsidR="00B94C23" w:rsidRPr="00EC147A">
              <w:rPr>
                <w:iCs/>
                <w:color w:val="auto"/>
                <w:sz w:val="16"/>
                <w:szCs w:val="16"/>
              </w:rPr>
              <w:t>Gy</w:t>
            </w:r>
            <w:proofErr w:type="spellEnd"/>
            <w:r w:rsidR="00B94C23" w:rsidRPr="00EC147A">
              <w:rPr>
                <w:iCs/>
                <w:color w:val="auto"/>
                <w:sz w:val="16"/>
                <w:szCs w:val="16"/>
              </w:rPr>
              <w:t xml:space="preserve"> per fraction for 10 fractions, given once daily during </w:t>
            </w:r>
            <w:r w:rsidR="009622A4">
              <w:rPr>
                <w:iCs/>
                <w:color w:val="auto"/>
                <w:sz w:val="16"/>
                <w:szCs w:val="16"/>
              </w:rPr>
              <w:t>business days</w:t>
            </w:r>
            <w:r w:rsidR="009622A4" w:rsidRPr="00EC147A">
              <w:rPr>
                <w:iCs/>
                <w:color w:val="auto"/>
                <w:sz w:val="16"/>
                <w:szCs w:val="16"/>
              </w:rPr>
              <w:t xml:space="preserve"> </w:t>
            </w:r>
            <w:r w:rsidR="00B94C23" w:rsidRPr="00EC147A">
              <w:rPr>
                <w:iCs/>
                <w:color w:val="auto"/>
                <w:sz w:val="16"/>
                <w:szCs w:val="16"/>
              </w:rPr>
              <w:t>only.</w:t>
            </w:r>
          </w:p>
          <w:p w14:paraId="4FFD9107" w14:textId="77777777" w:rsidR="00B803FF" w:rsidRPr="00EC147A" w:rsidRDefault="009E246E" w:rsidP="009657C6">
            <w:pPr>
              <w:tabs>
                <w:tab w:val="left" w:pos="366"/>
              </w:tabs>
              <w:ind w:left="366" w:hanging="360"/>
              <w:rPr>
                <w:color w:val="auto"/>
                <w:sz w:val="16"/>
                <w:szCs w:val="16"/>
              </w:rPr>
            </w:pPr>
            <w:r w:rsidRPr="00EC147A">
              <w:rPr>
                <w:color w:val="auto"/>
                <w:sz w:val="16"/>
                <w:szCs w:val="16"/>
              </w:rPr>
              <w:t>a:</w:t>
            </w:r>
            <w:r w:rsidRPr="00EC147A">
              <w:rPr>
                <w:color w:val="auto"/>
                <w:sz w:val="16"/>
                <w:szCs w:val="16"/>
              </w:rPr>
              <w:tab/>
            </w:r>
            <w:r w:rsidR="00B803FF" w:rsidRPr="00EC147A">
              <w:rPr>
                <w:color w:val="auto"/>
                <w:sz w:val="16"/>
                <w:szCs w:val="16"/>
              </w:rPr>
              <w:t>Off-study evaluation.</w:t>
            </w:r>
          </w:p>
          <w:p w14:paraId="4DB1A72A" w14:textId="21B11ECD" w:rsidR="00B803FF" w:rsidRPr="00EC147A" w:rsidRDefault="009E246E" w:rsidP="009657C6">
            <w:pPr>
              <w:tabs>
                <w:tab w:val="left" w:pos="366"/>
              </w:tabs>
              <w:ind w:left="366" w:hanging="360"/>
              <w:rPr>
                <w:color w:val="auto"/>
                <w:sz w:val="16"/>
                <w:szCs w:val="16"/>
              </w:rPr>
            </w:pPr>
            <w:r w:rsidRPr="00EC147A">
              <w:rPr>
                <w:color w:val="auto"/>
                <w:sz w:val="16"/>
                <w:szCs w:val="16"/>
              </w:rPr>
              <w:t>b:</w:t>
            </w:r>
            <w:r w:rsidRPr="00EC147A">
              <w:rPr>
                <w:color w:val="auto"/>
                <w:sz w:val="16"/>
                <w:szCs w:val="16"/>
              </w:rPr>
              <w:tab/>
            </w:r>
            <w:r w:rsidR="004942B7" w:rsidRPr="00EC147A">
              <w:rPr>
                <w:color w:val="auto"/>
                <w:sz w:val="16"/>
                <w:szCs w:val="16"/>
              </w:rPr>
              <w:t>Performance status will be assessed at baseline, during radiation treatments, and scheduled follow-ups.</w:t>
            </w:r>
          </w:p>
          <w:p w14:paraId="3366C622" w14:textId="77777777" w:rsidR="00B803FF" w:rsidRPr="00EC147A" w:rsidRDefault="009E246E" w:rsidP="009657C6">
            <w:pPr>
              <w:tabs>
                <w:tab w:val="left" w:pos="366"/>
              </w:tabs>
              <w:ind w:left="366" w:hanging="360"/>
              <w:rPr>
                <w:color w:val="auto"/>
                <w:sz w:val="16"/>
                <w:szCs w:val="16"/>
              </w:rPr>
            </w:pPr>
            <w:r w:rsidRPr="00EC147A">
              <w:rPr>
                <w:color w:val="auto"/>
                <w:sz w:val="16"/>
                <w:szCs w:val="16"/>
              </w:rPr>
              <w:t>c:</w:t>
            </w:r>
            <w:r w:rsidRPr="00EC147A">
              <w:rPr>
                <w:color w:val="auto"/>
                <w:sz w:val="16"/>
                <w:szCs w:val="16"/>
              </w:rPr>
              <w:tab/>
            </w:r>
            <w:r w:rsidR="00B803FF" w:rsidRPr="00EC147A">
              <w:rPr>
                <w:color w:val="auto"/>
                <w:sz w:val="16"/>
                <w:szCs w:val="16"/>
              </w:rPr>
              <w:t>Albumin, alkaline phosphatase, total bilirubin, bicarbonate, BUN, calcium, chloride, creatinine, glucose, LDH, phosphorus, potassium, total protein, SGOT [AST], SGPT [ALT], sodium.</w:t>
            </w:r>
          </w:p>
          <w:p w14:paraId="551D6FDD" w14:textId="77777777" w:rsidR="003369CA" w:rsidRPr="00EC147A" w:rsidRDefault="00B803FF" w:rsidP="003369CA">
            <w:pPr>
              <w:tabs>
                <w:tab w:val="left" w:pos="366"/>
              </w:tabs>
              <w:ind w:left="366" w:hanging="360"/>
              <w:rPr>
                <w:color w:val="auto"/>
                <w:sz w:val="16"/>
                <w:szCs w:val="16"/>
              </w:rPr>
            </w:pPr>
            <w:r w:rsidRPr="00EC147A">
              <w:rPr>
                <w:color w:val="auto"/>
                <w:sz w:val="16"/>
                <w:szCs w:val="16"/>
              </w:rPr>
              <w:t>d:</w:t>
            </w:r>
            <w:r w:rsidRPr="00EC147A">
              <w:rPr>
                <w:color w:val="auto"/>
                <w:sz w:val="16"/>
                <w:szCs w:val="16"/>
              </w:rPr>
              <w:tab/>
            </w:r>
            <w:r w:rsidR="00E21EE9" w:rsidRPr="00EC147A">
              <w:rPr>
                <w:color w:val="auto"/>
                <w:sz w:val="16"/>
                <w:szCs w:val="16"/>
              </w:rPr>
              <w:t>P</w:t>
            </w:r>
            <w:r w:rsidRPr="00EC147A">
              <w:rPr>
                <w:color w:val="auto"/>
                <w:sz w:val="16"/>
                <w:szCs w:val="16"/>
              </w:rPr>
              <w:t xml:space="preserve">regnancy test </w:t>
            </w:r>
            <w:r w:rsidR="00E21EE9" w:rsidRPr="00EC147A">
              <w:rPr>
                <w:color w:val="auto"/>
                <w:sz w:val="16"/>
                <w:szCs w:val="16"/>
              </w:rPr>
              <w:t xml:space="preserve">for </w:t>
            </w:r>
            <w:r w:rsidRPr="00EC147A">
              <w:rPr>
                <w:color w:val="auto"/>
                <w:sz w:val="16"/>
                <w:szCs w:val="16"/>
              </w:rPr>
              <w:t>women of childbearing potential.</w:t>
            </w:r>
          </w:p>
          <w:p w14:paraId="08CBD1F5" w14:textId="2895B8F4" w:rsidR="00B803FF" w:rsidRPr="00EC147A" w:rsidRDefault="003369CA" w:rsidP="003369CA">
            <w:pPr>
              <w:tabs>
                <w:tab w:val="left" w:pos="366"/>
              </w:tabs>
              <w:ind w:left="366" w:hanging="360"/>
              <w:rPr>
                <w:color w:val="auto"/>
                <w:sz w:val="16"/>
                <w:szCs w:val="16"/>
              </w:rPr>
            </w:pPr>
            <w:r w:rsidRPr="00EC147A">
              <w:rPr>
                <w:color w:val="auto"/>
                <w:sz w:val="16"/>
                <w:szCs w:val="16"/>
              </w:rPr>
              <w:t>e:</w:t>
            </w:r>
            <w:r w:rsidRPr="00EC147A">
              <w:rPr>
                <w:color w:val="auto"/>
                <w:sz w:val="16"/>
                <w:szCs w:val="16"/>
              </w:rPr>
              <w:tab/>
            </w:r>
            <w:r w:rsidR="00530170" w:rsidRPr="00EC147A">
              <w:rPr>
                <w:color w:val="auto"/>
                <w:sz w:val="16"/>
                <w:szCs w:val="16"/>
              </w:rPr>
              <w:t xml:space="preserve">Archival tumor </w:t>
            </w:r>
            <w:r w:rsidR="00447182">
              <w:rPr>
                <w:color w:val="auto"/>
                <w:sz w:val="16"/>
                <w:szCs w:val="16"/>
              </w:rPr>
              <w:t>tissue</w:t>
            </w:r>
            <w:r w:rsidR="00447182" w:rsidRPr="00EC147A">
              <w:rPr>
                <w:color w:val="auto"/>
                <w:sz w:val="16"/>
                <w:szCs w:val="16"/>
              </w:rPr>
              <w:t xml:space="preserve"> </w:t>
            </w:r>
            <w:r w:rsidR="00530170" w:rsidRPr="00EC147A">
              <w:rPr>
                <w:color w:val="auto"/>
                <w:sz w:val="16"/>
                <w:szCs w:val="16"/>
              </w:rPr>
              <w:t xml:space="preserve">from </w:t>
            </w:r>
            <w:r w:rsidR="008D3A4D" w:rsidRPr="00EC147A">
              <w:rPr>
                <w:color w:val="auto"/>
                <w:sz w:val="16"/>
                <w:szCs w:val="16"/>
              </w:rPr>
              <w:t>initial diagnosis</w:t>
            </w:r>
            <w:r w:rsidR="00197990">
              <w:rPr>
                <w:color w:val="auto"/>
                <w:sz w:val="16"/>
                <w:szCs w:val="16"/>
              </w:rPr>
              <w:t xml:space="preserve"> or recurrence</w:t>
            </w:r>
            <w:r w:rsidR="00530170" w:rsidRPr="00EC147A">
              <w:rPr>
                <w:color w:val="auto"/>
                <w:sz w:val="16"/>
                <w:szCs w:val="16"/>
              </w:rPr>
              <w:t xml:space="preserve">; no </w:t>
            </w:r>
            <w:r w:rsidR="006021C5" w:rsidRPr="00EC147A">
              <w:rPr>
                <w:color w:val="auto"/>
                <w:sz w:val="16"/>
                <w:szCs w:val="16"/>
              </w:rPr>
              <w:t xml:space="preserve">re-biopsies are planned or allowed. </w:t>
            </w:r>
            <w:r w:rsidR="00EC147A">
              <w:rPr>
                <w:color w:val="auto"/>
                <w:sz w:val="16"/>
                <w:szCs w:val="16"/>
              </w:rPr>
              <w:t xml:space="preserve"> </w:t>
            </w:r>
            <w:r w:rsidR="006021C5" w:rsidRPr="00EC147A">
              <w:rPr>
                <w:color w:val="auto"/>
                <w:sz w:val="16"/>
                <w:szCs w:val="16"/>
              </w:rPr>
              <w:t xml:space="preserve">For patients scheduled for surgery prior to enrollment onto study, surgical tissue may be used instead of archival tissue. </w:t>
            </w:r>
            <w:r w:rsidR="00EC147A">
              <w:rPr>
                <w:color w:val="auto"/>
                <w:sz w:val="16"/>
                <w:szCs w:val="16"/>
              </w:rPr>
              <w:t xml:space="preserve"> </w:t>
            </w:r>
            <w:r w:rsidR="00CD33F4" w:rsidRPr="00EC147A">
              <w:rPr>
                <w:color w:val="auto"/>
                <w:sz w:val="16"/>
                <w:szCs w:val="16"/>
              </w:rPr>
              <w:t>Optional.</w:t>
            </w:r>
            <w:r w:rsidR="00197990">
              <w:rPr>
                <w:color w:val="auto"/>
                <w:sz w:val="16"/>
                <w:szCs w:val="16"/>
              </w:rPr>
              <w:t xml:space="preserve"> </w:t>
            </w:r>
          </w:p>
          <w:p w14:paraId="0794A2F2" w14:textId="4194BACF" w:rsidR="00D74273" w:rsidRPr="00EC147A" w:rsidRDefault="00D74273" w:rsidP="00D74273">
            <w:pPr>
              <w:tabs>
                <w:tab w:val="left" w:pos="366"/>
              </w:tabs>
              <w:ind w:left="366" w:hanging="360"/>
              <w:rPr>
                <w:color w:val="auto"/>
                <w:sz w:val="16"/>
                <w:szCs w:val="16"/>
              </w:rPr>
            </w:pPr>
            <w:r w:rsidRPr="00EC147A">
              <w:rPr>
                <w:color w:val="auto"/>
                <w:sz w:val="16"/>
                <w:szCs w:val="16"/>
              </w:rPr>
              <w:t>f:</w:t>
            </w:r>
            <w:r w:rsidRPr="00EC147A">
              <w:rPr>
                <w:color w:val="auto"/>
                <w:sz w:val="16"/>
                <w:szCs w:val="16"/>
              </w:rPr>
              <w:tab/>
            </w:r>
            <w:r w:rsidR="00CB4631" w:rsidRPr="00EC147A">
              <w:rPr>
                <w:color w:val="auto"/>
                <w:sz w:val="16"/>
                <w:szCs w:val="16"/>
              </w:rPr>
              <w:t>Applicable for only select patients undergoing resection for recurrent tumor treated</w:t>
            </w:r>
            <w:r w:rsidR="000D3FD3" w:rsidRPr="00EC147A">
              <w:rPr>
                <w:color w:val="auto"/>
                <w:sz w:val="16"/>
                <w:szCs w:val="16"/>
              </w:rPr>
              <w:t xml:space="preserve"> at City of Hope who have agreed to intracranial microdialysis </w:t>
            </w:r>
            <w:r w:rsidR="008032B6" w:rsidRPr="00EC147A">
              <w:rPr>
                <w:color w:val="auto"/>
                <w:sz w:val="16"/>
                <w:szCs w:val="16"/>
              </w:rPr>
              <w:t>sub-study of triapine.</w:t>
            </w:r>
            <w:r w:rsidR="00822695" w:rsidRPr="00EC147A">
              <w:rPr>
                <w:color w:val="auto"/>
                <w:sz w:val="16"/>
                <w:szCs w:val="16"/>
              </w:rPr>
              <w:t xml:space="preserve"> </w:t>
            </w:r>
            <w:r w:rsidR="00EC147A">
              <w:rPr>
                <w:color w:val="auto"/>
                <w:sz w:val="16"/>
                <w:szCs w:val="16"/>
              </w:rPr>
              <w:t xml:space="preserve"> </w:t>
            </w:r>
            <w:r w:rsidR="00066954" w:rsidRPr="00EC147A">
              <w:rPr>
                <w:color w:val="auto"/>
                <w:sz w:val="16"/>
                <w:szCs w:val="16"/>
              </w:rPr>
              <w:t>Blood and CSF collection will be at least 24 hours after surgery</w:t>
            </w:r>
            <w:r w:rsidR="000A5894" w:rsidRPr="00EC147A">
              <w:rPr>
                <w:color w:val="auto"/>
                <w:sz w:val="16"/>
                <w:szCs w:val="16"/>
              </w:rPr>
              <w:t xml:space="preserve"> but within 48 hours after surgery</w:t>
            </w:r>
            <w:r w:rsidR="0094656C" w:rsidRPr="00EC147A">
              <w:rPr>
                <w:color w:val="auto"/>
                <w:sz w:val="16"/>
                <w:szCs w:val="16"/>
              </w:rPr>
              <w:t>.</w:t>
            </w:r>
            <w:r w:rsidR="00EC147A">
              <w:rPr>
                <w:color w:val="auto"/>
                <w:sz w:val="16"/>
                <w:szCs w:val="16"/>
              </w:rPr>
              <w:t xml:space="preserve"> </w:t>
            </w:r>
            <w:r w:rsidR="008032B6" w:rsidRPr="00EC147A">
              <w:rPr>
                <w:color w:val="auto"/>
                <w:sz w:val="16"/>
                <w:szCs w:val="16"/>
              </w:rPr>
              <w:t xml:space="preserve"> Further details are found in </w:t>
            </w:r>
            <w:hyperlink w:anchor="Section_5_5_2_3" w:history="1">
              <w:r w:rsidR="0021532D" w:rsidRPr="00EC147A">
                <w:rPr>
                  <w:rStyle w:val="Hyperlink"/>
                  <w:sz w:val="16"/>
                  <w:szCs w:val="16"/>
                </w:rPr>
                <w:t>Section 5.5.2.3</w:t>
              </w:r>
            </w:hyperlink>
            <w:r w:rsidR="008032B6" w:rsidRPr="00EC147A">
              <w:rPr>
                <w:color w:val="auto"/>
                <w:sz w:val="16"/>
                <w:szCs w:val="16"/>
              </w:rPr>
              <w:t>.</w:t>
            </w:r>
            <w:r w:rsidR="00EC147A">
              <w:rPr>
                <w:color w:val="auto"/>
                <w:sz w:val="16"/>
                <w:szCs w:val="16"/>
              </w:rPr>
              <w:t xml:space="preserve"> </w:t>
            </w:r>
            <w:r w:rsidR="008032B6" w:rsidRPr="00EC147A">
              <w:rPr>
                <w:color w:val="auto"/>
                <w:sz w:val="16"/>
                <w:szCs w:val="16"/>
              </w:rPr>
              <w:t xml:space="preserve"> </w:t>
            </w:r>
            <w:r w:rsidR="00F74264" w:rsidRPr="00EC147A">
              <w:rPr>
                <w:color w:val="auto"/>
                <w:sz w:val="16"/>
                <w:szCs w:val="16"/>
              </w:rPr>
              <w:t xml:space="preserve">Afterwards, these patients will be </w:t>
            </w:r>
            <w:r w:rsidR="00EC147A" w:rsidRPr="00EC147A">
              <w:rPr>
                <w:color w:val="auto"/>
                <w:sz w:val="16"/>
                <w:szCs w:val="16"/>
              </w:rPr>
              <w:t>provided with</w:t>
            </w:r>
            <w:r w:rsidR="00F74264" w:rsidRPr="00EC147A">
              <w:rPr>
                <w:color w:val="auto"/>
                <w:sz w:val="16"/>
                <w:szCs w:val="16"/>
              </w:rPr>
              <w:t xml:space="preserve"> the opportunity to enroll on</w:t>
            </w:r>
            <w:r w:rsidR="000A5894" w:rsidRPr="00EC147A">
              <w:rPr>
                <w:color w:val="auto"/>
                <w:sz w:val="16"/>
                <w:szCs w:val="16"/>
              </w:rPr>
              <w:t xml:space="preserve"> </w:t>
            </w:r>
            <w:r w:rsidR="00F74264" w:rsidRPr="00EC147A">
              <w:rPr>
                <w:color w:val="auto"/>
                <w:sz w:val="16"/>
                <w:szCs w:val="16"/>
              </w:rPr>
              <w:t>to the main trial.</w:t>
            </w:r>
          </w:p>
          <w:p w14:paraId="0E42620C" w14:textId="01A15F3A" w:rsidR="009E246E" w:rsidRPr="00EC147A" w:rsidRDefault="00D74273" w:rsidP="00AD0654">
            <w:pPr>
              <w:tabs>
                <w:tab w:val="left" w:pos="366"/>
              </w:tabs>
              <w:ind w:left="366" w:hanging="360"/>
              <w:rPr>
                <w:color w:val="auto"/>
                <w:sz w:val="16"/>
                <w:szCs w:val="16"/>
              </w:rPr>
            </w:pPr>
            <w:r w:rsidRPr="00EC147A">
              <w:rPr>
                <w:color w:val="auto"/>
                <w:sz w:val="16"/>
                <w:szCs w:val="16"/>
              </w:rPr>
              <w:t>g</w:t>
            </w:r>
            <w:r w:rsidR="00CD33F4" w:rsidRPr="00EC147A">
              <w:rPr>
                <w:color w:val="auto"/>
                <w:sz w:val="16"/>
                <w:szCs w:val="16"/>
              </w:rPr>
              <w:t>:</w:t>
            </w:r>
            <w:r w:rsidR="00CD33F4" w:rsidRPr="00EC147A">
              <w:rPr>
                <w:color w:val="auto"/>
                <w:sz w:val="16"/>
                <w:szCs w:val="16"/>
              </w:rPr>
              <w:tab/>
            </w:r>
            <w:r w:rsidR="00386DE4" w:rsidRPr="00EC147A">
              <w:rPr>
                <w:color w:val="auto"/>
                <w:sz w:val="16"/>
                <w:szCs w:val="16"/>
              </w:rPr>
              <w:t>Blood collected into purple-top EDTA tube and processed to plasma</w:t>
            </w:r>
            <w:r w:rsidR="00B05718" w:rsidRPr="00EC147A">
              <w:rPr>
                <w:color w:val="auto"/>
                <w:sz w:val="16"/>
                <w:szCs w:val="16"/>
              </w:rPr>
              <w:t xml:space="preserve">. Collection times </w:t>
            </w:r>
            <w:proofErr w:type="gramStart"/>
            <w:r w:rsidR="00B05718" w:rsidRPr="00EC147A">
              <w:rPr>
                <w:color w:val="auto"/>
                <w:sz w:val="16"/>
                <w:szCs w:val="16"/>
              </w:rPr>
              <w:t>are:</w:t>
            </w:r>
            <w:proofErr w:type="gramEnd"/>
            <w:r w:rsidR="00C35115" w:rsidRPr="00EC147A">
              <w:rPr>
                <w:color w:val="auto"/>
                <w:sz w:val="16"/>
                <w:szCs w:val="16"/>
              </w:rPr>
              <w:t xml:space="preserve"> </w:t>
            </w:r>
            <w:r w:rsidR="00EC147A">
              <w:rPr>
                <w:color w:val="auto"/>
                <w:sz w:val="16"/>
                <w:szCs w:val="16"/>
              </w:rPr>
              <w:t xml:space="preserve"> </w:t>
            </w:r>
            <w:r w:rsidR="00C35115" w:rsidRPr="00EC147A">
              <w:rPr>
                <w:color w:val="auto"/>
                <w:sz w:val="16"/>
                <w:szCs w:val="16"/>
              </w:rPr>
              <w:t>Week 1, Day 1</w:t>
            </w:r>
            <w:r w:rsidR="00EC147A">
              <w:rPr>
                <w:color w:val="auto"/>
                <w:sz w:val="16"/>
                <w:szCs w:val="16"/>
              </w:rPr>
              <w:t>,</w:t>
            </w:r>
            <w:r w:rsidR="00C35115" w:rsidRPr="00EC147A">
              <w:rPr>
                <w:color w:val="auto"/>
                <w:sz w:val="16"/>
                <w:szCs w:val="16"/>
              </w:rPr>
              <w:t xml:space="preserve"> 1-3</w:t>
            </w:r>
            <w:r w:rsidR="00B05718" w:rsidRPr="00EC147A">
              <w:rPr>
                <w:color w:val="auto"/>
                <w:sz w:val="16"/>
                <w:szCs w:val="16"/>
              </w:rPr>
              <w:t xml:space="preserve"> hours</w:t>
            </w:r>
            <w:r w:rsidR="00C35115" w:rsidRPr="00EC147A">
              <w:rPr>
                <w:color w:val="auto"/>
                <w:sz w:val="16"/>
                <w:szCs w:val="16"/>
              </w:rPr>
              <w:t xml:space="preserve"> post-dose</w:t>
            </w:r>
            <w:r w:rsidR="00B05718" w:rsidRPr="00EC147A">
              <w:rPr>
                <w:color w:val="auto"/>
                <w:sz w:val="16"/>
                <w:szCs w:val="16"/>
              </w:rPr>
              <w:t>, Week 1 Day 2</w:t>
            </w:r>
            <w:r w:rsidR="00EC147A">
              <w:rPr>
                <w:color w:val="auto"/>
                <w:sz w:val="16"/>
                <w:szCs w:val="16"/>
              </w:rPr>
              <w:t>,</w:t>
            </w:r>
            <w:r w:rsidR="00B05718" w:rsidRPr="00EC147A">
              <w:rPr>
                <w:color w:val="auto"/>
                <w:sz w:val="16"/>
                <w:szCs w:val="16"/>
              </w:rPr>
              <w:t xml:space="preserve"> pre-dose, 0.5, 1, 1.5, 2, 3, 4, 6, and 8 hours post-dose. </w:t>
            </w:r>
            <w:r w:rsidR="00EC147A">
              <w:rPr>
                <w:color w:val="auto"/>
                <w:sz w:val="16"/>
                <w:szCs w:val="16"/>
              </w:rPr>
              <w:t xml:space="preserve"> </w:t>
            </w:r>
            <w:r w:rsidR="00206DEC" w:rsidRPr="00EC147A">
              <w:rPr>
                <w:color w:val="auto"/>
                <w:sz w:val="16"/>
                <w:szCs w:val="16"/>
              </w:rPr>
              <w:t xml:space="preserve">Alternative </w:t>
            </w:r>
            <w:r w:rsidR="00F413DA" w:rsidRPr="00EC147A">
              <w:rPr>
                <w:color w:val="auto"/>
                <w:sz w:val="16"/>
                <w:szCs w:val="16"/>
              </w:rPr>
              <w:t xml:space="preserve">radiation </w:t>
            </w:r>
            <w:r w:rsidR="00206DEC" w:rsidRPr="00EC147A">
              <w:rPr>
                <w:color w:val="auto"/>
                <w:sz w:val="16"/>
                <w:szCs w:val="16"/>
              </w:rPr>
              <w:t>treatment days are acceptable i</w:t>
            </w:r>
            <w:r w:rsidR="0075570D" w:rsidRPr="00EC147A">
              <w:rPr>
                <w:color w:val="auto"/>
                <w:sz w:val="16"/>
                <w:szCs w:val="16"/>
              </w:rPr>
              <w:t>n place of Week 1 Day 2.</w:t>
            </w:r>
          </w:p>
        </w:tc>
      </w:tr>
    </w:tbl>
    <w:p w14:paraId="69FB9AF6" w14:textId="77777777" w:rsidR="00DA6359" w:rsidRDefault="00DA6359" w:rsidP="009E246E">
      <w:pPr>
        <w:widowControl/>
        <w:sectPr w:rsidR="00DA6359" w:rsidSect="00DA6359">
          <w:endnotePr>
            <w:numFmt w:val="decimal"/>
          </w:endnotePr>
          <w:pgSz w:w="15840" w:h="12240" w:orient="landscape" w:code="1"/>
          <w:pgMar w:top="1440" w:right="1127" w:bottom="1440" w:left="1440" w:header="720" w:footer="720" w:gutter="0"/>
          <w:cols w:space="720"/>
          <w:noEndnote/>
          <w:docGrid w:linePitch="360"/>
        </w:sectPr>
      </w:pPr>
    </w:p>
    <w:p w14:paraId="5126D638" w14:textId="77777777" w:rsidR="009E246E" w:rsidRPr="007300F3" w:rsidRDefault="009E246E" w:rsidP="00C94562">
      <w:pPr>
        <w:pStyle w:val="Heading1"/>
      </w:pPr>
      <w:bookmarkStart w:id="362" w:name="_Toc318813033"/>
      <w:bookmarkStart w:id="363" w:name="_Toc176419937"/>
      <w:r w:rsidRPr="007300F3">
        <w:lastRenderedPageBreak/>
        <w:t>MEASUREMENT OF EFFECT</w:t>
      </w:r>
      <w:bookmarkEnd w:id="362"/>
      <w:bookmarkEnd w:id="363"/>
    </w:p>
    <w:p w14:paraId="49CEDDDB" w14:textId="77777777" w:rsidR="009E246E" w:rsidRPr="00037C65" w:rsidRDefault="009E246E" w:rsidP="009E246E">
      <w:pPr>
        <w:widowControl/>
      </w:pPr>
    </w:p>
    <w:p w14:paraId="2021F9A5" w14:textId="2A99508B" w:rsidR="009E246E" w:rsidRDefault="002158CE" w:rsidP="009E246E">
      <w:pPr>
        <w:widowControl/>
      </w:pPr>
      <w:r w:rsidRPr="00183403">
        <w:t xml:space="preserve">Although the clinical benefit of this drug has not yet been established, the intent of offering this treatment is to provide a possible therapeutic benefit, and thus the patient will be carefully monitored for tumor response and symptom relief in addition to safety and tolerability. </w:t>
      </w:r>
      <w:r w:rsidR="009E246E" w:rsidRPr="00183403">
        <w:t xml:space="preserve"> </w:t>
      </w:r>
      <w:r w:rsidRPr="00183403">
        <w:t>P</w:t>
      </w:r>
      <w:r w:rsidR="009E246E" w:rsidRPr="00183403">
        <w:t xml:space="preserve">atients with measurable disease will be assessed by standard criteria.  For the purposes of this study, patients should be re-evaluated </w:t>
      </w:r>
      <w:r w:rsidR="009E246E" w:rsidRPr="0047714E">
        <w:rPr>
          <w:color w:val="auto"/>
        </w:rPr>
        <w:t xml:space="preserve">every </w:t>
      </w:r>
      <w:r w:rsidR="0096496A" w:rsidRPr="0047714E">
        <w:rPr>
          <w:iCs/>
          <w:color w:val="auto"/>
        </w:rPr>
        <w:t>12</w:t>
      </w:r>
      <w:r w:rsidR="009E246E" w:rsidRPr="0047714E">
        <w:rPr>
          <w:i/>
          <w:color w:val="auto"/>
        </w:rPr>
        <w:t xml:space="preserve"> </w:t>
      </w:r>
      <w:r w:rsidR="009E246E" w:rsidRPr="0047714E">
        <w:rPr>
          <w:color w:val="auto"/>
        </w:rPr>
        <w:t xml:space="preserve">weeks.  In addition to a baseline scan, confirmatory scans will also be obtained </w:t>
      </w:r>
      <w:r w:rsidR="0096496A" w:rsidRPr="0047714E">
        <w:rPr>
          <w:iCs/>
          <w:color w:val="auto"/>
        </w:rPr>
        <w:t>4</w:t>
      </w:r>
      <w:r w:rsidR="009E246E" w:rsidRPr="0047714E">
        <w:rPr>
          <w:i/>
          <w:color w:val="auto"/>
        </w:rPr>
        <w:t xml:space="preserve"> </w:t>
      </w:r>
      <w:r w:rsidR="009E246E" w:rsidRPr="0047714E">
        <w:rPr>
          <w:color w:val="auto"/>
        </w:rPr>
        <w:t xml:space="preserve">weeks following </w:t>
      </w:r>
      <w:r w:rsidR="009E246E" w:rsidRPr="00183403">
        <w:t>initial documentation of an objective response.</w:t>
      </w:r>
    </w:p>
    <w:p w14:paraId="5272F5AC" w14:textId="77777777" w:rsidR="009E246E" w:rsidRPr="00037C65" w:rsidRDefault="009E246E" w:rsidP="009E246E">
      <w:pPr>
        <w:widowControl/>
      </w:pPr>
    </w:p>
    <w:p w14:paraId="1F47B34F" w14:textId="19E39C9B" w:rsidR="009E246E" w:rsidRPr="00037C65" w:rsidRDefault="009E246E" w:rsidP="00C94562">
      <w:pPr>
        <w:pStyle w:val="Heading2"/>
      </w:pPr>
      <w:bookmarkStart w:id="364" w:name="_Toc318813034"/>
      <w:bookmarkStart w:id="365" w:name="_Toc176419938"/>
      <w:r w:rsidRPr="00037C65">
        <w:t>Antitumor Effect – Solid Tumors</w:t>
      </w:r>
      <w:bookmarkEnd w:id="364"/>
      <w:bookmarkEnd w:id="365"/>
    </w:p>
    <w:p w14:paraId="1CB69FCA" w14:textId="77777777" w:rsidR="009E246E" w:rsidRPr="00037C65" w:rsidRDefault="009E246E" w:rsidP="009E246E">
      <w:pPr>
        <w:numPr>
          <w:ilvl w:val="12"/>
          <w:numId w:val="0"/>
        </w:numPr>
      </w:pPr>
    </w:p>
    <w:p w14:paraId="251CC3CE" w14:textId="1BBCCE34" w:rsidR="009E246E" w:rsidRPr="00037C65" w:rsidRDefault="009E246E" w:rsidP="009E246E">
      <w:pPr>
        <w:numPr>
          <w:ilvl w:val="12"/>
          <w:numId w:val="0"/>
        </w:numPr>
      </w:pPr>
      <w:r w:rsidRPr="00037C65">
        <w:t xml:space="preserve">For the purposes of this study, patients should be re-evaluated for response </w:t>
      </w:r>
      <w:r w:rsidRPr="0047714E">
        <w:rPr>
          <w:color w:val="auto"/>
        </w:rPr>
        <w:t>every</w:t>
      </w:r>
      <w:r w:rsidR="0096496A" w:rsidRPr="0047714E">
        <w:rPr>
          <w:color w:val="auto"/>
        </w:rPr>
        <w:t xml:space="preserve"> </w:t>
      </w:r>
      <w:r w:rsidR="0096496A" w:rsidRPr="0047714E">
        <w:rPr>
          <w:iCs/>
          <w:color w:val="auto"/>
        </w:rPr>
        <w:t>12</w:t>
      </w:r>
      <w:r w:rsidR="0096496A" w:rsidRPr="0047714E">
        <w:rPr>
          <w:i/>
          <w:color w:val="auto"/>
        </w:rPr>
        <w:t xml:space="preserve"> </w:t>
      </w:r>
      <w:r w:rsidR="0096496A" w:rsidRPr="0047714E">
        <w:rPr>
          <w:color w:val="auto"/>
        </w:rPr>
        <w:t>weeks</w:t>
      </w:r>
      <w:r w:rsidRPr="0047714E">
        <w:rPr>
          <w:color w:val="auto"/>
        </w:rPr>
        <w:t>.  In addition to a baseline scan, confirmatory scans should also be obtaine</w:t>
      </w:r>
      <w:r w:rsidR="00932206" w:rsidRPr="0047714E">
        <w:rPr>
          <w:color w:val="auto"/>
        </w:rPr>
        <w:t>d 4</w:t>
      </w:r>
      <w:r w:rsidRPr="0047714E">
        <w:rPr>
          <w:color w:val="auto"/>
        </w:rPr>
        <w:t xml:space="preserve"> weeks following </w:t>
      </w:r>
      <w:r w:rsidRPr="00037C65">
        <w:t>initial documentation of objective response.</w:t>
      </w:r>
    </w:p>
    <w:p w14:paraId="5B906AE2" w14:textId="77777777" w:rsidR="009E246E" w:rsidRPr="00037C65" w:rsidRDefault="009E246E" w:rsidP="009E246E">
      <w:pPr>
        <w:numPr>
          <w:ilvl w:val="12"/>
          <w:numId w:val="0"/>
        </w:numPr>
      </w:pPr>
    </w:p>
    <w:p w14:paraId="4E615105" w14:textId="3F016522" w:rsidR="009E246E" w:rsidRPr="00037C65" w:rsidRDefault="009E246E" w:rsidP="009E246E">
      <w:pPr>
        <w:numPr>
          <w:ilvl w:val="12"/>
          <w:numId w:val="0"/>
        </w:numPr>
      </w:pPr>
      <w:r w:rsidRPr="00037C65">
        <w:t>Response and progression will be evaluated in this study using the new international criteria proposed by the revised Response Evaluation Criteria in Solid Tumors (RECIST) guideline (version 1.1) [</w:t>
      </w:r>
      <w:proofErr w:type="spellStart"/>
      <w:r w:rsidRPr="00037C65">
        <w:rPr>
          <w:i/>
        </w:rPr>
        <w:t>Eur</w:t>
      </w:r>
      <w:proofErr w:type="spellEnd"/>
      <w:r w:rsidRPr="00037C65">
        <w:rPr>
          <w:i/>
        </w:rPr>
        <w:t xml:space="preserve"> J Ca</w:t>
      </w:r>
      <w:r w:rsidRPr="00037C65">
        <w:t xml:space="preserve"> 45:228-247, 2009].  Changes in the largest diameter (unidimensional measurement) of the tumor lesions and the shortest diameter in the case of malignant lymph nodes are used in the RECIST criteria.</w:t>
      </w:r>
    </w:p>
    <w:p w14:paraId="066DFC65" w14:textId="77777777" w:rsidR="009E246E" w:rsidRPr="00037C65" w:rsidRDefault="009E246E" w:rsidP="009E246E">
      <w:pPr>
        <w:numPr>
          <w:ilvl w:val="12"/>
          <w:numId w:val="0"/>
        </w:numPr>
      </w:pPr>
    </w:p>
    <w:p w14:paraId="44785E6C" w14:textId="77777777" w:rsidR="009E246E" w:rsidRPr="00C312CF" w:rsidRDefault="009E246E" w:rsidP="00C312CF">
      <w:pPr>
        <w:pStyle w:val="Level3Heading"/>
        <w:rPr>
          <w:u w:val="single"/>
        </w:rPr>
      </w:pPr>
      <w:r w:rsidRPr="00C312CF">
        <w:rPr>
          <w:u w:val="single"/>
        </w:rPr>
        <w:t>Definitions</w:t>
      </w:r>
    </w:p>
    <w:p w14:paraId="58CB23C2" w14:textId="77777777" w:rsidR="009E246E" w:rsidRPr="00037C65" w:rsidRDefault="009E246E" w:rsidP="009E246E">
      <w:pPr>
        <w:ind w:left="720"/>
      </w:pPr>
    </w:p>
    <w:p w14:paraId="0427B11B" w14:textId="391B9951" w:rsidR="009E246E" w:rsidRPr="00EA0E57" w:rsidRDefault="009E246E" w:rsidP="00426D13">
      <w:r w:rsidRPr="00037C65">
        <w:rPr>
          <w:u w:val="single"/>
        </w:rPr>
        <w:t xml:space="preserve">Evaluable for </w:t>
      </w:r>
      <w:r w:rsidR="000E1231">
        <w:rPr>
          <w:u w:val="single"/>
        </w:rPr>
        <w:t>T</w:t>
      </w:r>
      <w:r w:rsidRPr="00037C65">
        <w:rPr>
          <w:u w:val="single"/>
        </w:rPr>
        <w:t>oxicity</w:t>
      </w:r>
      <w:r w:rsidRPr="005F6A12">
        <w:rPr>
          <w:u w:val="single"/>
        </w:rPr>
        <w:t>.</w:t>
      </w:r>
      <w:r w:rsidRPr="00037C65">
        <w:t xml:space="preserve">  All patients will be evaluable for toxicity from the time of their first </w:t>
      </w:r>
      <w:r w:rsidRPr="00EA0E57">
        <w:t xml:space="preserve">treatment </w:t>
      </w:r>
      <w:r w:rsidRPr="0047714E">
        <w:rPr>
          <w:color w:val="auto"/>
        </w:rPr>
        <w:t>with</w:t>
      </w:r>
      <w:r w:rsidR="00544747" w:rsidRPr="0047714E">
        <w:rPr>
          <w:color w:val="auto"/>
        </w:rPr>
        <w:t xml:space="preserve"> triapine</w:t>
      </w:r>
      <w:r w:rsidRPr="0047714E">
        <w:rPr>
          <w:color w:val="auto"/>
        </w:rPr>
        <w:t>.</w:t>
      </w:r>
    </w:p>
    <w:p w14:paraId="01C2144E" w14:textId="77777777" w:rsidR="009E246E" w:rsidRPr="00037C65" w:rsidRDefault="009E246E" w:rsidP="00426D13"/>
    <w:p w14:paraId="0D91B05B" w14:textId="6A8EE1A4" w:rsidR="009E246E" w:rsidRPr="00037C65" w:rsidRDefault="009E246E" w:rsidP="00426D13">
      <w:r w:rsidRPr="00037C65">
        <w:rPr>
          <w:u w:val="single"/>
        </w:rPr>
        <w:t xml:space="preserve">Evaluable for </w:t>
      </w:r>
      <w:r w:rsidR="000E1231">
        <w:rPr>
          <w:u w:val="single"/>
        </w:rPr>
        <w:t>O</w:t>
      </w:r>
      <w:r w:rsidRPr="00037C65">
        <w:rPr>
          <w:u w:val="single"/>
        </w:rPr>
        <w:t xml:space="preserve">bjective </w:t>
      </w:r>
      <w:r w:rsidR="000E1231">
        <w:rPr>
          <w:u w:val="single"/>
        </w:rPr>
        <w:t>R</w:t>
      </w:r>
      <w:r w:rsidRPr="00037C65">
        <w:rPr>
          <w:u w:val="single"/>
        </w:rPr>
        <w:t>esponse.</w:t>
      </w:r>
      <w:r w:rsidRPr="00037C65">
        <w:t xml:space="preserve">  Only those patients who have measurable disease present at baseline, have </w:t>
      </w:r>
      <w:r w:rsidR="00FC4CAE">
        <w:t>at least 5 fractions of</w:t>
      </w:r>
      <w:r w:rsidR="006B2452">
        <w:t xml:space="preserve"> radiation</w:t>
      </w:r>
      <w:r w:rsidRPr="00037C65">
        <w:t xml:space="preserve"> therapy, and have had their disease re-evaluated will be considered evaluable for response.  These patients will have their response classified according to the definitions stated below.  (Note:  Patients who exhibit objective disease progression prior to the </w:t>
      </w:r>
      <w:r w:rsidR="00120A18" w:rsidRPr="00037C65">
        <w:t>end of</w:t>
      </w:r>
      <w:r w:rsidRPr="00037C65">
        <w:t xml:space="preserve"> </w:t>
      </w:r>
      <w:r w:rsidR="006B2452">
        <w:t>treatment</w:t>
      </w:r>
      <w:r w:rsidRPr="00037C65">
        <w:t xml:space="preserve"> will also be considered evaluable.)</w:t>
      </w:r>
    </w:p>
    <w:p w14:paraId="2927597F" w14:textId="77777777" w:rsidR="009E246E" w:rsidRPr="00037C65" w:rsidRDefault="009E246E" w:rsidP="00426D13"/>
    <w:p w14:paraId="65A11DB9" w14:textId="64A03C6B" w:rsidR="009E246E" w:rsidRPr="00037C65" w:rsidRDefault="009E246E" w:rsidP="00426D13">
      <w:r w:rsidRPr="00037C65">
        <w:rPr>
          <w:u w:val="single"/>
        </w:rPr>
        <w:t>Evaluable Non-Target Disease Response</w:t>
      </w:r>
      <w:r w:rsidRPr="005F6A12">
        <w:rPr>
          <w:u w:val="single"/>
        </w:rPr>
        <w:t>.</w:t>
      </w:r>
      <w:r w:rsidRPr="00037C65">
        <w:t xml:space="preserve">  Patients who have lesions present at baseline that are evaluable but do not meet the definitions of measurable disease, have received at least </w:t>
      </w:r>
      <w:r w:rsidR="00FC4CAE">
        <w:t>5 fractions of radiation</w:t>
      </w:r>
      <w:r w:rsidRPr="00037C65">
        <w:t xml:space="preserve"> therapy, and have had their disease re-evaluated will be considered evaluable for non-target disease.  The response assessment is based on the presence, absence, or unequivocal progression of the lesions. </w:t>
      </w:r>
    </w:p>
    <w:p w14:paraId="70FE3213" w14:textId="77777777" w:rsidR="009E246E" w:rsidRPr="00037C65" w:rsidRDefault="009E246E" w:rsidP="009E246E"/>
    <w:p w14:paraId="62D3E402" w14:textId="77777777" w:rsidR="009E246E" w:rsidRPr="00C312CF" w:rsidRDefault="009E246E" w:rsidP="00C312CF">
      <w:pPr>
        <w:pStyle w:val="Level3Heading"/>
        <w:rPr>
          <w:u w:val="single"/>
        </w:rPr>
      </w:pPr>
      <w:r w:rsidRPr="00C312CF">
        <w:rPr>
          <w:u w:val="single"/>
        </w:rPr>
        <w:t>Disease Parameters</w:t>
      </w:r>
    </w:p>
    <w:p w14:paraId="75DF0A26" w14:textId="77777777" w:rsidR="009E246E" w:rsidRPr="00037C65" w:rsidRDefault="009E246E" w:rsidP="009E246E"/>
    <w:p w14:paraId="08954374" w14:textId="0878E3BC" w:rsidR="009E246E" w:rsidRPr="00037C65" w:rsidRDefault="009E246E" w:rsidP="00426D13">
      <w:r w:rsidRPr="00037C65">
        <w:rPr>
          <w:u w:val="single"/>
        </w:rPr>
        <w:t xml:space="preserve">Measurable </w:t>
      </w:r>
      <w:r w:rsidR="000E1231">
        <w:rPr>
          <w:u w:val="single"/>
        </w:rPr>
        <w:t>D</w:t>
      </w:r>
      <w:r w:rsidRPr="00037C65">
        <w:rPr>
          <w:u w:val="single"/>
        </w:rPr>
        <w:t>isease</w:t>
      </w:r>
      <w:r w:rsidRPr="007A011C">
        <w:rPr>
          <w:u w:val="single"/>
        </w:rPr>
        <w:t>.</w:t>
      </w:r>
      <w:r w:rsidRPr="00037C65">
        <w:t xml:space="preserve">  Measurable lesions are defined </w:t>
      </w:r>
      <w:r w:rsidR="006B451A" w:rsidRPr="00037C65">
        <w:t xml:space="preserve">as </w:t>
      </w:r>
      <w:r w:rsidR="006B451A">
        <w:t>contrast</w:t>
      </w:r>
      <w:r w:rsidR="00372B82">
        <w:t xml:space="preserve">-enhancing or non-contrast enhancing lesions with clearly defined margins by MRI scan, with both perpendicular diameters on a single slice in at least one dimension </w:t>
      </w:r>
      <w:r w:rsidRPr="00037C65">
        <w:t xml:space="preserve">(longest diameter to be recorded) as </w:t>
      </w:r>
      <w:r w:rsidR="00855BA6">
        <w:t xml:space="preserve">at least 10mm (1cm) </w:t>
      </w:r>
      <w:r w:rsidR="00490F0B">
        <w:t xml:space="preserve">visible on at least two or more </w:t>
      </w:r>
      <w:r w:rsidR="00855BA6">
        <w:t>slice</w:t>
      </w:r>
      <w:r w:rsidR="003F7BC1">
        <w:t>s with slice</w:t>
      </w:r>
      <w:r w:rsidR="00855BA6">
        <w:t xml:space="preserve"> thickness &lt; 5mm</w:t>
      </w:r>
      <w:r w:rsidR="003F7BC1">
        <w:t>.</w:t>
      </w:r>
      <w:r w:rsidR="0013773A">
        <w:t xml:space="preserve"> </w:t>
      </w:r>
      <w:r w:rsidR="003F7BC1">
        <w:t xml:space="preserve"> </w:t>
      </w:r>
      <w:r w:rsidR="003E7E17">
        <w:t xml:space="preserve">In the event the MRI is performed with thicker slice thickness, the size of measurable lesion </w:t>
      </w:r>
      <w:r w:rsidR="008E1145">
        <w:t xml:space="preserve">for both perpendicular measurements should be two times the slice thickness and interslice gap. </w:t>
      </w:r>
      <w:r w:rsidR="0013773A">
        <w:t xml:space="preserve"> </w:t>
      </w:r>
      <w:r w:rsidR="001F4BD5">
        <w:t xml:space="preserve">Any cystic or surgical </w:t>
      </w:r>
      <w:r w:rsidR="001F4BD5">
        <w:lastRenderedPageBreak/>
        <w:t>cavity should not be measured in determining therapeutic response</w:t>
      </w:r>
      <w:r w:rsidR="000220D6">
        <w:t xml:space="preserve">. </w:t>
      </w:r>
      <w:r w:rsidR="000A51D5">
        <w:t xml:space="preserve"> </w:t>
      </w:r>
      <w:r w:rsidRPr="00037C65">
        <w:t xml:space="preserve">All tumor measurements must be recorded in </w:t>
      </w:r>
      <w:r w:rsidRPr="00037C65">
        <w:rPr>
          <w:u w:val="single"/>
        </w:rPr>
        <w:t>millimeters</w:t>
      </w:r>
      <w:r w:rsidRPr="00037C65">
        <w:t xml:space="preserve"> (or decimal fractions of centimeters).</w:t>
      </w:r>
    </w:p>
    <w:p w14:paraId="61495F21" w14:textId="77777777" w:rsidR="009E246E" w:rsidRPr="00037C65" w:rsidRDefault="009E246E" w:rsidP="00426D13"/>
    <w:p w14:paraId="56D35259" w14:textId="58999604" w:rsidR="009E246E" w:rsidRPr="00037C65" w:rsidRDefault="009E246E" w:rsidP="00426D13">
      <w:r w:rsidRPr="00037C65">
        <w:t>Note:  Tumor lesions that are situated in a previously irradiated area might be considered measurable.</w:t>
      </w:r>
      <w:r w:rsidR="00652CAF">
        <w:t xml:space="preserve"> </w:t>
      </w:r>
      <w:r w:rsidRPr="00037C65">
        <w:t xml:space="preserve"> </w:t>
      </w:r>
      <w:r w:rsidR="000A51D5">
        <w:t xml:space="preserve">Measurement of tumor around a previously irradiated area </w:t>
      </w:r>
      <w:r w:rsidR="00160F43">
        <w:t>remains</w:t>
      </w:r>
      <w:r w:rsidR="000A51D5">
        <w:t xml:space="preserve"> challenging. </w:t>
      </w:r>
      <w:r w:rsidR="00652CAF">
        <w:t xml:space="preserve"> </w:t>
      </w:r>
      <w:r w:rsidR="009900C4">
        <w:t xml:space="preserve">Solid, contrast-enhancing lesions measuring &gt; 10 x 10mm in diameter can be considered measurable. </w:t>
      </w:r>
    </w:p>
    <w:p w14:paraId="21A21F46" w14:textId="77777777" w:rsidR="009E246E" w:rsidRPr="00037C65" w:rsidRDefault="009E246E" w:rsidP="00426D13"/>
    <w:p w14:paraId="6396801E" w14:textId="11CD6B6E" w:rsidR="009E246E" w:rsidRPr="00037C65" w:rsidRDefault="009E246E" w:rsidP="00426D13">
      <w:r w:rsidRPr="00037C65">
        <w:rPr>
          <w:u w:val="single"/>
        </w:rPr>
        <w:t>Non-</w:t>
      </w:r>
      <w:r w:rsidR="000E1231">
        <w:rPr>
          <w:u w:val="single"/>
        </w:rPr>
        <w:t>M</w:t>
      </w:r>
      <w:r w:rsidRPr="00037C65">
        <w:rPr>
          <w:u w:val="single"/>
        </w:rPr>
        <w:t xml:space="preserve">easurable </w:t>
      </w:r>
      <w:r w:rsidR="000E1231">
        <w:rPr>
          <w:u w:val="single"/>
        </w:rPr>
        <w:t>D</w:t>
      </w:r>
      <w:r w:rsidRPr="00037C65">
        <w:rPr>
          <w:u w:val="single"/>
        </w:rPr>
        <w:t>isease</w:t>
      </w:r>
      <w:r w:rsidRPr="007A011C">
        <w:rPr>
          <w:u w:val="single"/>
        </w:rPr>
        <w:t>.</w:t>
      </w:r>
      <w:r w:rsidRPr="00037C65">
        <w:t xml:space="preserve">  All other lesions, including small lesions (longest diameter &lt;10 mm</w:t>
      </w:r>
      <w:r w:rsidR="008B7739">
        <w:t xml:space="preserve"> [&lt;1 cm]</w:t>
      </w:r>
      <w:r w:rsidRPr="00037C65">
        <w:t>, are considered non-measurable disease.</w:t>
      </w:r>
      <w:r w:rsidR="00652CAF">
        <w:t xml:space="preserve"> </w:t>
      </w:r>
      <w:r w:rsidR="00101204">
        <w:t xml:space="preserve"> Patients without measurable disease, such as those who have undergone a gross total resection, cannot exhibit a response to treatment; therefore, can only achieve stable disease as their best radiologic outcome</w:t>
      </w:r>
      <w:r w:rsidR="00276E71">
        <w:t xml:space="preserve"> assuming treatment is started before there is radiologic evidence of new tumor growth. </w:t>
      </w:r>
      <w:r w:rsidR="00652CAF">
        <w:t xml:space="preserve"> </w:t>
      </w:r>
      <w:r w:rsidR="00E84197">
        <w:t>Therefore, only patients with measurable disea</w:t>
      </w:r>
      <w:r w:rsidR="009F7FBD">
        <w:t>s</w:t>
      </w:r>
      <w:r w:rsidR="00E84197">
        <w:t>e can be included in the assessment of overall response rate, while patients without measurable disease may be included in assessments for other outcomes such as</w:t>
      </w:r>
      <w:r w:rsidR="00C743AB">
        <w:t xml:space="preserve"> toxicity or </w:t>
      </w:r>
      <w:r w:rsidR="00E84197">
        <w:t>time-to-event</w:t>
      </w:r>
      <w:r w:rsidR="00C743AB">
        <w:t xml:space="preserve"> endpoints. </w:t>
      </w:r>
    </w:p>
    <w:p w14:paraId="55903C89" w14:textId="77777777" w:rsidR="009E246E" w:rsidRPr="00037C65" w:rsidRDefault="009E246E" w:rsidP="00426D13"/>
    <w:p w14:paraId="196F3315" w14:textId="6C16F961" w:rsidR="009E246E" w:rsidRPr="00037C65" w:rsidRDefault="009E246E" w:rsidP="00426D13">
      <w:pPr>
        <w:rPr>
          <w:bCs/>
        </w:rPr>
      </w:pPr>
      <w:r w:rsidRPr="00037C65">
        <w:rPr>
          <w:u w:val="single"/>
        </w:rPr>
        <w:t xml:space="preserve">Target </w:t>
      </w:r>
      <w:r w:rsidR="00542654">
        <w:rPr>
          <w:u w:val="single"/>
        </w:rPr>
        <w:t>L</w:t>
      </w:r>
      <w:r w:rsidRPr="00037C65">
        <w:rPr>
          <w:u w:val="single"/>
        </w:rPr>
        <w:t>esions.</w:t>
      </w:r>
      <w:r w:rsidRPr="00037C65">
        <w:t xml:space="preserve">  All measurable lesions up to a maximum of 2 lesions </w:t>
      </w:r>
      <w:r w:rsidR="007217EA">
        <w:t>and no more than 3</w:t>
      </w:r>
      <w:r w:rsidRPr="00037C65">
        <w:t xml:space="preserve"> lesions </w:t>
      </w:r>
      <w:r w:rsidR="00EF7146">
        <w:t>(enhancing or non</w:t>
      </w:r>
      <w:r w:rsidR="00EF7CBF">
        <w:t xml:space="preserve">-enhancing) </w:t>
      </w:r>
      <w:r w:rsidRPr="00037C65">
        <w:t xml:space="preserve">should be identified as </w:t>
      </w:r>
      <w:r w:rsidRPr="00037C65">
        <w:rPr>
          <w:b/>
        </w:rPr>
        <w:t>target lesions</w:t>
      </w:r>
      <w:r w:rsidRPr="00037C65">
        <w:t xml:space="preserve"> and recorded and measured at baseline.</w:t>
      </w:r>
      <w:r w:rsidR="00652CAF">
        <w:t xml:space="preserve"> </w:t>
      </w:r>
      <w:r w:rsidRPr="00037C65">
        <w:t xml:space="preserve"> </w:t>
      </w:r>
      <w:r w:rsidR="00A21BF3">
        <w:t xml:space="preserve">The enhancing lesion(s) can be within a non-enhancing tumor. </w:t>
      </w:r>
      <w:r w:rsidRPr="00037C65">
        <w:t>A sum of the</w:t>
      </w:r>
      <w:r w:rsidR="000A0068">
        <w:t xml:space="preserve"> products of the perpendicular</w:t>
      </w:r>
      <w:r w:rsidRPr="00037C65">
        <w:t xml:space="preserve"> for all target lesions will be calculated and reported as the baseline. </w:t>
      </w:r>
      <w:r w:rsidR="00652CAF">
        <w:t xml:space="preserve"> </w:t>
      </w:r>
      <w:r w:rsidR="005276C2">
        <w:t xml:space="preserve">Generally, the largest enlarging lesion(s) should be selected. </w:t>
      </w:r>
      <w:r w:rsidR="00652CAF">
        <w:t xml:space="preserve"> </w:t>
      </w:r>
      <w:r w:rsidR="00F36AFD">
        <w:t>For patients with multiple lesions, those that are increasing in size should be selected as target lesions, regardless of their relative size.</w:t>
      </w:r>
    </w:p>
    <w:p w14:paraId="5A0761E7" w14:textId="77777777" w:rsidR="009E246E" w:rsidRPr="00037C65" w:rsidRDefault="009E246E" w:rsidP="00426D13">
      <w:pPr>
        <w:rPr>
          <w:u w:val="single"/>
        </w:rPr>
      </w:pPr>
    </w:p>
    <w:p w14:paraId="6843BA60" w14:textId="1BBB4D3E" w:rsidR="009E246E" w:rsidRPr="00037C65" w:rsidRDefault="009E246E" w:rsidP="00426D13">
      <w:r w:rsidRPr="00037C65">
        <w:rPr>
          <w:u w:val="single"/>
        </w:rPr>
        <w:t>Non-</w:t>
      </w:r>
      <w:r w:rsidR="00542654">
        <w:rPr>
          <w:u w:val="single"/>
        </w:rPr>
        <w:t>T</w:t>
      </w:r>
      <w:r w:rsidRPr="00037C65">
        <w:rPr>
          <w:u w:val="single"/>
        </w:rPr>
        <w:t xml:space="preserve">arget </w:t>
      </w:r>
      <w:r w:rsidR="00542654">
        <w:rPr>
          <w:u w:val="single"/>
        </w:rPr>
        <w:t>L</w:t>
      </w:r>
      <w:r w:rsidRPr="00037C65">
        <w:rPr>
          <w:u w:val="single"/>
        </w:rPr>
        <w:t>esions</w:t>
      </w:r>
      <w:r w:rsidRPr="007A011C">
        <w:rPr>
          <w:u w:val="single"/>
        </w:rPr>
        <w:t>.</w:t>
      </w:r>
      <w:r w:rsidRPr="00037C65">
        <w:t xml:space="preserve">  All other lesions (or sites of disease) including any measurable lesions over and above the </w:t>
      </w:r>
      <w:r w:rsidR="00C97148">
        <w:t>3</w:t>
      </w:r>
      <w:r w:rsidR="00C97148" w:rsidRPr="00037C65">
        <w:t xml:space="preserve"> </w:t>
      </w:r>
      <w:r w:rsidRPr="00037C65">
        <w:t xml:space="preserve">target lesions should be identified as </w:t>
      </w:r>
      <w:r w:rsidRPr="00037C65">
        <w:rPr>
          <w:b/>
        </w:rPr>
        <w:t xml:space="preserve">non-target lesions </w:t>
      </w:r>
      <w:r w:rsidRPr="00037C65">
        <w:t xml:space="preserve">and should also be recorded at baseline.  Measurements of these lesions are not required, but the presence, absence, or in rare cases unequivocal progression of each should be noted throughout follow-up. </w:t>
      </w:r>
    </w:p>
    <w:p w14:paraId="0951DE74" w14:textId="77777777" w:rsidR="009E246E" w:rsidRPr="00037C65" w:rsidRDefault="009E246E" w:rsidP="009E246E">
      <w:pPr>
        <w:numPr>
          <w:ilvl w:val="12"/>
          <w:numId w:val="0"/>
        </w:numPr>
        <w:tabs>
          <w:tab w:val="left" w:pos="-1092"/>
          <w:tab w:val="left" w:pos="-732"/>
          <w:tab w:val="left" w:pos="-12"/>
          <w:tab w:val="left" w:pos="720"/>
          <w:tab w:val="num" w:pos="1800"/>
          <w:tab w:val="left" w:pos="2148"/>
          <w:tab w:val="left" w:pos="2868"/>
          <w:tab w:val="left" w:pos="3588"/>
          <w:tab w:val="left" w:pos="4308"/>
          <w:tab w:val="left" w:pos="5028"/>
          <w:tab w:val="left" w:pos="5748"/>
          <w:tab w:val="left" w:pos="6468"/>
          <w:tab w:val="left" w:pos="7188"/>
          <w:tab w:val="left" w:pos="7908"/>
          <w:tab w:val="left" w:pos="8628"/>
          <w:tab w:val="left" w:pos="9348"/>
        </w:tabs>
      </w:pPr>
    </w:p>
    <w:p w14:paraId="24CFB8FF" w14:textId="77777777" w:rsidR="009E246E" w:rsidRPr="0048382A" w:rsidRDefault="009E246E" w:rsidP="00C312CF">
      <w:pPr>
        <w:pStyle w:val="Level3Heading"/>
        <w:rPr>
          <w:u w:val="single"/>
        </w:rPr>
      </w:pPr>
      <w:r w:rsidRPr="0048382A">
        <w:rPr>
          <w:u w:val="single"/>
        </w:rPr>
        <w:t>Methods for Evaluation of Measurable Disease</w:t>
      </w:r>
    </w:p>
    <w:p w14:paraId="4FF8D299" w14:textId="77777777" w:rsidR="009E246E" w:rsidRPr="00BE1160" w:rsidRDefault="009E246E" w:rsidP="00426D13"/>
    <w:p w14:paraId="17B407C2" w14:textId="77777777" w:rsidR="009E246E" w:rsidRPr="00037C65" w:rsidRDefault="009E246E" w:rsidP="00426D13">
      <w:r w:rsidRPr="00037C65">
        <w:t>All measurements should be taken and recorded in metric notation using a ruler or calipers.  All baseline evaluations should be performed as closely as possible to the beginning of treatment and never more than 4 weeks before the beginning of the treatment.</w:t>
      </w:r>
    </w:p>
    <w:p w14:paraId="709A5E96" w14:textId="77777777" w:rsidR="009E246E" w:rsidRPr="00037C65" w:rsidRDefault="009E246E" w:rsidP="00426D13"/>
    <w:p w14:paraId="6D2B9AC6" w14:textId="2770308E" w:rsidR="009E246E" w:rsidRPr="00037C65" w:rsidRDefault="009E246E" w:rsidP="00426D13">
      <w:r w:rsidRPr="00037C65">
        <w:t>The same method of assessment and the same technique should be used to characterize each identified and reported lesion at baseline and during follow-up.</w:t>
      </w:r>
      <w:r w:rsidR="003D4C34">
        <w:t xml:space="preserve"> </w:t>
      </w:r>
      <w:r w:rsidRPr="00037C65">
        <w:t xml:space="preserve"> Imaging-based evaluation is preferred to evaluation by clinical examination unless the lesion(s) being followed cannot be imaged but are assessable by clinical exam.</w:t>
      </w:r>
    </w:p>
    <w:p w14:paraId="0F7C1C64" w14:textId="77777777" w:rsidR="009E246E" w:rsidRPr="00037C65" w:rsidRDefault="009E246E" w:rsidP="0016538D"/>
    <w:p w14:paraId="2759E4CC" w14:textId="77777777" w:rsidR="009E246E" w:rsidRPr="00037C65" w:rsidRDefault="009E246E" w:rsidP="00426D13">
      <w:r w:rsidRPr="00037C65">
        <w:rPr>
          <w:u w:val="single"/>
        </w:rPr>
        <w:t>Conventional CT and MRI</w:t>
      </w:r>
      <w:r w:rsidR="00426D13">
        <w:rPr>
          <w:u w:val="single"/>
        </w:rPr>
        <w:t>.</w:t>
      </w:r>
      <w:r w:rsidRPr="00037C65">
        <w:t xml:space="preserve">  This guideline has defined measurability of lesions on CT scan based on the assumption that CT slice thickness is 5 mm</w:t>
      </w:r>
      <w:r w:rsidR="00143241">
        <w:t xml:space="preserve"> (0.5 cm)</w:t>
      </w:r>
      <w:r w:rsidRPr="00037C65">
        <w:t xml:space="preserve"> or less.  If CT scans have slice thickness greater than 5 mm</w:t>
      </w:r>
      <w:r w:rsidR="008B7739">
        <w:t xml:space="preserve"> (0.5 cm)</w:t>
      </w:r>
      <w:r w:rsidRPr="00037C65">
        <w:t>, the minimum size for a measurable lesion should be twice the slice thickness.  MRI is also acceptable in certain situations (</w:t>
      </w:r>
      <w:r w:rsidRPr="00A105F6">
        <w:rPr>
          <w:i/>
        </w:rPr>
        <w:t>e.g.</w:t>
      </w:r>
      <w:r w:rsidRPr="00037C65">
        <w:t xml:space="preserve"> for body scans).  </w:t>
      </w:r>
    </w:p>
    <w:p w14:paraId="3EAB2FFD" w14:textId="77777777" w:rsidR="009E246E" w:rsidRPr="00037C65" w:rsidRDefault="009E246E" w:rsidP="009E246E">
      <w:pPr>
        <w:ind w:left="720"/>
      </w:pPr>
    </w:p>
    <w:p w14:paraId="485CDA7F" w14:textId="7659172D" w:rsidR="009E246E" w:rsidRPr="00037C65" w:rsidRDefault="009E246E" w:rsidP="00426D13">
      <w:r w:rsidRPr="00037C65">
        <w:lastRenderedPageBreak/>
        <w:t xml:space="preserve">Use of MRI remains a complex issue.  MRI has excellent contrast, spatial, and temporal resolution; however, there are many image acquisition variables involved in MRI, which greatly impact image quality, lesion conspicuity, and measurement.  Furthermore, the availability of MRI is variable globally.  As with CT, if an MRI is performed, the technical specifications of the scanning sequences used should be optimized for the evaluation of the type and site of disease.  Furthermore, as with CT, the modality used at follow-up should be the same as was used at baseline and the lesions should be measured/assessed on the same pulse sequence.  It is beyond the scope of the RECIST guidelines to prescribe specific MRI pulse sequence parameters for all scanners, body parts, and diseases.  Ideally, the same type of scanner should be </w:t>
      </w:r>
      <w:r w:rsidR="00FB4E4C" w:rsidRPr="00037C65">
        <w:t>used,</w:t>
      </w:r>
      <w:r w:rsidRPr="00037C65">
        <w:t xml:space="preserve"> and the image acquisition protocol should be followed as closely as possible to prior scans.  Body</w:t>
      </w:r>
      <w:r>
        <w:t xml:space="preserve"> </w:t>
      </w:r>
      <w:r w:rsidRPr="00037C65">
        <w:t>scans should be performed with breath-hold scanning techniques, if possible.</w:t>
      </w:r>
    </w:p>
    <w:p w14:paraId="34C3F791" w14:textId="77777777" w:rsidR="009E246E" w:rsidRPr="00037C65" w:rsidRDefault="009E246E" w:rsidP="00426D13"/>
    <w:p w14:paraId="5CFD44E0" w14:textId="77777777" w:rsidR="009E246E" w:rsidRPr="00037C65" w:rsidRDefault="009E246E" w:rsidP="00426D13">
      <w:r w:rsidRPr="00037C65">
        <w:rPr>
          <w:u w:val="single"/>
        </w:rPr>
        <w:t>Cytology, Histology</w:t>
      </w:r>
      <w:r w:rsidR="00426D13">
        <w:rPr>
          <w:u w:val="single"/>
        </w:rPr>
        <w:t>.</w:t>
      </w:r>
      <w:r w:rsidRPr="00037C65">
        <w:t xml:space="preserve">  These techniques can be used to differentiate between partial responses (PR) and complete responses (CR) in rare cases (</w:t>
      </w:r>
      <w:r w:rsidRPr="00A105F6">
        <w:rPr>
          <w:i/>
        </w:rPr>
        <w:t>e.g.</w:t>
      </w:r>
      <w:r w:rsidRPr="00037C65">
        <w:t>, residual lesions in tumor types, such as germ cell tumors, where known residual benign tumors can remain).</w:t>
      </w:r>
    </w:p>
    <w:p w14:paraId="7B481EFC" w14:textId="77777777" w:rsidR="009E246E" w:rsidRPr="00037C65" w:rsidRDefault="009E246E" w:rsidP="00426D13"/>
    <w:p w14:paraId="18D9B30B" w14:textId="68649AAA" w:rsidR="009E246E" w:rsidRPr="00037C65" w:rsidRDefault="009E246E" w:rsidP="00426D13">
      <w:r w:rsidRPr="00037C65">
        <w:t>The cytological confirmation of the neoplastic origin that appears or worsens during treatment when the measurable tumor has met criteria for response or stable disease is mandatory to differentiate between response or stable disease (an effusion may be a side effect of the treatment) and progressive disease.</w:t>
      </w:r>
    </w:p>
    <w:p w14:paraId="22C407D8" w14:textId="77777777" w:rsidR="009E246E" w:rsidRPr="00037C65" w:rsidRDefault="009E246E" w:rsidP="00426D13"/>
    <w:p w14:paraId="556DA87C" w14:textId="77777777" w:rsidR="009E246E" w:rsidRPr="0048382A" w:rsidRDefault="009E246E" w:rsidP="00C312CF">
      <w:pPr>
        <w:pStyle w:val="Level3Heading"/>
        <w:rPr>
          <w:u w:val="single"/>
        </w:rPr>
      </w:pPr>
      <w:r w:rsidRPr="0048382A">
        <w:rPr>
          <w:u w:val="single"/>
        </w:rPr>
        <w:t>Response Criteria</w:t>
      </w:r>
    </w:p>
    <w:p w14:paraId="6AE56DAB" w14:textId="77777777" w:rsidR="009E246E" w:rsidRPr="00037C65" w:rsidRDefault="009E246E" w:rsidP="009E246E">
      <w:pPr>
        <w:numPr>
          <w:ilvl w:val="12"/>
          <w:numId w:val="0"/>
        </w:numPr>
        <w:tabs>
          <w:tab w:val="left" w:pos="-1068"/>
          <w:tab w:val="left" w:pos="-720"/>
          <w:tab w:val="left" w:pos="0"/>
          <w:tab w:val="left" w:pos="372"/>
          <w:tab w:val="left" w:pos="720"/>
          <w:tab w:val="left" w:pos="1092"/>
          <w:tab w:val="left" w:pos="1440"/>
          <w:tab w:val="left" w:pos="1812"/>
          <w:tab w:val="left" w:pos="2160"/>
          <w:tab w:val="left" w:pos="2532"/>
          <w:tab w:val="left" w:pos="2880"/>
          <w:tab w:val="left" w:pos="3252"/>
          <w:tab w:val="left" w:pos="3600"/>
          <w:tab w:val="left" w:pos="4320"/>
          <w:tab w:val="left" w:pos="5040"/>
          <w:tab w:val="left" w:pos="5760"/>
          <w:tab w:val="left" w:pos="6480"/>
          <w:tab w:val="left" w:pos="7200"/>
          <w:tab w:val="left" w:pos="7920"/>
          <w:tab w:val="left" w:pos="8640"/>
          <w:tab w:val="left" w:pos="9360"/>
        </w:tabs>
        <w:rPr>
          <w:b/>
        </w:rPr>
      </w:pPr>
    </w:p>
    <w:p w14:paraId="7EAD240A" w14:textId="0E5BA13D" w:rsidR="009E246E" w:rsidRPr="005305EC" w:rsidRDefault="009E246E" w:rsidP="00C312CF">
      <w:pPr>
        <w:pStyle w:val="Level4Heading"/>
      </w:pPr>
      <w:r w:rsidRPr="005305EC">
        <w:t>Evaluation of Target</w:t>
      </w:r>
      <w:r w:rsidR="007B0E1D">
        <w:t xml:space="preserve"> and Non-Target</w:t>
      </w:r>
      <w:r w:rsidRPr="005305EC">
        <w:t xml:space="preserve"> Lesions</w:t>
      </w:r>
    </w:p>
    <w:p w14:paraId="534C9BA0" w14:textId="77777777" w:rsidR="009E246E" w:rsidRPr="00037C65" w:rsidRDefault="009E246E" w:rsidP="00426D13"/>
    <w:p w14:paraId="3CFB3D0A" w14:textId="2C3AF83F" w:rsidR="009E246E" w:rsidRPr="00037C65" w:rsidRDefault="009E246E" w:rsidP="00426D13">
      <w:r w:rsidRPr="00037C65">
        <w:rPr>
          <w:u w:val="single"/>
        </w:rPr>
        <w:t>Complete Response (CR)</w:t>
      </w:r>
      <w:r>
        <w:t xml:space="preserve">:  </w:t>
      </w:r>
      <w:r w:rsidRPr="00037C65">
        <w:t xml:space="preserve">Disappearance of all </w:t>
      </w:r>
      <w:r w:rsidR="0010310A">
        <w:t>measurable</w:t>
      </w:r>
      <w:r w:rsidR="00A750FE">
        <w:t xml:space="preserve">, non-measurable, </w:t>
      </w:r>
      <w:r w:rsidR="00557CB3">
        <w:t xml:space="preserve">and non-target disease for at least 4 weeks, no new lesions, </w:t>
      </w:r>
      <w:r w:rsidR="002D2531">
        <w:t xml:space="preserve">patients are off corticosteroids (or on physiologic replacement doses only), and patients are clinically stable or improving. </w:t>
      </w:r>
    </w:p>
    <w:p w14:paraId="0D618266" w14:textId="77777777" w:rsidR="009E246E" w:rsidRPr="00037C65" w:rsidRDefault="009E246E" w:rsidP="00426D13"/>
    <w:p w14:paraId="70D44DC1" w14:textId="24A0CED1" w:rsidR="009E246E" w:rsidRPr="00037C65" w:rsidRDefault="009E246E" w:rsidP="00426D13">
      <w:r w:rsidRPr="00037C65">
        <w:rPr>
          <w:u w:val="single"/>
        </w:rPr>
        <w:t>Partial Response (PR)</w:t>
      </w:r>
      <w:r>
        <w:t xml:space="preserve">:  </w:t>
      </w:r>
      <w:r w:rsidRPr="00037C65">
        <w:t xml:space="preserve">At least a </w:t>
      </w:r>
      <w:r w:rsidR="00871E7E">
        <w:t>5</w:t>
      </w:r>
      <w:r w:rsidR="00871E7E" w:rsidRPr="00037C65">
        <w:t>0</w:t>
      </w:r>
      <w:r w:rsidRPr="00037C65">
        <w:t>% decrease in the sum of</w:t>
      </w:r>
      <w:r w:rsidR="002816A0">
        <w:t xml:space="preserve"> products</w:t>
      </w:r>
      <w:r w:rsidR="0033576D">
        <w:t xml:space="preserve"> of</w:t>
      </w:r>
      <w:r w:rsidRPr="00037C65">
        <w:t xml:space="preserve"> </w:t>
      </w:r>
      <w:r w:rsidR="0033576D">
        <w:t>perpendicular</w:t>
      </w:r>
      <w:r w:rsidRPr="00037C65">
        <w:t xml:space="preserve"> diameters </w:t>
      </w:r>
      <w:r w:rsidR="00871E7E">
        <w:t xml:space="preserve">(or ≥ 65% decrease in total volume) </w:t>
      </w:r>
      <w:r w:rsidRPr="00037C65">
        <w:t xml:space="preserve">of </w:t>
      </w:r>
      <w:r w:rsidR="00244B73">
        <w:t>measurable target</w:t>
      </w:r>
      <w:r w:rsidR="00244B73" w:rsidRPr="00037C65">
        <w:t xml:space="preserve"> </w:t>
      </w:r>
      <w:r w:rsidRPr="00037C65">
        <w:t>lesions, taking as reference the baseline sum diameters.</w:t>
      </w:r>
      <w:r w:rsidR="00244B73">
        <w:t xml:space="preserve"> </w:t>
      </w:r>
      <w:r w:rsidR="00030A3A">
        <w:t xml:space="preserve"> </w:t>
      </w:r>
      <w:r w:rsidR="00244B73">
        <w:t xml:space="preserve">Sustained for at least 4 weeks. </w:t>
      </w:r>
      <w:r w:rsidR="00030A3A">
        <w:t xml:space="preserve"> </w:t>
      </w:r>
      <w:r w:rsidR="00B0323F">
        <w:t xml:space="preserve">There are no new lesions, no progression of non-measurable enhancing or non-target lesions, </w:t>
      </w:r>
      <w:r w:rsidR="00D6479D">
        <w:t xml:space="preserve">patients are off corticosteroids (or on physiologic replacement doses only), and patients are clinically stable or improving. </w:t>
      </w:r>
    </w:p>
    <w:p w14:paraId="1BB7E8FD" w14:textId="77777777" w:rsidR="009E246E" w:rsidRPr="00037C65" w:rsidRDefault="009E246E" w:rsidP="00426D13"/>
    <w:p w14:paraId="7971FFC2" w14:textId="33F57921" w:rsidR="009E246E" w:rsidRDefault="009E246E" w:rsidP="00426D13">
      <w:r w:rsidRPr="00037C65">
        <w:rPr>
          <w:u w:val="single"/>
        </w:rPr>
        <w:t>Progressive Disease (PD)</w:t>
      </w:r>
      <w:r>
        <w:t xml:space="preserve">:  </w:t>
      </w:r>
      <w:r w:rsidRPr="00037C65">
        <w:t xml:space="preserve">At least a </w:t>
      </w:r>
      <w:r w:rsidR="003456EE" w:rsidRPr="00037C65">
        <w:t>2</w:t>
      </w:r>
      <w:r w:rsidR="003456EE">
        <w:t>5</w:t>
      </w:r>
      <w:r w:rsidRPr="00037C65">
        <w:t>% increase in the sum of</w:t>
      </w:r>
      <w:r w:rsidR="00FD56F5">
        <w:t xml:space="preserve"> products of</w:t>
      </w:r>
      <w:r w:rsidRPr="00037C65">
        <w:t xml:space="preserve"> </w:t>
      </w:r>
      <w:r w:rsidR="00FD56F5">
        <w:t xml:space="preserve">perpendicular </w:t>
      </w:r>
      <w:r w:rsidRPr="00037C65">
        <w:t xml:space="preserve">diameters of </w:t>
      </w:r>
      <w:r w:rsidR="00812D06">
        <w:t xml:space="preserve">all measurable </w:t>
      </w:r>
      <w:r w:rsidRPr="00037C65">
        <w:t>target lesions, taking as reference the smallest sum on study (this includes the baseline sum if that is the smallest on study).  In addition</w:t>
      </w:r>
      <w:r w:rsidR="00865051">
        <w:t xml:space="preserve">, </w:t>
      </w:r>
      <w:r w:rsidR="008F08E4">
        <w:t xml:space="preserve">a </w:t>
      </w:r>
      <w:r w:rsidR="008F08E4" w:rsidRPr="00037C65">
        <w:t>relative</w:t>
      </w:r>
      <w:r w:rsidRPr="00037C65">
        <w:t xml:space="preserve"> increase of </w:t>
      </w:r>
      <w:r w:rsidR="00414146">
        <w:t>≥</w:t>
      </w:r>
      <w:r w:rsidR="003456EE">
        <w:t>4</w:t>
      </w:r>
      <w:r w:rsidR="003456EE" w:rsidRPr="00037C65">
        <w:t>0</w:t>
      </w:r>
      <w:r w:rsidRPr="00037C65">
        <w:t>%</w:t>
      </w:r>
      <w:r w:rsidR="003456EE">
        <w:t xml:space="preserve"> in total volume of target lesions</w:t>
      </w:r>
      <w:r w:rsidR="00865051">
        <w:t xml:space="preserve"> is considered PD.</w:t>
      </w:r>
      <w:r w:rsidRPr="00037C65">
        <w:t xml:space="preserve"> </w:t>
      </w:r>
      <w:r w:rsidR="00030A3A">
        <w:t xml:space="preserve"> </w:t>
      </w:r>
      <w:r w:rsidR="00120C9C">
        <w:t>T</w:t>
      </w:r>
      <w:r w:rsidRPr="00037C65">
        <w:t>he appearance of one or more new lesions</w:t>
      </w:r>
      <w:r w:rsidR="009B5DC1">
        <w:t>, leptomeningeal disease, clear progression of non-measurable lesions</w:t>
      </w:r>
      <w:r w:rsidR="00120C9C">
        <w:t xml:space="preserve">, unequivocal progression of existing non-target lesions, </w:t>
      </w:r>
      <w:r w:rsidR="008C78FD">
        <w:t>definite clinical deterioration not attributable to decrease in corticosteroid dose or other causes apart from the tumor, or failure to return for evaluation as a result of death or deteriorating condition</w:t>
      </w:r>
      <w:r w:rsidRPr="00037C65">
        <w:t xml:space="preserve"> is also considered </w:t>
      </w:r>
      <w:r w:rsidR="0017356B">
        <w:t xml:space="preserve">disease </w:t>
      </w:r>
      <w:r w:rsidRPr="00037C65">
        <w:t>progression</w:t>
      </w:r>
      <w:r w:rsidR="0017356B">
        <w:t xml:space="preserve"> (unless caused by documented non-related disorders</w:t>
      </w:r>
      <w:r w:rsidR="00AD5327">
        <w:t>)</w:t>
      </w:r>
      <w:r w:rsidRPr="00037C65">
        <w:t>.</w:t>
      </w:r>
    </w:p>
    <w:p w14:paraId="326A9D0A" w14:textId="77777777" w:rsidR="007B0E1D" w:rsidRDefault="007B0E1D" w:rsidP="00426D13"/>
    <w:p w14:paraId="62F7F446" w14:textId="6B34A746" w:rsidR="007B0E1D" w:rsidRPr="00037C65" w:rsidRDefault="007B0E1D" w:rsidP="00426D13">
      <w:r>
        <w:t xml:space="preserve">If </w:t>
      </w:r>
      <w:r w:rsidR="005451F1">
        <w:t xml:space="preserve">confirmation scans are required for disease progression, then at least 2 sequential scans </w:t>
      </w:r>
      <w:r w:rsidR="005451F1">
        <w:lastRenderedPageBreak/>
        <w:t xml:space="preserve">separated by ≥ 4 weeks </w:t>
      </w:r>
      <w:r w:rsidR="0042317C">
        <w:t xml:space="preserve">both exhibiting ≥ 25% increase in sum of </w:t>
      </w:r>
      <w:r w:rsidR="0091230D">
        <w:t xml:space="preserve">products of </w:t>
      </w:r>
      <w:r w:rsidR="0042317C">
        <w:t>the diameters of target lesions</w:t>
      </w:r>
      <w:r w:rsidR="00AD7C0F">
        <w:t xml:space="preserve"> (or ≥ 40% increase in total volume) compared to the most recent previous scan will be required. </w:t>
      </w:r>
      <w:r w:rsidR="00030A3A">
        <w:t xml:space="preserve"> </w:t>
      </w:r>
      <w:r w:rsidR="00AD7C0F">
        <w:t>I</w:t>
      </w:r>
      <w:r w:rsidR="00030A3A">
        <w:t>f</w:t>
      </w:r>
      <w:r w:rsidR="00AD7C0F">
        <w:t xml:space="preserve"> the second scan at least 4 weeks later exhibits SD or PR/CR, the previous scan showing preliminary PD is noted as pseudo</w:t>
      </w:r>
      <w:r w:rsidR="00CC18DE">
        <w:t>-</w:t>
      </w:r>
      <w:r w:rsidR="00AD7C0F">
        <w:t xml:space="preserve">progression. </w:t>
      </w:r>
    </w:p>
    <w:p w14:paraId="256DAB1E" w14:textId="77777777" w:rsidR="009E246E" w:rsidRPr="00037C65" w:rsidRDefault="009E246E" w:rsidP="00426D13"/>
    <w:p w14:paraId="7B4A5844" w14:textId="77777777" w:rsidR="009E246E" w:rsidRPr="00037C65" w:rsidRDefault="009E246E" w:rsidP="00426D13">
      <w:r w:rsidRPr="00037C65">
        <w:rPr>
          <w:u w:val="single"/>
        </w:rPr>
        <w:t>Stable Disease (SD)</w:t>
      </w:r>
      <w:r>
        <w:t xml:space="preserve">:  </w:t>
      </w:r>
      <w:r w:rsidRPr="00037C65">
        <w:t>Neither sufficient shrinkage to qualify for PR nor sufficient increase to qualify for PD, taking as reference the smallest sum diameters while on study.</w:t>
      </w:r>
    </w:p>
    <w:p w14:paraId="69F17157" w14:textId="77777777" w:rsidR="009E246E" w:rsidRPr="00037C65" w:rsidRDefault="009E246E" w:rsidP="009E246E">
      <w:pPr>
        <w:numPr>
          <w:ilvl w:val="12"/>
          <w:numId w:val="0"/>
        </w:numPr>
      </w:pPr>
    </w:p>
    <w:p w14:paraId="6E96075F" w14:textId="77777777" w:rsidR="009E246E" w:rsidRPr="005305EC" w:rsidRDefault="009E246E" w:rsidP="00C312CF">
      <w:pPr>
        <w:pStyle w:val="Level4Heading"/>
      </w:pPr>
      <w:r w:rsidRPr="005305EC">
        <w:t>Evaluation of Best Overall Response</w:t>
      </w:r>
    </w:p>
    <w:p w14:paraId="0CA5BD27" w14:textId="77777777" w:rsidR="009E246E" w:rsidRPr="00037C65" w:rsidRDefault="009E246E" w:rsidP="00426D13"/>
    <w:p w14:paraId="4D563B89" w14:textId="109D4260" w:rsidR="009E246E" w:rsidRPr="00037C65" w:rsidRDefault="009E246E" w:rsidP="00426D13">
      <w:r w:rsidRPr="00037C65">
        <w:t>The best overall response is the best response recorded from the start of the treatment until disease progression/recurrence (taking as reference for progressive disease the smallest measurements recorded since the treatment started).  The patient's best response assignment will depend on the achievement of both measurement and confirmation criteria.</w:t>
      </w:r>
      <w:r w:rsidR="0039182F">
        <w:t xml:space="preserve"> </w:t>
      </w:r>
      <w:r w:rsidR="006D1DDD">
        <w:t xml:space="preserve"> </w:t>
      </w:r>
      <w:r w:rsidR="001C1158">
        <w:t xml:space="preserve">Please refer to </w:t>
      </w:r>
      <w:hyperlink w:anchor="_APPENDIX_E_RANO" w:history="1">
        <w:r w:rsidR="001C1158" w:rsidRPr="00DB0596">
          <w:rPr>
            <w:rStyle w:val="Hyperlink"/>
          </w:rPr>
          <w:t xml:space="preserve">Appendix </w:t>
        </w:r>
        <w:r w:rsidR="00CC18DE" w:rsidRPr="00DB0596">
          <w:rPr>
            <w:rStyle w:val="Hyperlink"/>
          </w:rPr>
          <w:t>E</w:t>
        </w:r>
      </w:hyperlink>
      <w:r w:rsidR="00CC18DE">
        <w:t>.</w:t>
      </w:r>
    </w:p>
    <w:p w14:paraId="5A762671" w14:textId="77777777" w:rsidR="009E246E" w:rsidRPr="00037C65" w:rsidRDefault="009E246E" w:rsidP="009E246E">
      <w:pPr>
        <w:numPr>
          <w:ilvl w:val="12"/>
          <w:numId w:val="0"/>
        </w:numPr>
        <w:tabs>
          <w:tab w:val="left" w:pos="-1068"/>
          <w:tab w:val="left" w:pos="-720"/>
          <w:tab w:val="left" w:pos="0"/>
          <w:tab w:val="left" w:pos="372"/>
          <w:tab w:val="left" w:pos="720"/>
          <w:tab w:val="left" w:pos="1092"/>
          <w:tab w:val="left" w:pos="1812"/>
          <w:tab w:val="left" w:pos="2160"/>
          <w:tab w:val="left" w:pos="2532"/>
          <w:tab w:val="left" w:pos="2880"/>
          <w:tab w:val="left" w:pos="3252"/>
          <w:tab w:val="left" w:pos="3600"/>
          <w:tab w:val="left" w:pos="3972"/>
          <w:tab w:val="left" w:pos="4320"/>
          <w:tab w:val="left" w:pos="4692"/>
          <w:tab w:val="left" w:pos="5040"/>
          <w:tab w:val="left" w:pos="5760"/>
          <w:tab w:val="left" w:pos="6480"/>
          <w:tab w:val="left" w:pos="7200"/>
          <w:tab w:val="left" w:pos="7920"/>
          <w:tab w:val="left" w:pos="8640"/>
          <w:tab w:val="left" w:pos="9360"/>
        </w:tabs>
      </w:pPr>
    </w:p>
    <w:p w14:paraId="01AD9AB7" w14:textId="77777777" w:rsidR="009E246E" w:rsidRPr="0048382A" w:rsidRDefault="009E246E" w:rsidP="00C312CF">
      <w:pPr>
        <w:pStyle w:val="Level3Heading"/>
        <w:rPr>
          <w:u w:val="single"/>
        </w:rPr>
      </w:pPr>
      <w:r w:rsidRPr="0048382A">
        <w:rPr>
          <w:u w:val="single"/>
        </w:rPr>
        <w:t>Duration of Response</w:t>
      </w:r>
    </w:p>
    <w:p w14:paraId="7C1513E7" w14:textId="77777777" w:rsidR="009E246E" w:rsidRPr="00037C65" w:rsidRDefault="009E246E" w:rsidP="00426D13"/>
    <w:p w14:paraId="4FA97251" w14:textId="77777777" w:rsidR="009E246E" w:rsidRPr="00037C65" w:rsidRDefault="009E246E" w:rsidP="00426D13">
      <w:r w:rsidRPr="00037C65">
        <w:rPr>
          <w:u w:val="single"/>
        </w:rPr>
        <w:t>Duration of overall response</w:t>
      </w:r>
      <w:r w:rsidRPr="00037C65">
        <w:t>:  The duration of overall response is measured from the time measurement criteria are met for CR or PR (whichever is first recorded) until the first date that recurrent or progressive disease is objectively documented (taking as reference for progressive disease the smallest measurements recorded since the treatment started).</w:t>
      </w:r>
    </w:p>
    <w:p w14:paraId="32935F79" w14:textId="77777777" w:rsidR="009E246E" w:rsidRPr="00037C65" w:rsidRDefault="009E246E" w:rsidP="00426D13"/>
    <w:p w14:paraId="5AC27AD3" w14:textId="77777777" w:rsidR="009E246E" w:rsidRPr="00037C65" w:rsidRDefault="009E246E" w:rsidP="00426D13">
      <w:r w:rsidRPr="00037C65">
        <w:t>The duration of overall CR is measured from the time measurement criteria are first met for CR until the first date that progressive disease is objectively documented.</w:t>
      </w:r>
      <w:r w:rsidRPr="00037C65">
        <w:rPr>
          <w:b/>
        </w:rPr>
        <w:tab/>
      </w:r>
    </w:p>
    <w:p w14:paraId="71EED0A2" w14:textId="77777777" w:rsidR="009E246E" w:rsidRPr="00037C65" w:rsidRDefault="009E246E" w:rsidP="00426D13"/>
    <w:p w14:paraId="71C6CAD6" w14:textId="77777777" w:rsidR="009E246E" w:rsidRPr="00037C65" w:rsidRDefault="009E246E" w:rsidP="00426D13">
      <w:r w:rsidRPr="00037C65">
        <w:rPr>
          <w:u w:val="single"/>
        </w:rPr>
        <w:t>Duration of stable disease</w:t>
      </w:r>
      <w:r w:rsidRPr="00037C65">
        <w:t xml:space="preserve">:  Stable disease is measured from the start of the treatment until the criteria for progression are met, taking as reference the smallest measurements recorded since the treatment started, including the baseline measurements. </w:t>
      </w:r>
    </w:p>
    <w:p w14:paraId="72607AD6" w14:textId="77777777" w:rsidR="009E246E" w:rsidRPr="00037C65" w:rsidRDefault="009E246E" w:rsidP="00426D13"/>
    <w:p w14:paraId="7A5550C2" w14:textId="220B9572" w:rsidR="009E246E" w:rsidRPr="0048382A" w:rsidRDefault="009E246E" w:rsidP="00C312CF">
      <w:pPr>
        <w:pStyle w:val="Level3Heading"/>
        <w:rPr>
          <w:b/>
          <w:u w:val="single"/>
        </w:rPr>
      </w:pPr>
      <w:r w:rsidRPr="0048382A">
        <w:rPr>
          <w:u w:val="single"/>
        </w:rPr>
        <w:t>Progression-Free Survival</w:t>
      </w:r>
      <w:r w:rsidR="000C6E71">
        <w:rPr>
          <w:u w:val="single"/>
        </w:rPr>
        <w:t xml:space="preserve"> (PFS)</w:t>
      </w:r>
    </w:p>
    <w:p w14:paraId="36082DC5" w14:textId="77777777" w:rsidR="009E246E" w:rsidRPr="00037C65" w:rsidRDefault="009E246E" w:rsidP="00426D13"/>
    <w:p w14:paraId="72D0ABD1" w14:textId="4844ABBE" w:rsidR="009E246E" w:rsidRPr="00C36E10" w:rsidRDefault="009E246E" w:rsidP="00426D13">
      <w:pPr>
        <w:rPr>
          <w:iCs/>
        </w:rPr>
      </w:pPr>
      <w:r w:rsidRPr="002F22BC">
        <w:rPr>
          <w:iCs/>
        </w:rPr>
        <w:t>PFS is defined as the duration of time from start of treatment to time of progression or death, whichever occurs first.</w:t>
      </w:r>
    </w:p>
    <w:p w14:paraId="4A5C552E" w14:textId="77777777" w:rsidR="009E246E" w:rsidRDefault="009E246E" w:rsidP="00426D13"/>
    <w:p w14:paraId="0D1B3BA2" w14:textId="345C5270" w:rsidR="00470101" w:rsidRPr="00610BAC" w:rsidRDefault="00470101" w:rsidP="00470101">
      <w:pPr>
        <w:pStyle w:val="Level3Heading"/>
        <w:rPr>
          <w:u w:val="single"/>
        </w:rPr>
      </w:pPr>
      <w:r w:rsidRPr="00610BAC">
        <w:rPr>
          <w:u w:val="single"/>
        </w:rPr>
        <w:t>Overall Survival</w:t>
      </w:r>
      <w:r w:rsidR="00610BAC" w:rsidRPr="00610BAC">
        <w:rPr>
          <w:u w:val="single"/>
        </w:rPr>
        <w:t xml:space="preserve"> (OS)</w:t>
      </w:r>
    </w:p>
    <w:p w14:paraId="167EC94C" w14:textId="77777777" w:rsidR="00470101" w:rsidRDefault="00470101" w:rsidP="00426D13"/>
    <w:p w14:paraId="144C4338" w14:textId="559D4C41" w:rsidR="00610BAC" w:rsidRPr="00037C65" w:rsidRDefault="00610BAC" w:rsidP="00426D13">
      <w:r>
        <w:rPr>
          <w:iCs/>
        </w:rPr>
        <w:t>OS is defined as the duration of time from start of treatment to time of death.</w:t>
      </w:r>
    </w:p>
    <w:p w14:paraId="7526BCFA" w14:textId="77777777" w:rsidR="009E246E" w:rsidRPr="00037C65" w:rsidRDefault="009E246E" w:rsidP="009E246E">
      <w:pPr>
        <w:suppressAutoHyphens/>
        <w:rPr>
          <w:i/>
        </w:rPr>
      </w:pPr>
    </w:p>
    <w:p w14:paraId="6A2CCBF0" w14:textId="77777777" w:rsidR="009E246E" w:rsidRPr="007300F3" w:rsidRDefault="004E347B" w:rsidP="00C94562">
      <w:pPr>
        <w:pStyle w:val="Heading1"/>
      </w:pPr>
      <w:bookmarkStart w:id="366" w:name="_Toc318813037"/>
      <w:bookmarkStart w:id="367" w:name="_Toc176419939"/>
      <w:r>
        <w:t>STUDY OVERSIGHT AND</w:t>
      </w:r>
      <w:r w:rsidR="004F49B7" w:rsidRPr="00FA6C21">
        <w:t xml:space="preserve"> </w:t>
      </w:r>
      <w:r w:rsidR="009E246E" w:rsidRPr="007300F3">
        <w:t>DATA REPORTING / REGULATORY REQUIREMENTS</w:t>
      </w:r>
      <w:bookmarkEnd w:id="366"/>
      <w:bookmarkEnd w:id="367"/>
    </w:p>
    <w:p w14:paraId="53989F9C" w14:textId="77777777" w:rsidR="009E246E" w:rsidRPr="007300F3" w:rsidRDefault="009E246E" w:rsidP="009E246E">
      <w:pPr>
        <w:suppressAutoHyphens/>
      </w:pPr>
    </w:p>
    <w:p w14:paraId="21301351" w14:textId="77777777" w:rsidR="009E246E" w:rsidRDefault="009E246E" w:rsidP="009E246E">
      <w:pPr>
        <w:rPr>
          <w:bCs/>
        </w:rPr>
      </w:pPr>
      <w:r w:rsidRPr="007300F3">
        <w:rPr>
          <w:bCs/>
        </w:rPr>
        <w:t xml:space="preserve">Adverse event lists, guidelines, and instructions for AE reporting can be found in Section </w:t>
      </w:r>
      <w:r w:rsidR="000154BD">
        <w:rPr>
          <w:bCs/>
        </w:rPr>
        <w:t>10</w:t>
      </w:r>
      <w:r w:rsidRPr="007300F3">
        <w:rPr>
          <w:bCs/>
        </w:rPr>
        <w:t xml:space="preserve"> (Adverse Events: List and Reporting Requirements).</w:t>
      </w:r>
    </w:p>
    <w:p w14:paraId="4C61D6A1" w14:textId="77777777" w:rsidR="004F49B7" w:rsidRDefault="004F49B7" w:rsidP="009E246E">
      <w:pPr>
        <w:rPr>
          <w:bCs/>
        </w:rPr>
      </w:pPr>
    </w:p>
    <w:p w14:paraId="6073ADE9" w14:textId="77777777" w:rsidR="004F49B7" w:rsidRPr="00E976C4" w:rsidRDefault="00994CA6" w:rsidP="00C94562">
      <w:pPr>
        <w:pStyle w:val="Heading2"/>
      </w:pPr>
      <w:bookmarkStart w:id="368" w:name="_Toc176419940"/>
      <w:r w:rsidRPr="00E976C4">
        <w:lastRenderedPageBreak/>
        <w:t>Study Oversight</w:t>
      </w:r>
      <w:bookmarkEnd w:id="368"/>
    </w:p>
    <w:p w14:paraId="41218B2C" w14:textId="77777777" w:rsidR="00E976C4" w:rsidRPr="00E976C4" w:rsidRDefault="00E976C4" w:rsidP="009E246E">
      <w:pPr>
        <w:rPr>
          <w:bCs/>
        </w:rPr>
      </w:pPr>
    </w:p>
    <w:p w14:paraId="3EE4E343" w14:textId="77777777" w:rsidR="00FF06F0" w:rsidRPr="00E976C4" w:rsidRDefault="00994CA6" w:rsidP="009E246E">
      <w:pPr>
        <w:rPr>
          <w:bCs/>
        </w:rPr>
      </w:pPr>
      <w:bookmarkStart w:id="369" w:name="_Hlk502772738"/>
      <w:r w:rsidRPr="00E976C4">
        <w:rPr>
          <w:bCs/>
        </w:rPr>
        <w:t xml:space="preserve">This protocol is monitored at several levels, as described in this section.  </w:t>
      </w:r>
      <w:r w:rsidR="008E30AC" w:rsidRPr="00E976C4">
        <w:rPr>
          <w:bCs/>
        </w:rPr>
        <w:t xml:space="preserve">The Protocol Principal Investigator is responsible for monitoring the conduct and progress of the clinical trial, including the ongoing review of accrual, </w:t>
      </w:r>
      <w:r w:rsidR="00F62E90" w:rsidRPr="00F62E90">
        <w:rPr>
          <w:bCs/>
        </w:rPr>
        <w:t>patient-specific clinical and laboratory data</w:t>
      </w:r>
      <w:r w:rsidR="00F62E90">
        <w:rPr>
          <w:bCs/>
        </w:rPr>
        <w:t>,</w:t>
      </w:r>
      <w:r w:rsidR="00F62E90" w:rsidRPr="00F62E90">
        <w:rPr>
          <w:bCs/>
        </w:rPr>
        <w:t xml:space="preserve"> and ro</w:t>
      </w:r>
      <w:r w:rsidR="00F62E90">
        <w:rPr>
          <w:bCs/>
        </w:rPr>
        <w:t>utine and serious</w:t>
      </w:r>
      <w:r w:rsidR="008E30AC" w:rsidRPr="00E976C4">
        <w:rPr>
          <w:bCs/>
        </w:rPr>
        <w:t xml:space="preserve"> adverse events</w:t>
      </w:r>
      <w:r w:rsidR="00130327">
        <w:rPr>
          <w:bCs/>
        </w:rPr>
        <w:t>;</w:t>
      </w:r>
      <w:r w:rsidR="008E30AC" w:rsidRPr="00E976C4">
        <w:rPr>
          <w:bCs/>
        </w:rPr>
        <w:t xml:space="preserve"> </w:t>
      </w:r>
      <w:r w:rsidR="00130327">
        <w:rPr>
          <w:bCs/>
        </w:rPr>
        <w:t>reporting of expedited adverse events;</w:t>
      </w:r>
      <w:r w:rsidR="008E30AC" w:rsidRPr="00E976C4">
        <w:rPr>
          <w:bCs/>
        </w:rPr>
        <w:t xml:space="preserve"> </w:t>
      </w:r>
      <w:r w:rsidR="00130327">
        <w:rPr>
          <w:bCs/>
        </w:rPr>
        <w:t xml:space="preserve">and </w:t>
      </w:r>
      <w:r w:rsidR="008E30AC" w:rsidRPr="00E976C4">
        <w:rPr>
          <w:bCs/>
        </w:rPr>
        <w:t xml:space="preserve">accumulation of reported adverse events from other trials testing the same drug(s).  </w:t>
      </w:r>
      <w:r w:rsidRPr="00E976C4">
        <w:rPr>
          <w:bCs/>
        </w:rPr>
        <w:t>The Protocol Principal Investigator and statistician ha</w:t>
      </w:r>
      <w:r w:rsidR="00F62E90">
        <w:rPr>
          <w:bCs/>
        </w:rPr>
        <w:t>ve</w:t>
      </w:r>
      <w:r w:rsidRPr="00E976C4">
        <w:rPr>
          <w:bCs/>
        </w:rPr>
        <w:t xml:space="preserve"> access to the data at all times through the CTMS </w:t>
      </w:r>
      <w:r w:rsidR="008E30AC" w:rsidRPr="00E976C4">
        <w:rPr>
          <w:bCs/>
        </w:rPr>
        <w:t xml:space="preserve">web-based reporting portal.  </w:t>
      </w:r>
    </w:p>
    <w:p w14:paraId="6DEF57BB" w14:textId="77777777" w:rsidR="00FF06F0" w:rsidRPr="00E976C4" w:rsidRDefault="00FF06F0" w:rsidP="009E246E">
      <w:pPr>
        <w:rPr>
          <w:bCs/>
        </w:rPr>
      </w:pPr>
    </w:p>
    <w:p w14:paraId="12058B56" w14:textId="3ED33015" w:rsidR="00F43C66" w:rsidRDefault="008E30AC" w:rsidP="009E246E">
      <w:pPr>
        <w:rPr>
          <w:bCs/>
        </w:rPr>
      </w:pPr>
      <w:r w:rsidRPr="002319BB">
        <w:rPr>
          <w:bCs/>
        </w:rPr>
        <w:t xml:space="preserve">For </w:t>
      </w:r>
      <w:r w:rsidR="00E976C4" w:rsidRPr="002319BB">
        <w:rPr>
          <w:bCs/>
        </w:rPr>
        <w:t xml:space="preserve">the </w:t>
      </w:r>
      <w:r w:rsidRPr="002319BB">
        <w:rPr>
          <w:bCs/>
        </w:rPr>
        <w:t xml:space="preserve">Phase 1 </w:t>
      </w:r>
      <w:r w:rsidR="00FF06F0" w:rsidRPr="002319BB">
        <w:rPr>
          <w:bCs/>
        </w:rPr>
        <w:t>portion</w:t>
      </w:r>
      <w:r w:rsidR="00E976C4" w:rsidRPr="002319BB">
        <w:rPr>
          <w:bCs/>
        </w:rPr>
        <w:t xml:space="preserve"> of this study</w:t>
      </w:r>
      <w:r w:rsidRPr="002319BB">
        <w:rPr>
          <w:bCs/>
        </w:rPr>
        <w:t xml:space="preserve">, all decisions regarding dose escalation/expansion/de-escalation require sign-off by the Protocol Principal Investigator through the CTMS/IWRS.  In addition, for the Phase 1 </w:t>
      </w:r>
      <w:r w:rsidR="00FF06F0" w:rsidRPr="002319BB">
        <w:rPr>
          <w:bCs/>
        </w:rPr>
        <w:t>portion</w:t>
      </w:r>
      <w:r w:rsidRPr="002319BB">
        <w:rPr>
          <w:bCs/>
        </w:rPr>
        <w:t>, the Protocol Principal Investigator will have at least monthly</w:t>
      </w:r>
      <w:r w:rsidR="00C44AF5" w:rsidRPr="002319BB">
        <w:rPr>
          <w:bCs/>
        </w:rPr>
        <w:t xml:space="preserve"> </w:t>
      </w:r>
      <w:r w:rsidRPr="002319BB">
        <w:rPr>
          <w:bCs/>
        </w:rPr>
        <w:t>conference calls with the Study Investigators</w:t>
      </w:r>
      <w:r w:rsidR="00D33D77" w:rsidRPr="002319BB">
        <w:rPr>
          <w:bCs/>
        </w:rPr>
        <w:t xml:space="preserve"> </w:t>
      </w:r>
      <w:r w:rsidR="00C912E7" w:rsidRPr="002319BB">
        <w:rPr>
          <w:bCs/>
        </w:rPr>
        <w:t>[</w:t>
      </w:r>
      <w:r w:rsidR="00D33D77" w:rsidRPr="002319BB">
        <w:rPr>
          <w:bCs/>
        </w:rPr>
        <w:t>and</w:t>
      </w:r>
      <w:r w:rsidR="00C912E7" w:rsidRPr="002319BB">
        <w:rPr>
          <w:bCs/>
        </w:rPr>
        <w:t>,</w:t>
      </w:r>
      <w:r w:rsidR="004D67AB" w:rsidRPr="002319BB">
        <w:rPr>
          <w:bCs/>
        </w:rPr>
        <w:t xml:space="preserve"> if needed</w:t>
      </w:r>
      <w:r w:rsidR="00C912E7" w:rsidRPr="002319BB">
        <w:rPr>
          <w:bCs/>
        </w:rPr>
        <w:t>,</w:t>
      </w:r>
      <w:r w:rsidR="00D33D77" w:rsidRPr="002319BB">
        <w:rPr>
          <w:bCs/>
        </w:rPr>
        <w:t xml:space="preserve"> the CTEP </w:t>
      </w:r>
      <w:r w:rsidR="00EB408C" w:rsidRPr="002319BB">
        <w:rPr>
          <w:bCs/>
        </w:rPr>
        <w:t>Medical Officer</w:t>
      </w:r>
      <w:r w:rsidR="00D33D77" w:rsidRPr="002319BB">
        <w:rPr>
          <w:bCs/>
        </w:rPr>
        <w:t>(s)</w:t>
      </w:r>
      <w:r w:rsidR="00C912E7" w:rsidRPr="002319BB">
        <w:rPr>
          <w:bCs/>
        </w:rPr>
        <w:t>]</w:t>
      </w:r>
      <w:r w:rsidRPr="002319BB">
        <w:rPr>
          <w:bCs/>
        </w:rPr>
        <w:t xml:space="preserve"> to review accrual, progress, and adverse events and unanticipated problems.</w:t>
      </w:r>
      <w:r w:rsidRPr="00E976C4">
        <w:rPr>
          <w:bCs/>
        </w:rPr>
        <w:t xml:space="preserve"> </w:t>
      </w:r>
    </w:p>
    <w:p w14:paraId="28009C6A" w14:textId="77777777" w:rsidR="008E30AC" w:rsidRPr="00E976C4" w:rsidRDefault="008E30AC" w:rsidP="009E246E">
      <w:pPr>
        <w:rPr>
          <w:bCs/>
        </w:rPr>
      </w:pPr>
    </w:p>
    <w:p w14:paraId="3A7D681F" w14:textId="77777777" w:rsidR="00994CA6" w:rsidRPr="00E976C4" w:rsidRDefault="008E30AC" w:rsidP="009E246E">
      <w:pPr>
        <w:rPr>
          <w:bCs/>
        </w:rPr>
      </w:pPr>
      <w:r w:rsidRPr="00E976C4">
        <w:rPr>
          <w:bCs/>
        </w:rPr>
        <w:t>All Study Investigators at participating sites who register/enroll patients on a given protocol are responsible for timely submission of data via Medidata Rave and timely reporting of adverse events for that particular study.  This includes timely review of data collected on the electronic CRFs submitted via Medidata Rave.</w:t>
      </w:r>
    </w:p>
    <w:p w14:paraId="78105064" w14:textId="77777777" w:rsidR="00FF06F0" w:rsidRPr="00E976C4" w:rsidRDefault="00FF06F0" w:rsidP="009E246E">
      <w:pPr>
        <w:rPr>
          <w:bCs/>
        </w:rPr>
      </w:pPr>
    </w:p>
    <w:p w14:paraId="24E8F215" w14:textId="77777777" w:rsidR="00FF06F0" w:rsidRDefault="00FF06F0" w:rsidP="009E246E">
      <w:pPr>
        <w:rPr>
          <w:bCs/>
        </w:rPr>
      </w:pPr>
      <w:r w:rsidRPr="00E976C4">
        <w:rPr>
          <w:bCs/>
        </w:rPr>
        <w:t>All studies are also reviewed in accordance with the enrolling institution’s data safety monitoring plan.</w:t>
      </w:r>
      <w:bookmarkEnd w:id="369"/>
    </w:p>
    <w:p w14:paraId="179BDCE2" w14:textId="77777777" w:rsidR="00E976C4" w:rsidRDefault="00E976C4" w:rsidP="009E246E">
      <w:pPr>
        <w:rPr>
          <w:bCs/>
        </w:rPr>
      </w:pPr>
    </w:p>
    <w:p w14:paraId="214909EC" w14:textId="77777777" w:rsidR="009E246E" w:rsidRPr="007300F3" w:rsidRDefault="009E246E" w:rsidP="00C94562">
      <w:pPr>
        <w:pStyle w:val="Heading2"/>
      </w:pPr>
      <w:bookmarkStart w:id="370" w:name="_Toc318813038"/>
      <w:bookmarkStart w:id="371" w:name="_Toc357599993"/>
      <w:bookmarkStart w:id="372" w:name="_Toc176419941"/>
      <w:r w:rsidRPr="007300F3">
        <w:t>Data Reporting</w:t>
      </w:r>
      <w:bookmarkEnd w:id="370"/>
      <w:bookmarkEnd w:id="371"/>
      <w:bookmarkEnd w:id="372"/>
    </w:p>
    <w:p w14:paraId="52350C1B" w14:textId="77777777" w:rsidR="006C0D77" w:rsidRDefault="006C0D77" w:rsidP="009E246E">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
        </w:rPr>
      </w:pPr>
      <w:bookmarkStart w:id="373" w:name="_Hlk502772785"/>
    </w:p>
    <w:bookmarkEnd w:id="373"/>
    <w:p w14:paraId="084B28D0" w14:textId="69B5A9A1" w:rsidR="00B53A55" w:rsidRDefault="00210D29" w:rsidP="000A52F1">
      <w:pPr>
        <w:autoSpaceDE w:val="0"/>
        <w:autoSpaceDN w:val="0"/>
        <w:rPr>
          <w:color w:val="333333"/>
          <w:lang w:val="en"/>
        </w:rPr>
      </w:pPr>
      <w:r>
        <w:t xml:space="preserve">Medidata Rave is </w:t>
      </w:r>
      <w:r w:rsidR="00FC00DF">
        <w:t>the</w:t>
      </w:r>
      <w:r>
        <w:t xml:space="preserve"> clinical data management system being used for data collection for this trial/study. </w:t>
      </w:r>
      <w:r w:rsidR="000A52F1">
        <w:t xml:space="preserve"> </w:t>
      </w:r>
      <w:r>
        <w:t xml:space="preserve">Access to the trial in Rave is </w:t>
      </w:r>
      <w:r>
        <w:rPr>
          <w:color w:val="333333"/>
          <w:lang w:val="en"/>
        </w:rPr>
        <w:t xml:space="preserve">controlled through the CTEP-IAM system and role assignments. </w:t>
      </w:r>
      <w:r w:rsidR="000A52F1">
        <w:rPr>
          <w:color w:val="333333"/>
          <w:lang w:val="en"/>
        </w:rPr>
        <w:t xml:space="preserve"> </w:t>
      </w:r>
    </w:p>
    <w:p w14:paraId="46355ACE" w14:textId="3D326356" w:rsidR="00210D29" w:rsidRDefault="00B53A55" w:rsidP="000A52F1">
      <w:pPr>
        <w:autoSpaceDE w:val="0"/>
        <w:autoSpaceDN w:val="0"/>
      </w:pPr>
      <w:r>
        <w:rPr>
          <w:color w:val="333333"/>
          <w:lang w:val="en"/>
        </w:rPr>
        <w:t xml:space="preserve">Requirements </w:t>
      </w:r>
      <w:r>
        <w:t>t</w:t>
      </w:r>
      <w:r w:rsidR="00210D29">
        <w:t xml:space="preserve">o access Rave via </w:t>
      </w:r>
      <w:proofErr w:type="spellStart"/>
      <w:r w:rsidR="00210D29">
        <w:t>iMedidata</w:t>
      </w:r>
      <w:proofErr w:type="spellEnd"/>
      <w:r w:rsidR="00210D29">
        <w:t>:</w:t>
      </w:r>
    </w:p>
    <w:p w14:paraId="55073F2D" w14:textId="77777777" w:rsidR="000A52F1" w:rsidRDefault="000A52F1" w:rsidP="005F6A12">
      <w:pPr>
        <w:autoSpaceDE w:val="0"/>
        <w:autoSpaceDN w:val="0"/>
      </w:pPr>
    </w:p>
    <w:p w14:paraId="25C358AF" w14:textId="4CA463D2" w:rsidR="00A3715C" w:rsidRDefault="00A3715C" w:rsidP="00A3715C">
      <w:pPr>
        <w:widowControl/>
        <w:numPr>
          <w:ilvl w:val="0"/>
          <w:numId w:val="64"/>
        </w:numPr>
        <w:snapToGrid w:val="0"/>
        <w:rPr>
          <w:color w:val="333333"/>
          <w:lang w:val="en"/>
        </w:rPr>
      </w:pPr>
      <w:r w:rsidRPr="00DA482F">
        <w:t>Active CTEP registration with the credentials necessary to access secure NCI/CTSU IT systems</w:t>
      </w:r>
      <w:r>
        <w:rPr>
          <w:lang w:val="en"/>
        </w:rPr>
        <w:t>; and</w:t>
      </w:r>
    </w:p>
    <w:p w14:paraId="522E0891" w14:textId="77777777" w:rsidR="00A3715C" w:rsidRPr="0092149D" w:rsidRDefault="00A3715C" w:rsidP="0CB54A8F">
      <w:pPr>
        <w:widowControl/>
        <w:numPr>
          <w:ilvl w:val="0"/>
          <w:numId w:val="64"/>
        </w:numPr>
        <w:snapToGrid w:val="0"/>
        <w:rPr>
          <w:color w:val="333333"/>
        </w:rPr>
      </w:pPr>
      <w:r w:rsidRPr="0CB54A8F">
        <w:t>Assigned a Rave role on the LPO or PO roster at the enrolling site of:  Rave CRA, Rave Read Only, Rave CRA (</w:t>
      </w:r>
      <w:proofErr w:type="spellStart"/>
      <w:r w:rsidRPr="0CB54A8F">
        <w:t>LabAdmin</w:t>
      </w:r>
      <w:proofErr w:type="spellEnd"/>
      <w:r w:rsidRPr="0CB54A8F">
        <w:t>), Rave SLA, or Rave Investigator.</w:t>
      </w:r>
    </w:p>
    <w:p w14:paraId="4B0B7818" w14:textId="77777777" w:rsidR="00A3715C" w:rsidRPr="005C248B" w:rsidRDefault="00A3715C" w:rsidP="00F82ED6">
      <w:pPr>
        <w:pStyle w:val="ListParagraph"/>
        <w:widowControl/>
        <w:numPr>
          <w:ilvl w:val="0"/>
          <w:numId w:val="311"/>
        </w:numPr>
        <w:snapToGrid w:val="0"/>
        <w:rPr>
          <w:color w:val="auto"/>
          <w:lang w:val="en"/>
        </w:rPr>
      </w:pPr>
      <w:r w:rsidRPr="005C248B">
        <w:rPr>
          <w:color w:val="auto"/>
          <w:lang w:val="en"/>
        </w:rPr>
        <w:t>Rave role requirements:</w:t>
      </w:r>
    </w:p>
    <w:p w14:paraId="4D085CF7" w14:textId="77777777" w:rsidR="00A3715C" w:rsidRPr="00F04127" w:rsidRDefault="00A3715C" w:rsidP="00F82ED6">
      <w:pPr>
        <w:widowControl/>
        <w:numPr>
          <w:ilvl w:val="2"/>
          <w:numId w:val="64"/>
        </w:numPr>
        <w:snapToGrid w:val="0"/>
        <w:rPr>
          <w:lang w:val="en"/>
        </w:rPr>
      </w:pPr>
      <w:r w:rsidRPr="00F04127">
        <w:rPr>
          <w:lang w:val="en"/>
        </w:rPr>
        <w:t>Rave CRA or Rave CRA (Lab Admin) role must have a minimum of an Associate Plus (AP) registration type,</w:t>
      </w:r>
    </w:p>
    <w:p w14:paraId="54E34E37" w14:textId="77777777" w:rsidR="00A3715C" w:rsidRPr="00F04127" w:rsidRDefault="00A3715C" w:rsidP="00F82ED6">
      <w:pPr>
        <w:widowControl/>
        <w:numPr>
          <w:ilvl w:val="2"/>
          <w:numId w:val="64"/>
        </w:numPr>
        <w:snapToGrid w:val="0"/>
        <w:rPr>
          <w:lang w:val="en"/>
        </w:rPr>
      </w:pPr>
      <w:bookmarkStart w:id="374" w:name="_Hlk157525672"/>
      <w:r w:rsidRPr="00F04127">
        <w:rPr>
          <w:lang w:val="en"/>
        </w:rPr>
        <w:t xml:space="preserve">Rave Investigator role must be registered as </w:t>
      </w:r>
      <w:r>
        <w:rPr>
          <w:lang w:val="en"/>
        </w:rPr>
        <w:t>a</w:t>
      </w:r>
      <w:r w:rsidRPr="00F04127">
        <w:rPr>
          <w:lang w:val="en"/>
        </w:rPr>
        <w:t xml:space="preserve"> </w:t>
      </w:r>
      <w:r w:rsidRPr="00F04127">
        <w:t>Non-Physician Investigator</w:t>
      </w:r>
      <w:r w:rsidRPr="00F04127">
        <w:rPr>
          <w:lang w:val="en"/>
        </w:rPr>
        <w:t xml:space="preserve"> (NPIVR) or Investigator (IVR), and</w:t>
      </w:r>
      <w:bookmarkEnd w:id="374"/>
    </w:p>
    <w:p w14:paraId="2F3C6FB2" w14:textId="77777777" w:rsidR="00A3715C" w:rsidRPr="00F04127" w:rsidRDefault="00A3715C" w:rsidP="00F82ED6">
      <w:pPr>
        <w:widowControl/>
        <w:numPr>
          <w:ilvl w:val="2"/>
          <w:numId w:val="64"/>
        </w:numPr>
        <w:snapToGrid w:val="0"/>
        <w:rPr>
          <w:lang w:val="en"/>
        </w:rPr>
      </w:pPr>
      <w:r w:rsidRPr="00F04127">
        <w:rPr>
          <w:lang w:val="en"/>
        </w:rPr>
        <w:t xml:space="preserve">Rave Read Only </w:t>
      </w:r>
      <w:r w:rsidRPr="00FC00DF">
        <w:rPr>
          <w:lang w:val="en"/>
        </w:rPr>
        <w:t xml:space="preserve">or Rave SLA </w:t>
      </w:r>
      <w:r w:rsidRPr="00F04127">
        <w:rPr>
          <w:lang w:val="en"/>
        </w:rPr>
        <w:t>role must have at a minimum an Associate (A) registration type.</w:t>
      </w:r>
    </w:p>
    <w:p w14:paraId="3C95BFBA" w14:textId="5B2C0398" w:rsidR="00A3715C" w:rsidRPr="0092149D" w:rsidRDefault="00A3715C" w:rsidP="00F82ED6">
      <w:pPr>
        <w:widowControl/>
        <w:numPr>
          <w:ilvl w:val="1"/>
          <w:numId w:val="64"/>
        </w:numPr>
        <w:snapToGrid w:val="0"/>
      </w:pPr>
      <w:r w:rsidRPr="0CB54A8F">
        <w:t xml:space="preserve">Refer to </w:t>
      </w:r>
      <w:hyperlink r:id="rId78" w:history="1">
        <w:r w:rsidRPr="0CB54A8F">
          <w:rPr>
            <w:rStyle w:val="Hyperlink"/>
          </w:rPr>
          <w:t>https://ctep.cancer.gov/investigatorResources/default.htm</w:t>
        </w:r>
      </w:hyperlink>
      <w:r w:rsidRPr="0CB54A8F">
        <w:t xml:space="preserve"> for registration types and documentation required</w:t>
      </w:r>
      <w:bookmarkStart w:id="375" w:name="_Hlk157525692"/>
      <w:r w:rsidRPr="0CB54A8F">
        <w:t>.</w:t>
      </w:r>
      <w:bookmarkEnd w:id="375"/>
    </w:p>
    <w:p w14:paraId="57E92806" w14:textId="77777777" w:rsidR="00A3715C" w:rsidRPr="006D6629" w:rsidRDefault="00A3715C" w:rsidP="00A3715C">
      <w:pPr>
        <w:widowControl/>
        <w:numPr>
          <w:ilvl w:val="0"/>
          <w:numId w:val="64"/>
        </w:numPr>
        <w:snapToGrid w:val="0"/>
        <w:rPr>
          <w:lang w:val="en"/>
        </w:rPr>
      </w:pPr>
      <w:r w:rsidRPr="006D6629">
        <w:rPr>
          <w:lang w:val="en"/>
        </w:rPr>
        <w:t xml:space="preserve">DTL Rave CRA task assignment requirements (for </w:t>
      </w:r>
      <w:r>
        <w:rPr>
          <w:lang w:val="en"/>
        </w:rPr>
        <w:t>write</w:t>
      </w:r>
      <w:r w:rsidRPr="006D6629">
        <w:rPr>
          <w:lang w:val="en"/>
        </w:rPr>
        <w:t xml:space="preserve"> access):</w:t>
      </w:r>
    </w:p>
    <w:p w14:paraId="26B145C6" w14:textId="77777777" w:rsidR="00A3715C" w:rsidRDefault="00A3715C" w:rsidP="00A3715C">
      <w:pPr>
        <w:pStyle w:val="ListParagraph"/>
        <w:numPr>
          <w:ilvl w:val="0"/>
          <w:numId w:val="312"/>
        </w:numPr>
      </w:pPr>
      <w:r>
        <w:t>Corresponding role (Rave CRA or Rave CRA (Lab Admin)) on the site roster; and</w:t>
      </w:r>
    </w:p>
    <w:p w14:paraId="79CE7D5D" w14:textId="77777777" w:rsidR="00A3715C" w:rsidRDefault="00A3715C" w:rsidP="00A3715C">
      <w:pPr>
        <w:pStyle w:val="ListParagraph"/>
        <w:numPr>
          <w:ilvl w:val="0"/>
          <w:numId w:val="312"/>
        </w:numPr>
      </w:pPr>
      <w:r>
        <w:lastRenderedPageBreak/>
        <w:t xml:space="preserve">Completion of the </w:t>
      </w:r>
      <w:r w:rsidRPr="002776B0">
        <w:t>Theradex Specimen Tracking System (STS) Training</w:t>
      </w:r>
      <w:r>
        <w:t xml:space="preserve"> course in CLASS (see Section 4.2.3 – Delegation of Tasks Log (DTL)).</w:t>
      </w:r>
    </w:p>
    <w:p w14:paraId="594930A8" w14:textId="77777777" w:rsidR="00B53A55" w:rsidRDefault="00B53A55" w:rsidP="0092149D">
      <w:pPr>
        <w:widowControl/>
        <w:snapToGrid w:val="0"/>
        <w:ind w:left="720"/>
      </w:pPr>
    </w:p>
    <w:p w14:paraId="56258222" w14:textId="77777777" w:rsidR="00A849D6" w:rsidRPr="008E1227" w:rsidRDefault="00A849D6" w:rsidP="00A849D6">
      <w:pPr>
        <w:pStyle w:val="Level3Heading"/>
        <w:numPr>
          <w:ilvl w:val="0"/>
          <w:numId w:val="0"/>
        </w:numPr>
        <w:rPr>
          <w:u w:val="single"/>
        </w:rPr>
      </w:pPr>
      <w:r w:rsidRPr="00514FE4">
        <w:rPr>
          <w:u w:val="single"/>
        </w:rPr>
        <w:t xml:space="preserve">Protocol Specific </w:t>
      </w:r>
      <w:r w:rsidRPr="00A118B3">
        <w:rPr>
          <w:u w:val="single"/>
        </w:rPr>
        <w:t>Requirements</w:t>
      </w:r>
      <w:r w:rsidRPr="008E1227">
        <w:rPr>
          <w:u w:val="single"/>
        </w:rPr>
        <w:t xml:space="preserve"> </w:t>
      </w:r>
      <w:proofErr w:type="gramStart"/>
      <w:r w:rsidRPr="008E1227">
        <w:rPr>
          <w:u w:val="single"/>
        </w:rPr>
        <w:t>For</w:t>
      </w:r>
      <w:proofErr w:type="gramEnd"/>
      <w:r w:rsidRPr="008E1227">
        <w:rPr>
          <w:u w:val="single"/>
        </w:rPr>
        <w:t xml:space="preserve"> </w:t>
      </w:r>
      <w:r>
        <w:rPr>
          <w:u w:val="single"/>
        </w:rPr>
        <w:t>Rave Access</w:t>
      </w:r>
    </w:p>
    <w:p w14:paraId="77FE3CF9" w14:textId="77777777" w:rsidR="00A849D6" w:rsidRDefault="00A849D6" w:rsidP="00A849D6"/>
    <w:p w14:paraId="6F760880" w14:textId="0430C968" w:rsidR="00A849D6" w:rsidRPr="0015582A" w:rsidRDefault="00A849D6" w:rsidP="00A849D6">
      <w:pPr>
        <w:pStyle w:val="ListParagraph"/>
        <w:numPr>
          <w:ilvl w:val="2"/>
          <w:numId w:val="28"/>
        </w:numPr>
        <w:tabs>
          <w:tab w:val="left" w:pos="360"/>
          <w:tab w:val="left" w:pos="630"/>
        </w:tabs>
        <w:ind w:left="720"/>
        <w:rPr>
          <w:color w:val="auto"/>
          <w:szCs w:val="22"/>
        </w:rPr>
      </w:pPr>
      <w:r w:rsidRPr="0015582A">
        <w:rPr>
          <w:color w:val="auto"/>
          <w:szCs w:val="22"/>
        </w:rPr>
        <w:t>Specimen Tracking System Training Requirement</w:t>
      </w:r>
      <w:r>
        <w:rPr>
          <w:color w:val="auto"/>
          <w:szCs w:val="22"/>
        </w:rPr>
        <w:t xml:space="preserve"> for full read/write Rave access:</w:t>
      </w:r>
    </w:p>
    <w:p w14:paraId="1E311402" w14:textId="77777777" w:rsidR="00A849D6" w:rsidRDefault="00A849D6" w:rsidP="00A849D6">
      <w:pPr>
        <w:numPr>
          <w:ilvl w:val="2"/>
          <w:numId w:val="40"/>
        </w:numPr>
        <w:tabs>
          <w:tab w:val="left" w:pos="360"/>
          <w:tab w:val="left" w:pos="630"/>
        </w:tabs>
        <w:ind w:left="1080"/>
        <w:contextualSpacing/>
      </w:pPr>
      <w:r>
        <w:t>All site staff assigned the Rave CRA task on the DTL must complete</w:t>
      </w:r>
      <w:r w:rsidRPr="0015582A">
        <w:rPr>
          <w:color w:val="auto"/>
          <w:szCs w:val="22"/>
        </w:rPr>
        <w:t xml:space="preserve"> the </w:t>
      </w:r>
      <w:r>
        <w:rPr>
          <w:color w:val="auto"/>
          <w:szCs w:val="22"/>
        </w:rPr>
        <w:t xml:space="preserve">online </w:t>
      </w:r>
      <w:r>
        <w:t>specimen tracking</w:t>
      </w:r>
      <w:r w:rsidRPr="0015582A">
        <w:rPr>
          <w:color w:val="auto"/>
          <w:szCs w:val="22"/>
        </w:rPr>
        <w:t xml:space="preserve"> training</w:t>
      </w:r>
      <w:r>
        <w:t>, which is administered via the Compliance, Learning, and SOP Solutions (CLASS) system.</w:t>
      </w:r>
    </w:p>
    <w:p w14:paraId="5BD94DCB" w14:textId="7959A589" w:rsidR="00A849D6" w:rsidRPr="00054E62" w:rsidRDefault="00A849D6" w:rsidP="00A849D6">
      <w:pPr>
        <w:numPr>
          <w:ilvl w:val="2"/>
          <w:numId w:val="40"/>
        </w:numPr>
        <w:tabs>
          <w:tab w:val="left" w:pos="360"/>
          <w:tab w:val="left" w:pos="630"/>
        </w:tabs>
        <w:ind w:left="1080"/>
        <w:contextualSpacing/>
        <w:rPr>
          <w:color w:val="auto"/>
          <w:szCs w:val="22"/>
        </w:rPr>
      </w:pPr>
      <w:r>
        <w:t xml:space="preserve">Completion of the training will be automatically communicated to the CTSU Regulatory application and to Medidata Rave, and the individual will receive an invitation to 10699 in Rave. </w:t>
      </w:r>
      <w:r w:rsidRPr="00054E62">
        <w:rPr>
          <w:i/>
        </w:rPr>
        <w:t>There is no need to submit a training completion certificate to</w:t>
      </w:r>
      <w:r w:rsidRPr="00054E62">
        <w:rPr>
          <w:color w:val="auto"/>
          <w:szCs w:val="22"/>
        </w:rPr>
        <w:t xml:space="preserve"> </w:t>
      </w:r>
      <w:r w:rsidRPr="00054E62">
        <w:rPr>
          <w:i/>
          <w:color w:val="auto"/>
          <w:szCs w:val="22"/>
        </w:rPr>
        <w:t>the CTSU through the Regulatory Submission Portal.</w:t>
      </w:r>
    </w:p>
    <w:p w14:paraId="3A8A4002" w14:textId="77777777" w:rsidR="00A849D6" w:rsidRPr="0015582A" w:rsidRDefault="00A849D6" w:rsidP="00A849D6">
      <w:pPr>
        <w:pStyle w:val="ListParagraph"/>
        <w:numPr>
          <w:ilvl w:val="2"/>
          <w:numId w:val="40"/>
        </w:numPr>
        <w:tabs>
          <w:tab w:val="left" w:pos="360"/>
          <w:tab w:val="left" w:pos="630"/>
        </w:tabs>
        <w:ind w:left="1080"/>
        <w:rPr>
          <w:color w:val="auto"/>
          <w:szCs w:val="22"/>
        </w:rPr>
      </w:pPr>
      <w:r w:rsidRPr="00FB13F3">
        <w:rPr>
          <w:color w:val="auto"/>
          <w:szCs w:val="22"/>
        </w:rPr>
        <w:t xml:space="preserve">The training is a one-time only requirement per individual.  If an individual has previously completed the training for another ETCTN study </w:t>
      </w:r>
      <w:r>
        <w:t>(either within CLASS, or via the procedure in place prior to CLASS)</w:t>
      </w:r>
      <w:r w:rsidRPr="00FB13F3">
        <w:rPr>
          <w:color w:val="auto"/>
          <w:szCs w:val="22"/>
        </w:rPr>
        <w:t>, the training does not need to be completed again</w:t>
      </w:r>
      <w:r w:rsidRPr="00F60DBE">
        <w:rPr>
          <w:color w:val="auto"/>
          <w:szCs w:val="22"/>
        </w:rPr>
        <w:t xml:space="preserve">.  However, new versions of the Specimen Tracking System </w:t>
      </w:r>
      <w:r>
        <w:rPr>
          <w:color w:val="auto"/>
          <w:szCs w:val="22"/>
        </w:rPr>
        <w:t xml:space="preserve">training course </w:t>
      </w:r>
      <w:r w:rsidRPr="00F60DBE">
        <w:rPr>
          <w:color w:val="auto"/>
          <w:szCs w:val="22"/>
        </w:rPr>
        <w:t>may require new training.</w:t>
      </w:r>
    </w:p>
    <w:p w14:paraId="64C66FB4" w14:textId="14F3435C" w:rsidR="00A849D6" w:rsidRDefault="00A849D6" w:rsidP="00A849D6">
      <w:pPr>
        <w:pStyle w:val="ListParagraph"/>
        <w:numPr>
          <w:ilvl w:val="2"/>
          <w:numId w:val="40"/>
        </w:numPr>
        <w:tabs>
          <w:tab w:val="left" w:pos="360"/>
          <w:tab w:val="left" w:pos="630"/>
        </w:tabs>
        <w:ind w:left="1080"/>
        <w:rPr>
          <w:color w:val="auto"/>
          <w:szCs w:val="22"/>
        </w:rPr>
      </w:pPr>
      <w:r w:rsidRPr="0047278B">
        <w:rPr>
          <w:color w:val="auto"/>
          <w:szCs w:val="22"/>
        </w:rPr>
        <w:t>For questions about the training content or the tracking system itself, please contact</w:t>
      </w:r>
      <w:r>
        <w:t xml:space="preserve"> STS Support</w:t>
      </w:r>
      <w:r w:rsidRPr="00A21181">
        <w:t xml:space="preserve"> at Theradex (</w:t>
      </w:r>
      <w:hyperlink r:id="rId79" w:history="1">
        <w:r w:rsidRPr="007C526A">
          <w:rPr>
            <w:rStyle w:val="Hyperlink"/>
          </w:rPr>
          <w:t>STS.Support@theradex.com</w:t>
        </w:r>
      </w:hyperlink>
      <w:r w:rsidRPr="00A21181">
        <w:rPr>
          <w:color w:val="auto"/>
          <w:szCs w:val="22"/>
        </w:rPr>
        <w:t>).</w:t>
      </w:r>
    </w:p>
    <w:p w14:paraId="2BB84A92" w14:textId="6E3F0719" w:rsidR="00A849D6" w:rsidRPr="00CD1D42" w:rsidRDefault="00A849D6" w:rsidP="00A849D6">
      <w:pPr>
        <w:numPr>
          <w:ilvl w:val="2"/>
          <w:numId w:val="40"/>
        </w:numPr>
        <w:tabs>
          <w:tab w:val="left" w:pos="360"/>
          <w:tab w:val="left" w:pos="630"/>
        </w:tabs>
        <w:ind w:left="1080"/>
        <w:contextualSpacing/>
      </w:pPr>
      <w:r>
        <w:t xml:space="preserve">For questions or concerns about </w:t>
      </w:r>
      <w:r w:rsidRPr="00CA16A2">
        <w:rPr>
          <w:b/>
          <w:bCs/>
        </w:rPr>
        <w:t>accessing the training in CLASS</w:t>
      </w:r>
      <w:r>
        <w:t xml:space="preserve">, please contact the CLASS Help Desk </w:t>
      </w:r>
      <w:hyperlink r:id="rId80" w:history="1">
        <w:r w:rsidRPr="00A7238A">
          <w:rPr>
            <w:rStyle w:val="Hyperlink"/>
          </w:rPr>
          <w:t>CLASSHelpDesk@westat.com</w:t>
        </w:r>
      </w:hyperlink>
      <w:r>
        <w:t>.</w:t>
      </w:r>
    </w:p>
    <w:p w14:paraId="4AFCC0A2" w14:textId="77777777" w:rsidR="00A849D6" w:rsidRDefault="00A849D6" w:rsidP="000A52F1"/>
    <w:p w14:paraId="0316C367" w14:textId="77777777" w:rsidR="006A01BA" w:rsidRDefault="006A01BA" w:rsidP="005F6A12">
      <w:pPr>
        <w:rPr>
          <w:color w:val="333333"/>
          <w:lang w:val="en"/>
        </w:rPr>
      </w:pPr>
    </w:p>
    <w:p w14:paraId="522ADFB7" w14:textId="5CF086B4" w:rsidR="00210D29" w:rsidRDefault="00210D29" w:rsidP="000A52F1">
      <w:r>
        <w:t xml:space="preserve">Upon initial site registration approval for the study in </w:t>
      </w:r>
      <w:r w:rsidR="00FC00DF" w:rsidRPr="00FC00DF">
        <w:t>the Regulatory application</w:t>
      </w:r>
      <w:r>
        <w:t xml:space="preserve">, all persons with Rave roles assigned on the appropriate roster will be sent a study invitation email from </w:t>
      </w:r>
      <w:proofErr w:type="spellStart"/>
      <w:r>
        <w:t>iMedidata</w:t>
      </w:r>
      <w:proofErr w:type="spellEnd"/>
      <w:r>
        <w:t>. </w:t>
      </w:r>
      <w:r w:rsidR="006A01BA">
        <w:t xml:space="preserve"> </w:t>
      </w:r>
      <w:r w:rsidR="002679AA" w:rsidRPr="002679AA">
        <w:t xml:space="preserve">No action will be required; each study invitation will be automatically accepted and study access in Rave will be automatically granted.  </w:t>
      </w:r>
      <w:r>
        <w:t>Site staff will not be able to access the study in Rave until all required Medidata and study specific trainings are completed. </w:t>
      </w:r>
      <w:r w:rsidR="006A01BA">
        <w:t xml:space="preserve"> </w:t>
      </w:r>
      <w:r>
        <w:t>Trainings will be in the form of electronic learnings (</w:t>
      </w:r>
      <w:proofErr w:type="spellStart"/>
      <w:r>
        <w:t>eLearnings</w:t>
      </w:r>
      <w:proofErr w:type="spellEnd"/>
      <w:r w:rsidR="003C4B49">
        <w:t>) and</w:t>
      </w:r>
      <w:r>
        <w:t xml:space="preserve"> can be accessed by clicking on the </w:t>
      </w:r>
      <w:r w:rsidR="0073463A" w:rsidRPr="0073463A">
        <w:t xml:space="preserve">eLearning </w:t>
      </w:r>
      <w:r>
        <w:t>link in the</w:t>
      </w:r>
      <w:r w:rsidR="0073463A" w:rsidRPr="0073463A">
        <w:t xml:space="preserve"> </w:t>
      </w:r>
      <w:r w:rsidR="0073463A" w:rsidRPr="00F04127">
        <w:rPr>
          <w:i/>
        </w:rPr>
        <w:t>Tasks</w:t>
      </w:r>
      <w:r w:rsidR="0073463A" w:rsidRPr="0073463A">
        <w:t xml:space="preserve"> pane located in the</w:t>
      </w:r>
      <w:r>
        <w:t xml:space="preserve"> upper right </w:t>
      </w:r>
      <w:r w:rsidR="0073463A">
        <w:t>corner</w:t>
      </w:r>
      <w:r>
        <w:t xml:space="preserve"> of the </w:t>
      </w:r>
      <w:proofErr w:type="spellStart"/>
      <w:r>
        <w:t>iMedidata</w:t>
      </w:r>
      <w:proofErr w:type="spellEnd"/>
      <w:r>
        <w:t xml:space="preserve"> screen. </w:t>
      </w:r>
      <w:r w:rsidR="006A01BA">
        <w:t xml:space="preserve"> </w:t>
      </w:r>
      <w:r>
        <w:t xml:space="preserve">If an eLearning is required </w:t>
      </w:r>
      <w:r w:rsidR="0073463A">
        <w:t xml:space="preserve">for a study </w:t>
      </w:r>
      <w:r>
        <w:t xml:space="preserve">and has not yet been taken, the link to the eLearning will appear under the study name in </w:t>
      </w:r>
      <w:r w:rsidR="0073463A" w:rsidRPr="0073463A">
        <w:t xml:space="preserve">the </w:t>
      </w:r>
      <w:r w:rsidR="0073463A" w:rsidRPr="00F04127">
        <w:rPr>
          <w:i/>
        </w:rPr>
        <w:t>Studies</w:t>
      </w:r>
      <w:r w:rsidR="0073463A" w:rsidRPr="0073463A">
        <w:t xml:space="preserve"> pane located in the center of the </w:t>
      </w:r>
      <w:proofErr w:type="spellStart"/>
      <w:r>
        <w:t>iMedidata</w:t>
      </w:r>
      <w:proofErr w:type="spellEnd"/>
      <w:r>
        <w:t xml:space="preserve"> </w:t>
      </w:r>
      <w:r w:rsidR="00231B95">
        <w:t>screen</w:t>
      </w:r>
      <w:r>
        <w:t xml:space="preserve">; once the successful completion of the eLearning has been recorded, access to the study in Rave will be granted, and a </w:t>
      </w:r>
      <w:r>
        <w:rPr>
          <w:i/>
        </w:rPr>
        <w:t>Rave EDC</w:t>
      </w:r>
      <w:r>
        <w:t xml:space="preserve"> link will </w:t>
      </w:r>
      <w:r w:rsidR="00231B95" w:rsidRPr="00231B95">
        <w:t xml:space="preserve">replace the eLearning link </w:t>
      </w:r>
      <w:r>
        <w:t xml:space="preserve">under the study name. </w:t>
      </w:r>
    </w:p>
    <w:p w14:paraId="31FDE99B" w14:textId="77777777" w:rsidR="006A01BA" w:rsidRDefault="006A01BA" w:rsidP="005F6A12"/>
    <w:p w14:paraId="51D5475F" w14:textId="371E7A03" w:rsidR="00210D29" w:rsidRDefault="00D3609E" w:rsidP="005F6A12">
      <w:r>
        <w:t>A</w:t>
      </w:r>
      <w:r w:rsidRPr="00514901">
        <w:t>ction will be required by site staff (to activate their account</w:t>
      </w:r>
      <w:r>
        <w:t xml:space="preserve">) who have not previously activated their </w:t>
      </w:r>
      <w:proofErr w:type="spellStart"/>
      <w:r>
        <w:t>iMedidata</w:t>
      </w:r>
      <w:proofErr w:type="spellEnd"/>
      <w:r>
        <w:t xml:space="preserve">/Rave account at the time of initial site registration approval for the study in the Regulatory application. Account activation instructions are located on the CTSU website in the Data Management section under the </w:t>
      </w:r>
      <w:r w:rsidRPr="006D6629">
        <w:t>Data Management Help Topics</w:t>
      </w:r>
      <w:r w:rsidRPr="002D324C">
        <w:t xml:space="preserve"> &gt; </w:t>
      </w:r>
      <w:r w:rsidRPr="006D6629">
        <w:t>Rave Resources</w:t>
      </w:r>
      <w:r>
        <w:t xml:space="preserve"> &gt; </w:t>
      </w:r>
      <w:hyperlink r:id="rId81" w:anchor="RaveResources" w:history="1">
        <w:r w:rsidRPr="00360DC1">
          <w:rPr>
            <w:rStyle w:val="Hyperlink"/>
          </w:rPr>
          <w:t>Medidata Account Activation and Study Invitation</w:t>
        </w:r>
      </w:hyperlink>
      <w:r>
        <w:t xml:space="preserve"> (to activate your </w:t>
      </w:r>
      <w:proofErr w:type="spellStart"/>
      <w:r w:rsidRPr="006D6629">
        <w:t>iMedidata</w:t>
      </w:r>
      <w:proofErr w:type="spellEnd"/>
      <w:r w:rsidRPr="006D6629">
        <w:t xml:space="preserve"> </w:t>
      </w:r>
      <w:r>
        <w:t>a</w:t>
      </w:r>
      <w:r w:rsidRPr="006D6629">
        <w:t>ccount</w:t>
      </w:r>
      <w:r>
        <w:t xml:space="preserve">).  Additional information on </w:t>
      </w:r>
      <w:proofErr w:type="spellStart"/>
      <w:r>
        <w:t>iMedidata</w:t>
      </w:r>
      <w:proofErr w:type="spellEnd"/>
      <w:r>
        <w:t xml:space="preserve">/Rave is available on the CTSU members’ website in the Data Management </w:t>
      </w:r>
      <w:hyperlink r:id="rId82" w:anchor="RaveResources" w:history="1">
        <w:r w:rsidRPr="006766F1">
          <w:rPr>
            <w:rStyle w:val="Hyperlink"/>
          </w:rPr>
          <w:t>Rave Resources</w:t>
        </w:r>
      </w:hyperlink>
      <w:r>
        <w:t xml:space="preserve"> section or by contacting the CTSU Help Desk at 1-888-823-5923 or by email at </w:t>
      </w:r>
      <w:hyperlink r:id="rId83" w:history="1">
        <w:r>
          <w:rPr>
            <w:rStyle w:val="Hyperlink"/>
          </w:rPr>
          <w:t>ctsucontact@westat.com</w:t>
        </w:r>
      </w:hyperlink>
      <w:r>
        <w:t>.</w:t>
      </w:r>
      <w:r w:rsidR="00210D29">
        <w:t xml:space="preserve"> </w:t>
      </w:r>
    </w:p>
    <w:p w14:paraId="213FDD25" w14:textId="77777777" w:rsidR="00223034" w:rsidRPr="007300F3" w:rsidRDefault="00223034" w:rsidP="009E246E">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pPr>
    </w:p>
    <w:p w14:paraId="7AECE3AE" w14:textId="77777777" w:rsidR="009E246E" w:rsidRPr="0048382A" w:rsidRDefault="009E246E" w:rsidP="00C312CF">
      <w:pPr>
        <w:pStyle w:val="Level3Heading"/>
        <w:rPr>
          <w:u w:val="single"/>
        </w:rPr>
      </w:pPr>
      <w:r w:rsidRPr="0048382A">
        <w:rPr>
          <w:u w:val="single"/>
        </w:rPr>
        <w:lastRenderedPageBreak/>
        <w:t>Method</w:t>
      </w:r>
    </w:p>
    <w:p w14:paraId="37D6F2A5" w14:textId="77777777" w:rsidR="009E246E" w:rsidRPr="007300F3" w:rsidRDefault="009E246E" w:rsidP="00426D13"/>
    <w:p w14:paraId="4C27844C" w14:textId="77777777" w:rsidR="0097633D" w:rsidRDefault="009E246E" w:rsidP="00426D13">
      <w:r w:rsidRPr="003754C3">
        <w:rPr>
          <w:i/>
          <w:u w:val="single"/>
        </w:rPr>
        <w:t xml:space="preserve">For studies assigned for </w:t>
      </w:r>
      <w:r w:rsidR="008C703D" w:rsidRPr="00923FC4">
        <w:rPr>
          <w:b/>
          <w:i/>
          <w:sz w:val="28"/>
          <w:u w:val="single"/>
        </w:rPr>
        <w:t>CTMS Comprehensive</w:t>
      </w:r>
      <w:r w:rsidRPr="003754C3">
        <w:rPr>
          <w:i/>
          <w:u w:val="single"/>
        </w:rPr>
        <w:t xml:space="preserve"> Monitoring</w:t>
      </w:r>
      <w:r w:rsidRPr="0097633D">
        <w:rPr>
          <w:i/>
        </w:rPr>
        <w:t>:</w:t>
      </w:r>
    </w:p>
    <w:p w14:paraId="230B4814" w14:textId="58F1FDB3" w:rsidR="00691243" w:rsidRPr="00691243" w:rsidRDefault="0031222C" w:rsidP="00426D13">
      <w:bookmarkStart w:id="376" w:name="_Hlk502772841"/>
      <w:r w:rsidRPr="0031222C">
        <w:t>This study will be monitored by the Clinical Trials Monitoring Service (CTMS).</w:t>
      </w:r>
      <w:r>
        <w:t xml:space="preserve">  </w:t>
      </w:r>
      <w:r w:rsidR="009E246E" w:rsidRPr="0097633D">
        <w:t xml:space="preserve">Data </w:t>
      </w:r>
      <w:r w:rsidR="001516E9" w:rsidRPr="0097633D">
        <w:t>will</w:t>
      </w:r>
      <w:r w:rsidR="009E246E" w:rsidRPr="0097633D">
        <w:t xml:space="preserve"> </w:t>
      </w:r>
      <w:r>
        <w:t xml:space="preserve">be </w:t>
      </w:r>
      <w:r w:rsidR="009E246E" w:rsidRPr="0097633D">
        <w:t xml:space="preserve">submitted to CTMS at least once every two weeks via Medidata Rave (or other modality if approved by CTEP).  Information on CTMS reporting is available at </w:t>
      </w:r>
      <w:hyperlink r:id="rId84" w:history="1">
        <w:r w:rsidR="00F161D2" w:rsidRPr="000770ED">
          <w:rPr>
            <w:rStyle w:val="Hyperlink"/>
          </w:rPr>
          <w:t>http://www.theradex.com/clinicalTechnologies/?National-Cancer-Institute-NCI-11</w:t>
        </w:r>
      </w:hyperlink>
      <w:r w:rsidR="009E246E" w:rsidRPr="0097633D">
        <w:t xml:space="preserve">.  On-site audits will be conducted three times annually (one annual site visit and two data audits).  For CTMS monitored studies, after users have activated their accounts, please contact the Theradex Help Desk at (609) </w:t>
      </w:r>
      <w:r w:rsidR="0086607B">
        <w:t>619-7862</w:t>
      </w:r>
      <w:r w:rsidR="009E246E" w:rsidRPr="0097633D">
        <w:t xml:space="preserve"> or by email at </w:t>
      </w:r>
      <w:hyperlink r:id="rId85" w:history="1">
        <w:r w:rsidR="00F161D2" w:rsidRPr="0091739B">
          <w:rPr>
            <w:rStyle w:val="Hyperlink"/>
          </w:rPr>
          <w:t>CTMSSupport@theradex.com</w:t>
        </w:r>
      </w:hyperlink>
      <w:r w:rsidR="009E246E" w:rsidRPr="0097633D">
        <w:t xml:space="preserve"> for additional support with Rave and completion of CRFs.</w:t>
      </w:r>
      <w:bookmarkEnd w:id="376"/>
    </w:p>
    <w:p w14:paraId="57FE3225" w14:textId="77777777" w:rsidR="006378F3" w:rsidRPr="0097633D" w:rsidRDefault="006378F3" w:rsidP="00426D13"/>
    <w:p w14:paraId="4DD6A815" w14:textId="77777777" w:rsidR="0097633D" w:rsidRDefault="009E246E" w:rsidP="00426D13">
      <w:pPr>
        <w:rPr>
          <w:i/>
        </w:rPr>
      </w:pPr>
      <w:r w:rsidRPr="003754C3">
        <w:rPr>
          <w:i/>
          <w:u w:val="single"/>
        </w:rPr>
        <w:t xml:space="preserve">For studies assigned for </w:t>
      </w:r>
      <w:r w:rsidR="008C703D" w:rsidRPr="00923FC4">
        <w:rPr>
          <w:b/>
          <w:i/>
          <w:sz w:val="28"/>
          <w:u w:val="single"/>
        </w:rPr>
        <w:t>CTMS Routine</w:t>
      </w:r>
      <w:r w:rsidRPr="003754C3">
        <w:rPr>
          <w:i/>
          <w:u w:val="single"/>
        </w:rPr>
        <w:t xml:space="preserve"> Monitoring</w:t>
      </w:r>
      <w:r w:rsidRPr="0097633D">
        <w:rPr>
          <w:i/>
        </w:rPr>
        <w:t>:</w:t>
      </w:r>
    </w:p>
    <w:p w14:paraId="3EFB1B06" w14:textId="2990C650" w:rsidR="009E246E" w:rsidRPr="0097633D" w:rsidRDefault="0031222C" w:rsidP="00426D13">
      <w:bookmarkStart w:id="377" w:name="_Hlk502772816"/>
      <w:r w:rsidRPr="0031222C">
        <w:t>This study will be monitored by the Clinical Trials Monitoring Service (CTMS).</w:t>
      </w:r>
      <w:r>
        <w:t xml:space="preserve">  </w:t>
      </w:r>
      <w:r w:rsidR="009E246E" w:rsidRPr="0097633D">
        <w:t xml:space="preserve">Data </w:t>
      </w:r>
      <w:r w:rsidR="00876F80">
        <w:t>will</w:t>
      </w:r>
      <w:r w:rsidR="009E246E" w:rsidRPr="0097633D">
        <w:t xml:space="preserve"> be submitted to CTMS at least once every two weeks via Medidata Rave (or other modality if approved by CTEP).  Information on CTMS reporting is available at:  </w:t>
      </w:r>
      <w:hyperlink r:id="rId86" w:history="1">
        <w:r w:rsidR="00F161D2" w:rsidRPr="000770ED">
          <w:rPr>
            <w:rStyle w:val="Hyperlink"/>
          </w:rPr>
          <w:t>http://www.theradex.com/clinicalTechnologies/?National-Cancer-Institute-NCI-11</w:t>
        </w:r>
      </w:hyperlink>
      <w:r w:rsidR="009E246E" w:rsidRPr="0097633D">
        <w:t>.  On-site audits will be conducted on a</w:t>
      </w:r>
      <w:r>
        <w:t>n</w:t>
      </w:r>
      <w:r w:rsidR="009E246E" w:rsidRPr="0097633D">
        <w:t xml:space="preserve"> 18-36 month basis. More frequent audits may be conducted if warranted by accrual or due to concerns regarding data quality or timely submission.</w:t>
      </w:r>
      <w:r w:rsidR="00BC40F2">
        <w:t xml:space="preserve">  F</w:t>
      </w:r>
      <w:r w:rsidR="00BC40F2" w:rsidRPr="0097633D">
        <w:t xml:space="preserve">or CTMS monitored studies, after users have activated their accounts, please contact the Theradex Help Desk at (609) </w:t>
      </w:r>
      <w:r w:rsidR="0086607B">
        <w:t>619-7862</w:t>
      </w:r>
      <w:r w:rsidR="00BC40F2" w:rsidRPr="0097633D">
        <w:t xml:space="preserve"> or by email at </w:t>
      </w:r>
      <w:hyperlink r:id="rId87" w:history="1">
        <w:r w:rsidR="00F161D2" w:rsidRPr="0091739B">
          <w:rPr>
            <w:rStyle w:val="Hyperlink"/>
          </w:rPr>
          <w:t>CTMSSupport@theradex.com</w:t>
        </w:r>
      </w:hyperlink>
      <w:r w:rsidR="00BC40F2" w:rsidRPr="0097633D">
        <w:t xml:space="preserve"> for additional support with Rave and completion of CRFs.</w:t>
      </w:r>
      <w:bookmarkEnd w:id="377"/>
    </w:p>
    <w:p w14:paraId="2361A1AF" w14:textId="77777777" w:rsidR="009E246E" w:rsidRPr="007300F3" w:rsidRDefault="009E246E" w:rsidP="00CB5EF4">
      <w:pPr>
        <w:widowControl/>
      </w:pPr>
    </w:p>
    <w:p w14:paraId="73848E50" w14:textId="77777777" w:rsidR="009E246E" w:rsidRPr="0048382A" w:rsidRDefault="009E246E" w:rsidP="00C312CF">
      <w:pPr>
        <w:pStyle w:val="Level3Heading"/>
        <w:rPr>
          <w:u w:val="single"/>
        </w:rPr>
      </w:pPr>
      <w:r w:rsidRPr="0048382A">
        <w:rPr>
          <w:u w:val="single"/>
        </w:rPr>
        <w:t>Responsibility for Data Submission</w:t>
      </w:r>
    </w:p>
    <w:p w14:paraId="46765811" w14:textId="77777777" w:rsidR="00D459E9" w:rsidRPr="007300F3" w:rsidRDefault="00D459E9" w:rsidP="00426D13">
      <w:bookmarkStart w:id="378" w:name="_Hlk502772882"/>
    </w:p>
    <w:p w14:paraId="451D650F" w14:textId="77777777" w:rsidR="009E246E" w:rsidRDefault="009E246E" w:rsidP="00426D13">
      <w:r>
        <w:t>For ETCTN trials, i</w:t>
      </w:r>
      <w:r w:rsidRPr="002B219C">
        <w:t xml:space="preserve">t is the responsibility of the PI(s) at the site to ensure that all investigators at the ETCTN Sites understand the procedures for data submission for each ETCTN protocol and that protocol specified data are submitted accurately and in a timely manner to the CTMS via the electronic data capture system, Medidata Rave. </w:t>
      </w:r>
      <w:r>
        <w:t xml:space="preserve"> </w:t>
      </w:r>
    </w:p>
    <w:p w14:paraId="13BAC4F9" w14:textId="77777777" w:rsidR="009E246E" w:rsidRDefault="009E246E" w:rsidP="00426D13"/>
    <w:p w14:paraId="7F2333BC" w14:textId="77777777" w:rsidR="009E246E" w:rsidRDefault="009E246E" w:rsidP="00426D13">
      <w:r w:rsidRPr="002B219C">
        <w:t>Data are to be submitted via Medidata Rave to CTMS on a real-time basis, but no less than once every 2 weeks.</w:t>
      </w:r>
      <w:r>
        <w:t xml:space="preserve">  </w:t>
      </w:r>
      <w:r w:rsidRPr="009A1E85">
        <w:t xml:space="preserve">The timeliness of data submissions and timeliness in resolving data queries will be tracked by CTMS. </w:t>
      </w:r>
      <w:r>
        <w:t xml:space="preserve"> </w:t>
      </w:r>
      <w:r w:rsidRPr="009A1E85">
        <w:t xml:space="preserve">Metrics for timeliness will be followed and assessed on a quarterly basis. </w:t>
      </w:r>
      <w:r>
        <w:t xml:space="preserve"> </w:t>
      </w:r>
      <w:proofErr w:type="gramStart"/>
      <w:r w:rsidRPr="009A1E85">
        <w:t>For the purpose of</w:t>
      </w:r>
      <w:proofErr w:type="gramEnd"/>
      <w:r w:rsidRPr="009A1E85">
        <w:t xml:space="preserve"> Institutional Performance Monitoring, data will be considered delinquent if it is </w:t>
      </w:r>
      <w:proofErr w:type="gramStart"/>
      <w:r w:rsidRPr="009A1E85">
        <w:t>greater</w:t>
      </w:r>
      <w:proofErr w:type="gramEnd"/>
      <w:r w:rsidRPr="009A1E85">
        <w:t xml:space="preserve"> than 4 weeks past due.</w:t>
      </w:r>
    </w:p>
    <w:p w14:paraId="0484A4BE" w14:textId="77777777" w:rsidR="009E246E" w:rsidRDefault="009E246E" w:rsidP="00426D13"/>
    <w:p w14:paraId="6FB0C0CC" w14:textId="007FDD56" w:rsidR="009E246E" w:rsidRDefault="009E246E" w:rsidP="00426D13">
      <w:r w:rsidRPr="009A1E85">
        <w:t xml:space="preserve">Data from Medidata Rave and </w:t>
      </w:r>
      <w:r>
        <w:t>CTEP-AERS</w:t>
      </w:r>
      <w:r w:rsidRPr="009A1E85">
        <w:t xml:space="preserve"> is reviewed by the CTMS on an ongoing basis as data is received. </w:t>
      </w:r>
      <w:r>
        <w:t xml:space="preserve"> </w:t>
      </w:r>
      <w:r w:rsidRPr="002B219C">
        <w:t xml:space="preserve">Queries will be issued by CTMS directly within Rave. </w:t>
      </w:r>
      <w:r>
        <w:t xml:space="preserve"> </w:t>
      </w:r>
      <w:r w:rsidRPr="002B219C">
        <w:t xml:space="preserve">The queries will appear on the Task Summary Tab within Rave for the CRA at the </w:t>
      </w:r>
      <w:r w:rsidRPr="009A1E85">
        <w:t>ETCTN to resolve.</w:t>
      </w:r>
      <w:r>
        <w:t xml:space="preserve">  </w:t>
      </w:r>
      <w:r w:rsidRPr="009A1E85">
        <w:t xml:space="preserve">Monthly web-based reports are posted for review by the Drug Monitors in the IDB, CTEP. </w:t>
      </w:r>
      <w:r>
        <w:t xml:space="preserve"> </w:t>
      </w:r>
      <w:r w:rsidRPr="009A1E85">
        <w:t>Onsite audits will be conducted by the CTMS to ensure compliance with regulatory requirements, GCP, and NCI policies and procedures with the overarching goal of ensuring the integrity of data generated from NCI-sponsored clinical trials</w:t>
      </w:r>
      <w:r>
        <w:t>, as described in the ETCTN Program Guidelines, which may be found on the CTEP (</w:t>
      </w:r>
      <w:hyperlink r:id="rId88" w:history="1">
        <w:r w:rsidR="00F161D2" w:rsidRPr="0091739B">
          <w:rPr>
            <w:rStyle w:val="Hyperlink"/>
          </w:rPr>
          <w:t>http://ctep.cancer.gov/protocolDevelopment/electronic_applications/adverse_events.htm</w:t>
        </w:r>
      </w:hyperlink>
      <w:r>
        <w:t xml:space="preserve">)  and CTSU </w:t>
      </w:r>
      <w:r w:rsidR="00B60158">
        <w:t>website</w:t>
      </w:r>
      <w:r>
        <w:t>s.</w:t>
      </w:r>
    </w:p>
    <w:p w14:paraId="6AE13FA7" w14:textId="77777777" w:rsidR="009E246E" w:rsidRDefault="009E246E" w:rsidP="00426D13"/>
    <w:p w14:paraId="5E53D916" w14:textId="273B8B99" w:rsidR="009E246E" w:rsidRDefault="009E246E" w:rsidP="00426D13">
      <w:r w:rsidRPr="00686F7F">
        <w:t xml:space="preserve">CTMS will utilize a core set of eCRFs that are </w:t>
      </w:r>
      <w:r w:rsidRPr="00A15B89">
        <w:t>Cancer Data Standards Registry and Repository</w:t>
      </w:r>
      <w:r w:rsidRPr="002B219C">
        <w:t xml:space="preserve"> (</w:t>
      </w:r>
      <w:proofErr w:type="spellStart"/>
      <w:r w:rsidRPr="002B219C">
        <w:t>caDSR</w:t>
      </w:r>
      <w:proofErr w:type="spellEnd"/>
      <w:r w:rsidRPr="002B219C">
        <w:t>) compliant</w:t>
      </w:r>
      <w:r>
        <w:t xml:space="preserve"> (</w:t>
      </w:r>
      <w:bookmarkStart w:id="379" w:name="_Hlk166578338"/>
      <w:r w:rsidR="004B36E0">
        <w:fldChar w:fldCharType="begin"/>
      </w:r>
      <w:r w:rsidR="004B36E0">
        <w:instrText>HYPERLINK "</w:instrText>
      </w:r>
      <w:r w:rsidR="004B36E0" w:rsidRPr="00420B5B">
        <w:instrText>https://datascience.cancer.gov/resources/metadata</w:instrText>
      </w:r>
      <w:r w:rsidR="004B36E0">
        <w:instrText>"</w:instrText>
      </w:r>
      <w:r w:rsidR="004B36E0">
        <w:fldChar w:fldCharType="separate"/>
      </w:r>
      <w:r w:rsidR="004B36E0" w:rsidRPr="005D6294">
        <w:rPr>
          <w:rStyle w:val="Hyperlink"/>
        </w:rPr>
        <w:t>https://datascience.cancer.gov/resources/metadata</w:t>
      </w:r>
      <w:r w:rsidR="004B36E0">
        <w:fldChar w:fldCharType="end"/>
      </w:r>
      <w:bookmarkEnd w:id="379"/>
      <w:r>
        <w:t>)</w:t>
      </w:r>
      <w:r w:rsidRPr="002B219C">
        <w:t xml:space="preserve">. </w:t>
      </w:r>
      <w:r>
        <w:t xml:space="preserve"> </w:t>
      </w:r>
      <w:r w:rsidRPr="002B219C">
        <w:t xml:space="preserve">Customized eCRFs will be included when appropriate to meet unique study requirements. </w:t>
      </w:r>
      <w:r>
        <w:t xml:space="preserve"> </w:t>
      </w:r>
      <w:r w:rsidRPr="002B219C">
        <w:t>The PI is encouraged to review the eCRFs</w:t>
      </w:r>
      <w:r w:rsidR="007C6E3F">
        <w:t>,</w:t>
      </w:r>
      <w:r w:rsidRPr="002B219C">
        <w:t xml:space="preserve"> working closely with CTMS to ensure prospectively that all required items are appropriate</w:t>
      </w:r>
      <w:r>
        <w:t>ly</w:t>
      </w:r>
      <w:r w:rsidRPr="002B219C">
        <w:t xml:space="preserve"> captured in the eCRFs prior to study activation. </w:t>
      </w:r>
      <w:r>
        <w:t xml:space="preserve"> </w:t>
      </w:r>
      <w:r w:rsidRPr="002B219C">
        <w:t>CTMS will prepare the eCRFs with built-in edit checks to the extent possible to promote data integrity.</w:t>
      </w:r>
    </w:p>
    <w:p w14:paraId="51BBFEBA" w14:textId="77777777" w:rsidR="009E246E" w:rsidRDefault="009E246E" w:rsidP="00426D13"/>
    <w:p w14:paraId="34280854" w14:textId="77777777" w:rsidR="009E246E" w:rsidRPr="00E12894" w:rsidRDefault="009E246E" w:rsidP="00426D13">
      <w:pPr>
        <w:rPr>
          <w:bCs/>
        </w:rPr>
      </w:pPr>
      <w:r>
        <w:t>CDUS data submissions for ETCTN trials activated after March 1, 2014, will be carried out by the CTMS contractor, Theradex.  CDUS submissions are performed by Theradex on a monthly basis.  The trial’s lead institution is responsible for timely submission to CTMS via Rave, as above.</w:t>
      </w:r>
    </w:p>
    <w:p w14:paraId="7ED4416C" w14:textId="77777777" w:rsidR="009E246E" w:rsidRPr="007300F3" w:rsidRDefault="009E246E" w:rsidP="00426D13"/>
    <w:p w14:paraId="2FDED44E" w14:textId="471C20AC" w:rsidR="009E246E" w:rsidRDefault="009E246E" w:rsidP="00426D13">
      <w:r>
        <w:t>Further information on data submission procedures can be found in the ETCTN Program Guidelines (</w:t>
      </w:r>
      <w:hyperlink r:id="rId89" w:history="1">
        <w:r w:rsidR="00F161D2" w:rsidRPr="0091739B">
          <w:rPr>
            <w:rStyle w:val="Hyperlink"/>
          </w:rPr>
          <w:t>http://ctep.cancer.gov/protocolDevelopment/electronic_applications/adverse_events.htm</w:t>
        </w:r>
      </w:hyperlink>
      <w:r>
        <w:t>).</w:t>
      </w:r>
    </w:p>
    <w:bookmarkEnd w:id="378"/>
    <w:p w14:paraId="00CDADDB" w14:textId="6D936B38" w:rsidR="00080E31" w:rsidRDefault="00080E31" w:rsidP="00CB5EF4"/>
    <w:p w14:paraId="53541A18" w14:textId="1209E7FA" w:rsidR="00080E31" w:rsidRPr="007719CE" w:rsidRDefault="00080E31" w:rsidP="00C94562">
      <w:pPr>
        <w:pStyle w:val="Heading2"/>
      </w:pPr>
      <w:bookmarkStart w:id="380" w:name="_Toc176419942"/>
      <w:r w:rsidRPr="007719CE">
        <w:t>Data Quality Portal</w:t>
      </w:r>
      <w:bookmarkEnd w:id="380"/>
    </w:p>
    <w:p w14:paraId="595B756C" w14:textId="77777777" w:rsidR="000F02D6" w:rsidRPr="005F6A12" w:rsidRDefault="000F02D6" w:rsidP="000F02D6">
      <w:pPr>
        <w:ind w:right="720"/>
        <w:rPr>
          <w:color w:val="auto"/>
        </w:rPr>
      </w:pPr>
    </w:p>
    <w:p w14:paraId="42B746C8" w14:textId="490A6A32" w:rsidR="00080E31" w:rsidRDefault="00080E31" w:rsidP="000F02D6">
      <w:pPr>
        <w:ind w:right="720"/>
      </w:pPr>
      <w:r>
        <w:t xml:space="preserve">The Data Quality Portal (DQP) provides a central location for site staff to manage unanswered queries and form delinquencies, monitor data quality and timeliness, generate reports, and review metrics. </w:t>
      </w:r>
    </w:p>
    <w:p w14:paraId="2F98D489" w14:textId="77777777" w:rsidR="000F02D6" w:rsidRDefault="000F02D6" w:rsidP="005F6A12">
      <w:pPr>
        <w:ind w:right="720"/>
      </w:pPr>
    </w:p>
    <w:p w14:paraId="0C23381B" w14:textId="22FED014" w:rsidR="00080E31" w:rsidRDefault="00080E31" w:rsidP="000F02D6">
      <w:pPr>
        <w:ind w:right="720"/>
      </w:pPr>
      <w:r>
        <w:t xml:space="preserve">The DQP is located on the CTSU members’ website under Data Management. </w:t>
      </w:r>
      <w:r w:rsidR="000F02D6">
        <w:t xml:space="preserve"> </w:t>
      </w:r>
      <w:r>
        <w:t>The Rave Home section displays a table providing summary counts of Total Delinquencies and Total Queries.</w:t>
      </w:r>
      <w:r w:rsidR="000F02D6">
        <w:t xml:space="preserve"> </w:t>
      </w:r>
      <w:r>
        <w:t xml:space="preserve"> DQP Queries, DQP Delinquent Forms</w:t>
      </w:r>
      <w:r w:rsidR="000F02D6">
        <w:t>,</w:t>
      </w:r>
      <w:r>
        <w:t xml:space="preserve"> </w:t>
      </w:r>
      <w:r w:rsidR="002F3D89" w:rsidRPr="002F3D89">
        <w:t xml:space="preserve">DQP Form Status </w:t>
      </w:r>
      <w:r>
        <w:t xml:space="preserve">and the DQP Reports modules are available to access details and reports of unanswered queries, delinquent forms, </w:t>
      </w:r>
      <w:r w:rsidR="002F3D89" w:rsidRPr="002F3D89">
        <w:t>forms with current status</w:t>
      </w:r>
      <w:r w:rsidR="00694F9C">
        <w:t>,</w:t>
      </w:r>
      <w:r w:rsidR="002F3D89" w:rsidRPr="002F3D89">
        <w:t xml:space="preserve"> </w:t>
      </w:r>
      <w:r>
        <w:t>and timeliness reports.</w:t>
      </w:r>
      <w:r w:rsidR="000F02D6">
        <w:t xml:space="preserve"> </w:t>
      </w:r>
      <w:r>
        <w:t xml:space="preserve"> </w:t>
      </w:r>
      <w:r w:rsidR="00694F9C" w:rsidRPr="00694F9C">
        <w:t>Site staff should review</w:t>
      </w:r>
      <w:r>
        <w:t xml:space="preserve"> the DQP modules on a regular basis to manage specified queries and delinquent forms.</w:t>
      </w:r>
    </w:p>
    <w:p w14:paraId="788116E2" w14:textId="77777777" w:rsidR="000F02D6" w:rsidRDefault="000F02D6" w:rsidP="005F6A12">
      <w:pPr>
        <w:ind w:right="720"/>
      </w:pPr>
    </w:p>
    <w:p w14:paraId="3E2C284B" w14:textId="2DEA5398" w:rsidR="00080E31" w:rsidRDefault="00080E31" w:rsidP="000F02D6">
      <w:pPr>
        <w:ind w:right="720"/>
      </w:pPr>
      <w:r>
        <w:t xml:space="preserve">The DQP is accessible by site staff </w:t>
      </w:r>
      <w:r w:rsidR="00694F9C">
        <w:t xml:space="preserve">who </w:t>
      </w:r>
      <w:r>
        <w:t>are rostered to a site and have access to the CTSU website. </w:t>
      </w:r>
      <w:r w:rsidR="000F02D6">
        <w:t xml:space="preserve"> </w:t>
      </w:r>
      <w:r>
        <w:t xml:space="preserve">Staff </w:t>
      </w:r>
      <w:r w:rsidR="00694F9C">
        <w:t>who</w:t>
      </w:r>
      <w:r>
        <w:t xml:space="preserve"> have Rave study access can access the Rave study data </w:t>
      </w:r>
      <w:r w:rsidR="00694F9C">
        <w:t>via</w:t>
      </w:r>
      <w:r>
        <w:t xml:space="preserve"> direct link</w:t>
      </w:r>
      <w:r w:rsidR="00694F9C">
        <w:t>s</w:t>
      </w:r>
      <w:r>
        <w:t xml:space="preserve"> </w:t>
      </w:r>
      <w:r w:rsidR="00694F9C">
        <w:t xml:space="preserve">available </w:t>
      </w:r>
      <w:r>
        <w:t>on the DQP</w:t>
      </w:r>
      <w:r w:rsidR="00694F9C">
        <w:t xml:space="preserve"> modules</w:t>
      </w:r>
      <w:r>
        <w:t>.</w:t>
      </w:r>
    </w:p>
    <w:p w14:paraId="278DD698" w14:textId="30101B8F" w:rsidR="00694F9C" w:rsidRDefault="00694F9C" w:rsidP="000F02D6">
      <w:pPr>
        <w:ind w:right="720"/>
      </w:pPr>
    </w:p>
    <w:p w14:paraId="74FE1B35" w14:textId="3915D4BE" w:rsidR="00694F9C" w:rsidRDefault="00694F9C" w:rsidP="000F02D6">
      <w:pPr>
        <w:ind w:right="720"/>
      </w:pPr>
      <w:r w:rsidRPr="00694F9C">
        <w:t>CTSU Delinquency Notification emails are sent to primary contacts at sites twice a month. These notifications serve as alerts that queries and/or delinquent forms require site review, providing a summary count of queries and delinquent forms for each Rave study that a site is participating in. Additional site staff can subscribe and unsubscribe to these notifications using the CTSU Report and Information Subscription Portal on the CTSU members’ website.</w:t>
      </w:r>
    </w:p>
    <w:p w14:paraId="40DA1A0E" w14:textId="77777777" w:rsidR="000F02D6" w:rsidRDefault="000F02D6" w:rsidP="005F6A12">
      <w:pPr>
        <w:ind w:right="720"/>
      </w:pPr>
    </w:p>
    <w:p w14:paraId="3F129FD6" w14:textId="1195CA62" w:rsidR="00080E31" w:rsidRDefault="00080E31" w:rsidP="000F02D6">
      <w:pPr>
        <w:ind w:right="720"/>
      </w:pPr>
      <w:r>
        <w:t xml:space="preserve">To learn more about DQP use and access, click on the Help </w:t>
      </w:r>
      <w:r w:rsidR="00694F9C" w:rsidRPr="00694F9C">
        <w:t>Topics button</w:t>
      </w:r>
      <w:r>
        <w:t xml:space="preserve"> displayed on the Rave Home, DQP Queries, DQP Delinquent Forms</w:t>
      </w:r>
      <w:r w:rsidR="002F3D89" w:rsidRPr="002F3D89">
        <w:t xml:space="preserve">, DQP Form Status, and DQP Reports </w:t>
      </w:r>
      <w:r>
        <w:t>modules.</w:t>
      </w:r>
    </w:p>
    <w:p w14:paraId="62220803" w14:textId="77777777" w:rsidR="003516CC" w:rsidRPr="007300F3" w:rsidRDefault="003516CC" w:rsidP="009E246E">
      <w:pPr>
        <w:pStyle w:val="BodyTextIndent2"/>
        <w:tabs>
          <w:tab w:val="clear" w:pos="-1068"/>
          <w:tab w:val="clear" w:pos="-720"/>
          <w:tab w:val="clear" w:pos="0"/>
          <w:tab w:val="clear" w:pos="372"/>
          <w:tab w:val="clear" w:pos="720"/>
          <w:tab w:val="clear" w:pos="1092"/>
          <w:tab w:val="clear" w:pos="1812"/>
          <w:tab w:val="clear" w:pos="2160"/>
          <w:tab w:val="clear" w:pos="2532"/>
          <w:tab w:val="clear" w:pos="2880"/>
          <w:tab w:val="clear" w:pos="3252"/>
          <w:tab w:val="clear" w:pos="3600"/>
          <w:tab w:val="clear" w:pos="3972"/>
          <w:tab w:val="clear" w:pos="4680"/>
          <w:tab w:val="clear" w:pos="5040"/>
          <w:tab w:val="clear" w:pos="5760"/>
          <w:tab w:val="clear" w:pos="6480"/>
          <w:tab w:val="clear" w:pos="7200"/>
          <w:tab w:val="clear" w:pos="7920"/>
          <w:tab w:val="clear" w:pos="8640"/>
          <w:tab w:val="clear" w:pos="9360"/>
        </w:tabs>
        <w:ind w:left="1440"/>
        <w:rPr>
          <w:iCs/>
        </w:rPr>
      </w:pPr>
    </w:p>
    <w:p w14:paraId="4E9A3BE6" w14:textId="77777777" w:rsidR="009E246E" w:rsidRPr="007300F3" w:rsidRDefault="009E246E" w:rsidP="00C94562">
      <w:pPr>
        <w:pStyle w:val="Heading2"/>
      </w:pPr>
      <w:bookmarkStart w:id="381" w:name="_Toc318813039"/>
      <w:bookmarkStart w:id="382" w:name="_Toc176419943"/>
      <w:r w:rsidRPr="007300F3">
        <w:lastRenderedPageBreak/>
        <w:t>CTEP Multicenter Guidelines</w:t>
      </w:r>
      <w:bookmarkEnd w:id="381"/>
      <w:bookmarkEnd w:id="382"/>
    </w:p>
    <w:p w14:paraId="0DF8B41C" w14:textId="77777777" w:rsidR="00D7558F" w:rsidRDefault="00D7558F" w:rsidP="00835082">
      <w:pPr>
        <w:pStyle w:val="BodyTextIndent2"/>
        <w:numPr>
          <w:ilvl w:val="0"/>
          <w:numId w:val="0"/>
        </w:numPr>
        <w:tabs>
          <w:tab w:val="clear" w:pos="-1068"/>
          <w:tab w:val="clear" w:pos="-720"/>
          <w:tab w:val="clear" w:pos="0"/>
          <w:tab w:val="clear" w:pos="372"/>
          <w:tab w:val="clear" w:pos="720"/>
          <w:tab w:val="clear" w:pos="1092"/>
          <w:tab w:val="clear" w:pos="1440"/>
          <w:tab w:val="clear" w:pos="1812"/>
          <w:tab w:val="clear" w:pos="2160"/>
          <w:tab w:val="clear" w:pos="2532"/>
          <w:tab w:val="clear" w:pos="2880"/>
          <w:tab w:val="clear" w:pos="3252"/>
          <w:tab w:val="clear" w:pos="3600"/>
          <w:tab w:val="clear" w:pos="3972"/>
          <w:tab w:val="clear" w:pos="4680"/>
          <w:tab w:val="clear" w:pos="5040"/>
          <w:tab w:val="clear" w:pos="5760"/>
          <w:tab w:val="clear" w:pos="6480"/>
          <w:tab w:val="clear" w:pos="7200"/>
          <w:tab w:val="clear" w:pos="7920"/>
          <w:tab w:val="clear" w:pos="8640"/>
          <w:tab w:val="clear" w:pos="9360"/>
        </w:tabs>
      </w:pPr>
    </w:p>
    <w:p w14:paraId="697CE72A" w14:textId="4C6E18AB" w:rsidR="00D7558F" w:rsidRPr="003754C3" w:rsidRDefault="00933802" w:rsidP="00933802">
      <w:pPr>
        <w:pStyle w:val="BodyTextIndent2"/>
        <w:numPr>
          <w:ilvl w:val="0"/>
          <w:numId w:val="0"/>
        </w:numPr>
        <w:tabs>
          <w:tab w:val="clear" w:pos="-1068"/>
          <w:tab w:val="clear" w:pos="-720"/>
          <w:tab w:val="clear" w:pos="0"/>
          <w:tab w:val="clear" w:pos="372"/>
          <w:tab w:val="clear" w:pos="720"/>
          <w:tab w:val="clear" w:pos="1092"/>
          <w:tab w:val="clear" w:pos="1440"/>
          <w:tab w:val="clear" w:pos="1812"/>
          <w:tab w:val="clear" w:pos="2160"/>
          <w:tab w:val="clear" w:pos="2532"/>
          <w:tab w:val="clear" w:pos="2880"/>
          <w:tab w:val="clear" w:pos="3252"/>
          <w:tab w:val="clear" w:pos="3600"/>
          <w:tab w:val="clear" w:pos="3972"/>
          <w:tab w:val="clear" w:pos="4680"/>
          <w:tab w:val="clear" w:pos="5040"/>
          <w:tab w:val="clear" w:pos="5760"/>
          <w:tab w:val="clear" w:pos="6480"/>
          <w:tab w:val="clear" w:pos="7200"/>
          <w:tab w:val="clear" w:pos="7920"/>
          <w:tab w:val="clear" w:pos="8640"/>
          <w:tab w:val="clear" w:pos="9360"/>
        </w:tabs>
        <w:rPr>
          <w:i/>
        </w:rPr>
      </w:pPr>
      <w:r>
        <w:t>Not applicable</w:t>
      </w:r>
      <w:r w:rsidR="00D7558F" w:rsidRPr="007300F3">
        <w:t>.</w:t>
      </w:r>
    </w:p>
    <w:p w14:paraId="77BD1F4E" w14:textId="77777777" w:rsidR="009E246E" w:rsidRPr="007300F3" w:rsidRDefault="009E246E" w:rsidP="00835082">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pPr>
    </w:p>
    <w:p w14:paraId="2D66E681" w14:textId="77777777" w:rsidR="009E246E" w:rsidRPr="007300F3" w:rsidRDefault="009E246E" w:rsidP="00C94562">
      <w:pPr>
        <w:pStyle w:val="Heading2"/>
      </w:pPr>
      <w:bookmarkStart w:id="383" w:name="_Toc318813040"/>
      <w:bookmarkStart w:id="384" w:name="_Toc176419944"/>
      <w:r>
        <w:t>Collaborative Agreements Language</w:t>
      </w:r>
      <w:bookmarkEnd w:id="383"/>
      <w:bookmarkEnd w:id="384"/>
    </w:p>
    <w:p w14:paraId="0A99B3E9" w14:textId="77777777" w:rsidR="009E246E" w:rsidRPr="00E70A3D" w:rsidRDefault="009E246E" w:rsidP="009E246E">
      <w:pPr>
        <w:tabs>
          <w:tab w:val="left" w:pos="-1080"/>
          <w:tab w:val="left" w:pos="-720"/>
          <w:tab w:val="left" w:pos="0"/>
          <w:tab w:val="left" w:pos="348"/>
          <w:tab w:val="left" w:pos="720"/>
          <w:tab w:val="left" w:pos="1080"/>
          <w:tab w:val="left" w:pos="1438"/>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bookmarkStart w:id="385" w:name="_Hlk502772973"/>
    </w:p>
    <w:p w14:paraId="4597966F" w14:textId="77777777" w:rsidR="009E246E" w:rsidRDefault="009E246E" w:rsidP="009E246E">
      <w:r w:rsidRPr="00D163E1">
        <w:t>The agent(s) supplied by CTEP, DCTD, NCI used in this protocol is/are provided to the NCI under a Collaborative Agreement (CRADA, CTA, CSA) between the Pharmaceutical Company(</w:t>
      </w:r>
      <w:proofErr w:type="spellStart"/>
      <w:r w:rsidRPr="00D163E1">
        <w:t>ies</w:t>
      </w:r>
      <w:proofErr w:type="spellEnd"/>
      <w:r w:rsidRPr="00D163E1">
        <w:t xml:space="preserve">) (hereinafter referred to as </w:t>
      </w:r>
      <w:r>
        <w:t>“</w:t>
      </w:r>
      <w:r w:rsidRPr="00D163E1">
        <w:t>Collaborator(s)</w:t>
      </w:r>
      <w:r>
        <w:t>”</w:t>
      </w:r>
      <w:r w:rsidRPr="00D163E1">
        <w:t xml:space="preserve">) and the NCI Division of Cancer Treatment and Diagnosis.  Therefore, the following obligations/guidelines, in addition to the provisions in the </w:t>
      </w:r>
      <w:r>
        <w:t>“</w:t>
      </w:r>
      <w:r w:rsidRPr="00D163E1">
        <w:t>Intellectual Property Option to Collaborator</w:t>
      </w:r>
      <w:r>
        <w:t xml:space="preserve">” </w:t>
      </w:r>
    </w:p>
    <w:p w14:paraId="63730148" w14:textId="00E2E9E6" w:rsidR="009E246E" w:rsidRPr="00D163E1" w:rsidRDefault="009E246E" w:rsidP="009E246E">
      <w:r>
        <w:t>(</w:t>
      </w:r>
      <w:hyperlink r:id="rId90" w:history="1">
        <w:r w:rsidR="00F161D2" w:rsidRPr="0091739B">
          <w:rPr>
            <w:rStyle w:val="Hyperlink"/>
          </w:rPr>
          <w:t>http://ctep.cancer.gov/industryCollaborations2/intellectual_property.htm</w:t>
        </w:r>
      </w:hyperlink>
      <w:r w:rsidRPr="00D163E1">
        <w:t>) contained within the terms of award, apply to the use of the Agent(s) in this study:</w:t>
      </w:r>
    </w:p>
    <w:p w14:paraId="4E0502A5" w14:textId="77777777" w:rsidR="009E246E" w:rsidRPr="00D163E1" w:rsidRDefault="009E246E" w:rsidP="009E246E"/>
    <w:p w14:paraId="31434577" w14:textId="0BFFA63A" w:rsidR="009E246E" w:rsidRPr="00D163E1" w:rsidRDefault="009E246E" w:rsidP="009E246E">
      <w:pPr>
        <w:ind w:left="360" w:hanging="360"/>
      </w:pPr>
      <w:r>
        <w:t>1.</w:t>
      </w:r>
      <w:r>
        <w:tab/>
      </w:r>
      <w:r w:rsidRPr="00D163E1">
        <w:t>Agent(s) may not be used for any purpose outside the scope of this protocol, nor can Agent(s) be transferred or licensed to any party not partic</w:t>
      </w:r>
      <w:r>
        <w:t xml:space="preserve">ipating in the clinical study.  </w:t>
      </w:r>
      <w:r w:rsidRPr="00D163E1">
        <w:t xml:space="preserve">Collaborator(s) data for Agent(s) are confidential and proprietary to Collaborator(s) and shall be maintained as such by the investigators. </w:t>
      </w:r>
      <w:r>
        <w:t xml:space="preserve"> </w:t>
      </w:r>
      <w:r w:rsidRPr="00D163E1">
        <w:t xml:space="preserve">The protocol documents for studies utilizing Agents contain confidential information and should not be shared or distributed without the permission of the NCI.  If a copy of this protocol is requested by a patient or patient’s family member participating on the study, the individual should sign a confidentiality agreement. </w:t>
      </w:r>
      <w:r>
        <w:t xml:space="preserve"> </w:t>
      </w:r>
      <w:r w:rsidRPr="00D163E1">
        <w:t xml:space="preserve">A suitable model agreement can be downloaded from: </w:t>
      </w:r>
      <w:hyperlink r:id="rId91" w:history="1">
        <w:r w:rsidR="00F161D2" w:rsidRPr="0091739B">
          <w:rPr>
            <w:rStyle w:val="Hyperlink"/>
          </w:rPr>
          <w:t>http://ctep.cancer.gov</w:t>
        </w:r>
      </w:hyperlink>
      <w:r w:rsidRPr="00D163E1">
        <w:t>.</w:t>
      </w:r>
    </w:p>
    <w:p w14:paraId="7CCCB1AE" w14:textId="77777777" w:rsidR="009E246E" w:rsidRPr="00D163E1" w:rsidRDefault="009E246E" w:rsidP="009E246E"/>
    <w:p w14:paraId="53C95D0A" w14:textId="77777777" w:rsidR="009E246E" w:rsidRPr="00D163E1" w:rsidRDefault="009E246E" w:rsidP="009E246E">
      <w:pPr>
        <w:ind w:left="360" w:hanging="360"/>
      </w:pPr>
      <w:r w:rsidRPr="00D163E1">
        <w:t>2.</w:t>
      </w:r>
      <w:r>
        <w:tab/>
      </w:r>
      <w:r w:rsidRPr="00D163E1">
        <w:t xml:space="preserve">For a clinical protocol where there is an investigational Agent used in combination with (an)other Agent(s), each the subject of different </w:t>
      </w:r>
      <w:r>
        <w:t>C</w:t>
      </w:r>
      <w:r w:rsidRPr="00D163E1">
        <w:t xml:space="preserve">ollaborative </w:t>
      </w:r>
      <w:r>
        <w:t>A</w:t>
      </w:r>
      <w:r w:rsidRPr="00D163E1">
        <w:t>greements, the access to and use of data by each Collaborator shall be as follows (data pertaining to such combination use shall hereinafter be referred to as "Multi-Party Data</w:t>
      </w:r>
      <w:r>
        <w:t>”</w:t>
      </w:r>
      <w:r w:rsidRPr="00D163E1">
        <w:t>):</w:t>
      </w:r>
    </w:p>
    <w:p w14:paraId="6F033A26" w14:textId="77777777" w:rsidR="009E246E" w:rsidRPr="00D163E1" w:rsidRDefault="009E246E" w:rsidP="009E246E"/>
    <w:p w14:paraId="69DAA4C2" w14:textId="77777777" w:rsidR="009E246E" w:rsidRPr="00D163E1" w:rsidRDefault="009E246E" w:rsidP="009E246E">
      <w:pPr>
        <w:ind w:left="720" w:hanging="360"/>
      </w:pPr>
      <w:r w:rsidRPr="005B1156">
        <w:t>a.</w:t>
      </w:r>
      <w:r>
        <w:tab/>
      </w:r>
      <w:r w:rsidRPr="00D163E1">
        <w:t xml:space="preserve">NCI will provide all Collaborators with prior written notice regarding the existence and nature of any agreements governing their collaboration with </w:t>
      </w:r>
      <w:r>
        <w:t>NCI</w:t>
      </w:r>
      <w:r w:rsidRPr="00D163E1">
        <w:t>, the design of the proposed combination protocol, and the existence of any obligations that would tend to restrict NCI's participation in the proposed combination protocol.</w:t>
      </w:r>
    </w:p>
    <w:p w14:paraId="03EFA87B" w14:textId="77777777" w:rsidR="009E246E" w:rsidRPr="00D163E1" w:rsidRDefault="009E246E" w:rsidP="009E246E">
      <w:pPr>
        <w:ind w:left="1080" w:hanging="360"/>
      </w:pPr>
    </w:p>
    <w:p w14:paraId="1C1F2FC8" w14:textId="77777777" w:rsidR="009E246E" w:rsidRPr="00D163E1" w:rsidRDefault="009E246E" w:rsidP="009E246E">
      <w:pPr>
        <w:ind w:left="720" w:hanging="360"/>
      </w:pPr>
      <w:r w:rsidRPr="00D163E1">
        <w:t>b.</w:t>
      </w:r>
      <w:r>
        <w:tab/>
      </w:r>
      <w:r w:rsidRPr="00D163E1">
        <w:t>Each Collaborator shall agree to permit use of the Multi-Party Data from the clinical trial by any other Collaborator solely to the extent necessary to allow said other Collaborator to develop, obtain regulatory approval or commercialize its own Agent.</w:t>
      </w:r>
    </w:p>
    <w:p w14:paraId="7378CEDD" w14:textId="77777777" w:rsidR="009E246E" w:rsidRPr="00D163E1" w:rsidRDefault="009E246E" w:rsidP="009E246E">
      <w:pPr>
        <w:ind w:left="1080" w:hanging="360"/>
      </w:pPr>
    </w:p>
    <w:p w14:paraId="7CA4F1DD" w14:textId="77777777" w:rsidR="009E246E" w:rsidRPr="00D163E1" w:rsidRDefault="009E246E" w:rsidP="009E246E">
      <w:pPr>
        <w:ind w:left="720" w:hanging="360"/>
      </w:pPr>
      <w:r>
        <w:t>c.</w:t>
      </w:r>
      <w:r>
        <w:tab/>
      </w:r>
      <w:r w:rsidRPr="00D163E1">
        <w:t>Any Collaborator having the right to use the Multi-Party Data from these trials must agree in writing prior to the commencement of the trials that it will use the Multi-Party Data solely for development, regulatory approval, and commercialization of its own Agent.</w:t>
      </w:r>
    </w:p>
    <w:p w14:paraId="5EDF959B" w14:textId="77777777" w:rsidR="009E246E" w:rsidRPr="00D163E1" w:rsidRDefault="009E246E" w:rsidP="009E246E"/>
    <w:p w14:paraId="427B51EC" w14:textId="241E8E6A" w:rsidR="009E246E" w:rsidRPr="00D163E1" w:rsidRDefault="009E246E" w:rsidP="009E246E">
      <w:pPr>
        <w:ind w:left="360" w:hanging="360"/>
      </w:pPr>
      <w:r>
        <w:t>3.</w:t>
      </w:r>
      <w:r>
        <w:tab/>
      </w:r>
      <w:r w:rsidRPr="00D163E1">
        <w:t>Clinical Trial Data and Results and Raw Data developed under a Collaborative Agreement will be made available to Collaborator(s), the NCI, and the FDA, as appropriate and unless additional disclosure is required by law or court order</w:t>
      </w:r>
      <w:r>
        <w:t xml:space="preserve"> as described in</w:t>
      </w:r>
      <w:r w:rsidRPr="0033542F">
        <w:t xml:space="preserve"> </w:t>
      </w:r>
      <w:r w:rsidRPr="009852A4">
        <w:t>the IP Option to Collaborator</w:t>
      </w:r>
      <w:r>
        <w:t xml:space="preserve"> (</w:t>
      </w:r>
      <w:hyperlink r:id="rId92" w:history="1">
        <w:r w:rsidR="00F161D2" w:rsidRPr="004F5E38">
          <w:rPr>
            <w:rStyle w:val="Hyperlink"/>
          </w:rPr>
          <w:t>http://ctep.cancer.gov/industryCollaborations2/intellectual_property.htm</w:t>
        </w:r>
      </w:hyperlink>
      <w:r>
        <w:t>)</w:t>
      </w:r>
      <w:r w:rsidRPr="00D163E1">
        <w:t>.</w:t>
      </w:r>
      <w:r>
        <w:t xml:space="preserve"> </w:t>
      </w:r>
      <w:r w:rsidRPr="00D163E1">
        <w:rPr>
          <w:strike/>
        </w:rPr>
        <w:t xml:space="preserve"> </w:t>
      </w:r>
      <w:r w:rsidRPr="00D163E1">
        <w:lastRenderedPageBreak/>
        <w:t>Additionally, all Clinical Data and Results and Raw Data will be collected</w:t>
      </w:r>
      <w:r>
        <w:t>,</w:t>
      </w:r>
      <w:r w:rsidRPr="00D163E1">
        <w:t xml:space="preserve"> used and disclosed consistent with all applicable federal statutes and regulations for the protection of human subjects, including, if applicable, the </w:t>
      </w:r>
      <w:r w:rsidRPr="005B1156">
        <w:rPr>
          <w:i/>
        </w:rPr>
        <w:t>Standards for Privacy of Individually Identifiable Health Information</w:t>
      </w:r>
      <w:r w:rsidRPr="00D163E1">
        <w:t xml:space="preserve"> set forth in 45 C.F.R. Part 164.</w:t>
      </w:r>
    </w:p>
    <w:p w14:paraId="100292D2" w14:textId="77777777" w:rsidR="009E246E" w:rsidRDefault="009E246E" w:rsidP="009E246E">
      <w:pPr>
        <w:ind w:left="1440" w:hanging="360"/>
      </w:pPr>
    </w:p>
    <w:p w14:paraId="4DC72BB9" w14:textId="77777777" w:rsidR="009E246E" w:rsidRPr="00D163E1" w:rsidRDefault="009E246E" w:rsidP="009E246E">
      <w:pPr>
        <w:ind w:left="360" w:hanging="360"/>
      </w:pPr>
      <w:r>
        <w:t>4.</w:t>
      </w:r>
      <w:r>
        <w:tab/>
      </w:r>
      <w:r w:rsidRPr="00D163E1">
        <w:t>When a Collaborator wishes to initiate a data request, the request should first be sent to the NCI, who will then notify the appropriate investigators (Group Chair for Cooperative Group studies, or PI for other studies) of Collaborator's wish to contact them.</w:t>
      </w:r>
    </w:p>
    <w:p w14:paraId="6CE54334" w14:textId="77777777" w:rsidR="009E246E" w:rsidRPr="00D163E1" w:rsidRDefault="009E246E" w:rsidP="009E246E">
      <w:pPr>
        <w:ind w:left="360" w:hanging="360"/>
      </w:pPr>
    </w:p>
    <w:p w14:paraId="32500A6B" w14:textId="77777777" w:rsidR="009E246E" w:rsidRPr="00D163E1" w:rsidRDefault="009E246E" w:rsidP="009E246E">
      <w:pPr>
        <w:ind w:left="360" w:hanging="360"/>
      </w:pPr>
      <w:r>
        <w:t>5.</w:t>
      </w:r>
      <w:r>
        <w:tab/>
      </w:r>
      <w:r w:rsidRPr="00D163E1">
        <w:t>Any data provided to Collaborator(s) for Phase 3 studies must be in accordance with the guidelines and policies of the responsible Data Monitoring Committee (DMC), if there is a DMC for this clinical trial.</w:t>
      </w:r>
    </w:p>
    <w:p w14:paraId="43AC6D55" w14:textId="77777777" w:rsidR="009E246E" w:rsidRPr="00D163E1" w:rsidRDefault="009E246E" w:rsidP="009E246E">
      <w:pPr>
        <w:ind w:left="360" w:hanging="360"/>
      </w:pPr>
    </w:p>
    <w:p w14:paraId="48EB3423" w14:textId="77777777" w:rsidR="009E246E" w:rsidRPr="00D163E1" w:rsidRDefault="009E246E" w:rsidP="009E246E">
      <w:pPr>
        <w:ind w:left="360" w:hanging="360"/>
      </w:pPr>
      <w:r>
        <w:t>6.</w:t>
      </w:r>
      <w:r>
        <w:tab/>
      </w:r>
      <w:r w:rsidRPr="00D163E1">
        <w:t>Any manuscripts reporting the results of this clinical trial must be provided to CTEP by the Group office for Cooperative Group studies or by the principal investigator for non-Cooperative Group studies for immediate delivery to Collaborator(s) for advisory review and comment prior to submission for publication.  Collaborator(s) will have 30 days from the date of receipt for review.  Collaborator shall have the right to request that publication be delayed for up to an additional 30 days in order to ensure that Collaborator’s confidential and proprietary data, in addition to Collaborator(s)’s intellectual p</w:t>
      </w:r>
      <w:r>
        <w:t xml:space="preserve">roperty rights, are protected.  </w:t>
      </w:r>
      <w:r w:rsidRPr="00D163E1">
        <w:t xml:space="preserve">Copies of abstracts must be provided to CTEP for forwarding to Collaborator(s) for courtesy review as soon as possible and preferably at least three (3) days prior to submission, but in any case, prior to presentation at the meeting or publication in the proceedings. </w:t>
      </w:r>
      <w:r>
        <w:t xml:space="preserve"> </w:t>
      </w:r>
      <w:r w:rsidRPr="00D163E1">
        <w:t>Press releases and other media presentations must also be forw</w:t>
      </w:r>
      <w:r>
        <w:t xml:space="preserve">arded to CTEP prior to release.  </w:t>
      </w:r>
      <w:r w:rsidRPr="00D163E1">
        <w:t>Copies of any manuscript, abstract and/or press release/ media presentation should be sent to:</w:t>
      </w:r>
    </w:p>
    <w:p w14:paraId="023C0FE4" w14:textId="77777777" w:rsidR="009E246E" w:rsidRPr="00D163E1" w:rsidRDefault="009E246E" w:rsidP="009E246E"/>
    <w:p w14:paraId="553A43E4" w14:textId="1223F617" w:rsidR="009E246E" w:rsidRPr="009F38E8" w:rsidRDefault="009E246E" w:rsidP="009E246E">
      <w:pPr>
        <w:jc w:val="center"/>
      </w:pPr>
      <w:r w:rsidRPr="009F38E8">
        <w:t xml:space="preserve">Email:  </w:t>
      </w:r>
      <w:hyperlink r:id="rId93" w:history="1">
        <w:r w:rsidR="00F161D2" w:rsidRPr="009617CA">
          <w:rPr>
            <w:rStyle w:val="Hyperlink"/>
          </w:rPr>
          <w:t>ncicteppubs@mail.nih.gov</w:t>
        </w:r>
      </w:hyperlink>
    </w:p>
    <w:p w14:paraId="374B6629" w14:textId="77777777" w:rsidR="009E246E" w:rsidRPr="009F38E8" w:rsidRDefault="009E246E" w:rsidP="009E246E"/>
    <w:p w14:paraId="629B05B0" w14:textId="77777777" w:rsidR="009E246E" w:rsidRPr="00D163E1" w:rsidRDefault="009E246E" w:rsidP="009E246E">
      <w:pPr>
        <w:tabs>
          <w:tab w:val="left" w:pos="1440"/>
        </w:tabs>
      </w:pPr>
      <w:r w:rsidRPr="00D163E1">
        <w:t>The Regulatory Affairs Branch will then distribute them to Collaborator(s).  No publication, manuscript or other form of public disclosure shall contain any of Collaborator</w:t>
      </w:r>
      <w:r>
        <w:t>’</w:t>
      </w:r>
      <w:r w:rsidRPr="00D163E1">
        <w:t>s confidential/ proprietary information.</w:t>
      </w:r>
    </w:p>
    <w:p w14:paraId="7036261F" w14:textId="77777777" w:rsidR="009E246E" w:rsidRDefault="009E246E" w:rsidP="009E246E">
      <w:pPr>
        <w:widowControl/>
        <w:tabs>
          <w:tab w:val="left" w:pos="-1080"/>
          <w:tab w:val="left" w:pos="-720"/>
          <w:tab w:val="left" w:pos="0"/>
          <w:tab w:val="left" w:pos="348"/>
          <w:tab w:val="left" w:pos="720"/>
          <w:tab w:val="left" w:pos="1080"/>
          <w:tab w:val="left" w:pos="1438"/>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bookmarkStart w:id="386" w:name="_Hlk502772991"/>
      <w:bookmarkEnd w:id="385"/>
    </w:p>
    <w:p w14:paraId="361886AD" w14:textId="768B7CF0" w:rsidR="00FF7F9F" w:rsidRPr="007300F3" w:rsidRDefault="00FF7F9F" w:rsidP="009E246E">
      <w:pPr>
        <w:widowControl/>
        <w:tabs>
          <w:tab w:val="left" w:pos="-1080"/>
          <w:tab w:val="left" w:pos="-720"/>
          <w:tab w:val="left" w:pos="0"/>
          <w:tab w:val="left" w:pos="348"/>
          <w:tab w:val="left" w:pos="720"/>
          <w:tab w:val="left" w:pos="1080"/>
          <w:tab w:val="left" w:pos="1438"/>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p>
    <w:p w14:paraId="2BD9B6E8" w14:textId="77777777" w:rsidR="009E246E" w:rsidRDefault="009E246E" w:rsidP="009E246E">
      <w:pPr>
        <w:widowControl/>
      </w:pPr>
      <w:bookmarkStart w:id="387" w:name="_Toc485828124"/>
      <w:bookmarkEnd w:id="386"/>
      <w:bookmarkEnd w:id="387"/>
    </w:p>
    <w:p w14:paraId="5A4AB1C7" w14:textId="77777777" w:rsidR="009E246E" w:rsidRDefault="009E246E" w:rsidP="009E246E">
      <w:pPr>
        <w:widowControl/>
      </w:pPr>
      <w:r>
        <w:br w:type="page"/>
      </w:r>
    </w:p>
    <w:p w14:paraId="7E9314C7" w14:textId="77777777" w:rsidR="009E246E" w:rsidRPr="007300F3" w:rsidRDefault="009E246E" w:rsidP="00C94562">
      <w:pPr>
        <w:pStyle w:val="Heading1"/>
      </w:pPr>
      <w:bookmarkStart w:id="388" w:name="_Toc318813047"/>
      <w:bookmarkStart w:id="389" w:name="_Toc176419945"/>
      <w:r w:rsidRPr="007300F3">
        <w:lastRenderedPageBreak/>
        <w:t>REFERENCES</w:t>
      </w:r>
      <w:bookmarkEnd w:id="388"/>
      <w:bookmarkEnd w:id="389"/>
    </w:p>
    <w:p w14:paraId="6B910F4D" w14:textId="77777777" w:rsidR="009E246E" w:rsidRPr="007300F3" w:rsidRDefault="009E246E" w:rsidP="00C80A5F"/>
    <w:p w14:paraId="12D3A9E8" w14:textId="3F752F98" w:rsidR="00F665D2" w:rsidRPr="00B71078" w:rsidRDefault="00F665D2" w:rsidP="009E246E">
      <w:pPr>
        <w:suppressAutoHyphens/>
        <w:rPr>
          <w:iCs/>
          <w:color w:val="auto"/>
        </w:rPr>
      </w:pPr>
      <w:r w:rsidRPr="00B71078">
        <w:rPr>
          <w:iCs/>
          <w:color w:val="auto"/>
        </w:rPr>
        <w:t xml:space="preserve">Avery, T.L., R.A. Finch, K.M. Vasquez, </w:t>
      </w:r>
      <w:r w:rsidRPr="00B71078">
        <w:rPr>
          <w:i/>
          <w:color w:val="auto"/>
        </w:rPr>
        <w:t xml:space="preserve">et al.  </w:t>
      </w:r>
      <w:r w:rsidRPr="00B71078">
        <w:rPr>
          <w:iCs/>
          <w:color w:val="auto"/>
        </w:rPr>
        <w:t>(</w:t>
      </w:r>
      <w:r w:rsidR="001E6490" w:rsidRPr="00B71078">
        <w:rPr>
          <w:iCs/>
          <w:color w:val="auto"/>
        </w:rPr>
        <w:t>1990).  Chemotherapeutic characterization in mice of 2-amino-9-β-d-ribofuranosylpurine-6-sulfinamide (</w:t>
      </w:r>
      <w:proofErr w:type="spellStart"/>
      <w:r w:rsidR="001E6490" w:rsidRPr="00B71078">
        <w:rPr>
          <w:iCs/>
          <w:color w:val="auto"/>
        </w:rPr>
        <w:t>sulfinosine</w:t>
      </w:r>
      <w:proofErr w:type="spellEnd"/>
      <w:r w:rsidR="001E6490" w:rsidRPr="00B71078">
        <w:rPr>
          <w:iCs/>
          <w:color w:val="auto"/>
        </w:rPr>
        <w:t xml:space="preserve">), a novel purine nucleoside with unique antitumor properties.  </w:t>
      </w:r>
      <w:r w:rsidR="001E6490" w:rsidRPr="00B71078">
        <w:rPr>
          <w:i/>
          <w:color w:val="auto"/>
        </w:rPr>
        <w:t xml:space="preserve">Cancer Res.  </w:t>
      </w:r>
      <w:r w:rsidR="001E6490" w:rsidRPr="00B71078">
        <w:rPr>
          <w:iCs/>
          <w:color w:val="auto"/>
        </w:rPr>
        <w:t>50(9):</w:t>
      </w:r>
      <w:r w:rsidR="00AD04B4" w:rsidRPr="00B71078">
        <w:rPr>
          <w:iCs/>
          <w:color w:val="auto"/>
        </w:rPr>
        <w:t>2625-2630.</w:t>
      </w:r>
    </w:p>
    <w:p w14:paraId="2A2C2E78" w14:textId="77777777" w:rsidR="00F665D2" w:rsidRPr="00B71078" w:rsidRDefault="00F665D2" w:rsidP="009E246E">
      <w:pPr>
        <w:suppressAutoHyphens/>
        <w:rPr>
          <w:iCs/>
          <w:color w:val="auto"/>
        </w:rPr>
      </w:pPr>
    </w:p>
    <w:p w14:paraId="326FF4B0" w14:textId="696B1F24" w:rsidR="00BB4823" w:rsidRPr="00B71078" w:rsidRDefault="00BB4823" w:rsidP="009E246E">
      <w:pPr>
        <w:suppressAutoHyphens/>
        <w:rPr>
          <w:iCs/>
          <w:color w:val="auto"/>
        </w:rPr>
      </w:pPr>
      <w:r w:rsidRPr="00B71078">
        <w:rPr>
          <w:iCs/>
          <w:color w:val="auto"/>
        </w:rPr>
        <w:t xml:space="preserve">Aye, Y., M. Li, M.J.C. Long, </w:t>
      </w:r>
      <w:r w:rsidRPr="00FE2096">
        <w:rPr>
          <w:iCs/>
          <w:color w:val="auto"/>
        </w:rPr>
        <w:t>and R.S. Weiss</w:t>
      </w:r>
      <w:r w:rsidRPr="00B71078">
        <w:rPr>
          <w:iCs/>
          <w:color w:val="auto"/>
        </w:rPr>
        <w:t xml:space="preserve">.  (2015).  Ribonucleotide reductase and cancer: biological mechanisms and targeted therapies.  </w:t>
      </w:r>
      <w:r w:rsidRPr="00B71078">
        <w:rPr>
          <w:i/>
          <w:color w:val="auto"/>
        </w:rPr>
        <w:t xml:space="preserve">Oncogene.  </w:t>
      </w:r>
      <w:r w:rsidR="00CB544B" w:rsidRPr="00B71078">
        <w:rPr>
          <w:iCs/>
          <w:color w:val="auto"/>
        </w:rPr>
        <w:t>34(16):2011-2021.</w:t>
      </w:r>
    </w:p>
    <w:p w14:paraId="005C73F0" w14:textId="77777777" w:rsidR="00A51A34" w:rsidRPr="00B71078" w:rsidRDefault="00A51A34" w:rsidP="009E246E">
      <w:pPr>
        <w:suppressAutoHyphens/>
        <w:rPr>
          <w:iCs/>
          <w:color w:val="auto"/>
        </w:rPr>
      </w:pPr>
    </w:p>
    <w:p w14:paraId="110B4542" w14:textId="77434E4E" w:rsidR="003A06F2" w:rsidRPr="00B71078" w:rsidRDefault="003A06F2" w:rsidP="009E246E">
      <w:pPr>
        <w:suppressAutoHyphens/>
        <w:rPr>
          <w:iCs/>
          <w:color w:val="auto"/>
        </w:rPr>
      </w:pPr>
      <w:r w:rsidRPr="00B71078">
        <w:rPr>
          <w:iCs/>
          <w:color w:val="auto"/>
        </w:rPr>
        <w:t xml:space="preserve">Baumert, B.G., M. Brada, J. Bernier, </w:t>
      </w:r>
      <w:r w:rsidRPr="00B71078">
        <w:rPr>
          <w:i/>
          <w:color w:val="auto"/>
        </w:rPr>
        <w:t xml:space="preserve">et al.  </w:t>
      </w:r>
      <w:r w:rsidRPr="00B71078">
        <w:rPr>
          <w:iCs/>
          <w:color w:val="auto"/>
        </w:rPr>
        <w:t>(2008).  EORTC 22972-26991/MRC BR</w:t>
      </w:r>
      <w:r w:rsidR="000C2B49" w:rsidRPr="00B71078">
        <w:rPr>
          <w:iCs/>
          <w:color w:val="auto"/>
        </w:rPr>
        <w:t xml:space="preserve">10 trial: fractionated stereotactic boost following conventional radiotherapy of high grade gliomas.  Clinical and quality-assurance results of the stereotactic boost arm.  </w:t>
      </w:r>
      <w:proofErr w:type="spellStart"/>
      <w:r w:rsidR="000C2B49" w:rsidRPr="00B71078">
        <w:rPr>
          <w:i/>
          <w:color w:val="auto"/>
        </w:rPr>
        <w:t>Radiother</w:t>
      </w:r>
      <w:proofErr w:type="spellEnd"/>
      <w:r w:rsidR="000C2B49" w:rsidRPr="00B71078">
        <w:rPr>
          <w:i/>
          <w:color w:val="auto"/>
        </w:rPr>
        <w:t xml:space="preserve"> Oncol</w:t>
      </w:r>
      <w:r w:rsidR="00B2525C" w:rsidRPr="00B71078">
        <w:rPr>
          <w:i/>
          <w:color w:val="auto"/>
        </w:rPr>
        <w:t xml:space="preserve">.  </w:t>
      </w:r>
      <w:r w:rsidR="00B2525C" w:rsidRPr="00B71078">
        <w:rPr>
          <w:iCs/>
          <w:color w:val="auto"/>
        </w:rPr>
        <w:t>88(2):163-172.</w:t>
      </w:r>
    </w:p>
    <w:p w14:paraId="7D89C4A9" w14:textId="77777777" w:rsidR="003A06F2" w:rsidRPr="00B71078" w:rsidRDefault="003A06F2" w:rsidP="009E246E">
      <w:pPr>
        <w:suppressAutoHyphens/>
        <w:rPr>
          <w:iCs/>
          <w:color w:val="auto"/>
        </w:rPr>
      </w:pPr>
    </w:p>
    <w:p w14:paraId="0DDD7DCB" w14:textId="786CB5DD" w:rsidR="00A51A34" w:rsidRPr="00B71078" w:rsidRDefault="00A51A34" w:rsidP="009E246E">
      <w:pPr>
        <w:suppressAutoHyphens/>
        <w:rPr>
          <w:iCs/>
          <w:color w:val="auto"/>
        </w:rPr>
      </w:pPr>
      <w:r w:rsidRPr="00B71078">
        <w:rPr>
          <w:iCs/>
          <w:color w:val="auto"/>
        </w:rPr>
        <w:t xml:space="preserve">Bester, A.C., M. Roniger, Y.S. Oren, </w:t>
      </w:r>
      <w:r w:rsidRPr="00B71078">
        <w:rPr>
          <w:i/>
          <w:color w:val="auto"/>
        </w:rPr>
        <w:t xml:space="preserve">et al.  </w:t>
      </w:r>
      <w:r w:rsidR="00E868C7" w:rsidRPr="00B71078">
        <w:rPr>
          <w:iCs/>
          <w:color w:val="auto"/>
        </w:rPr>
        <w:t xml:space="preserve">(2011).  Nucleotide deficiency promotes genomic instability in early stages of cancer development. </w:t>
      </w:r>
      <w:r w:rsidR="0080396D" w:rsidRPr="00B71078">
        <w:rPr>
          <w:iCs/>
          <w:color w:val="auto"/>
        </w:rPr>
        <w:t xml:space="preserve"> </w:t>
      </w:r>
      <w:r w:rsidR="0080396D" w:rsidRPr="00B71078">
        <w:rPr>
          <w:i/>
          <w:color w:val="auto"/>
        </w:rPr>
        <w:t xml:space="preserve">Cell.  </w:t>
      </w:r>
      <w:r w:rsidR="0080396D" w:rsidRPr="00B71078">
        <w:rPr>
          <w:iCs/>
          <w:color w:val="auto"/>
        </w:rPr>
        <w:t>145(3):435-446.</w:t>
      </w:r>
    </w:p>
    <w:p w14:paraId="5E5DAFB3" w14:textId="77777777" w:rsidR="00284C31" w:rsidRPr="00B71078" w:rsidRDefault="00284C31" w:rsidP="009E246E">
      <w:pPr>
        <w:suppressAutoHyphens/>
        <w:rPr>
          <w:iCs/>
          <w:color w:val="auto"/>
        </w:rPr>
      </w:pPr>
    </w:p>
    <w:p w14:paraId="2EB5DB43" w14:textId="0FD6938F" w:rsidR="00284C31" w:rsidRPr="00B71078" w:rsidRDefault="00284C31" w:rsidP="009E246E">
      <w:pPr>
        <w:suppressAutoHyphens/>
        <w:rPr>
          <w:iCs/>
          <w:color w:val="auto"/>
        </w:rPr>
      </w:pPr>
      <w:r w:rsidRPr="00B71078">
        <w:rPr>
          <w:iCs/>
          <w:color w:val="auto"/>
        </w:rPr>
        <w:t xml:space="preserve">Cardinale, R., M. Won, A. Choucair, </w:t>
      </w:r>
      <w:r w:rsidRPr="00B71078">
        <w:rPr>
          <w:i/>
          <w:color w:val="auto"/>
        </w:rPr>
        <w:t xml:space="preserve">et al.  </w:t>
      </w:r>
      <w:r w:rsidRPr="00B71078">
        <w:rPr>
          <w:iCs/>
          <w:color w:val="auto"/>
        </w:rPr>
        <w:t>(</w:t>
      </w:r>
      <w:r w:rsidR="00710E96" w:rsidRPr="00B71078">
        <w:rPr>
          <w:iCs/>
          <w:color w:val="auto"/>
        </w:rPr>
        <w:t xml:space="preserve">2006).  A phase II trial of accelerated radiotherapy using weekly stereotactic conformal boost for supratentorial glioblastoma multiforme: RTOG 0023.  </w:t>
      </w:r>
      <w:r w:rsidR="00710E96" w:rsidRPr="00B71078">
        <w:rPr>
          <w:i/>
          <w:color w:val="auto"/>
        </w:rPr>
        <w:t xml:space="preserve">Int J </w:t>
      </w:r>
      <w:proofErr w:type="spellStart"/>
      <w:r w:rsidR="00710E96" w:rsidRPr="00B71078">
        <w:rPr>
          <w:i/>
          <w:color w:val="auto"/>
        </w:rPr>
        <w:t>Radiat</w:t>
      </w:r>
      <w:proofErr w:type="spellEnd"/>
      <w:r w:rsidR="00710E96" w:rsidRPr="00B71078">
        <w:rPr>
          <w:i/>
          <w:color w:val="auto"/>
        </w:rPr>
        <w:t xml:space="preserve"> Oncol Biol Phys.  </w:t>
      </w:r>
      <w:r w:rsidR="00710E96" w:rsidRPr="00B71078">
        <w:rPr>
          <w:iCs/>
          <w:color w:val="auto"/>
        </w:rPr>
        <w:t>65(5):</w:t>
      </w:r>
      <w:r w:rsidR="00046D26" w:rsidRPr="00B71078">
        <w:rPr>
          <w:iCs/>
          <w:color w:val="auto"/>
        </w:rPr>
        <w:t>1422-1428.</w:t>
      </w:r>
    </w:p>
    <w:p w14:paraId="25668B34" w14:textId="77777777" w:rsidR="001E5374" w:rsidRPr="00B71078" w:rsidRDefault="001E5374" w:rsidP="009E246E">
      <w:pPr>
        <w:suppressAutoHyphens/>
        <w:rPr>
          <w:iCs/>
          <w:color w:val="auto"/>
        </w:rPr>
      </w:pPr>
    </w:p>
    <w:p w14:paraId="48B83364" w14:textId="1EC457B3" w:rsidR="001E5374" w:rsidRPr="00B71078" w:rsidRDefault="001E5374" w:rsidP="009E246E">
      <w:pPr>
        <w:suppressAutoHyphens/>
        <w:rPr>
          <w:iCs/>
          <w:color w:val="auto"/>
        </w:rPr>
      </w:pPr>
      <w:r w:rsidRPr="00B71078">
        <w:rPr>
          <w:iCs/>
          <w:color w:val="auto"/>
        </w:rPr>
        <w:t xml:space="preserve">Chabes, A. and L. Thelander.  (2003).  DNA building blocks at the foundation of better survival.  </w:t>
      </w:r>
      <w:r w:rsidRPr="00B71078">
        <w:rPr>
          <w:i/>
          <w:color w:val="auto"/>
        </w:rPr>
        <w:t xml:space="preserve">Cell Cycle.  </w:t>
      </w:r>
      <w:r w:rsidR="00DE52A7" w:rsidRPr="00B71078">
        <w:rPr>
          <w:iCs/>
          <w:color w:val="auto"/>
        </w:rPr>
        <w:t>2(3):171-172.</w:t>
      </w:r>
    </w:p>
    <w:p w14:paraId="7CF84596" w14:textId="77777777" w:rsidR="00E63B96" w:rsidRPr="00B71078" w:rsidRDefault="00E63B96" w:rsidP="009E246E">
      <w:pPr>
        <w:suppressAutoHyphens/>
        <w:rPr>
          <w:iCs/>
          <w:color w:val="auto"/>
        </w:rPr>
      </w:pPr>
    </w:p>
    <w:p w14:paraId="21115150" w14:textId="10A101F0" w:rsidR="00E63B96" w:rsidRPr="00B71078" w:rsidRDefault="00E63B96" w:rsidP="009E246E">
      <w:pPr>
        <w:suppressAutoHyphens/>
        <w:rPr>
          <w:iCs/>
          <w:color w:val="auto"/>
        </w:rPr>
      </w:pPr>
      <w:r w:rsidRPr="00B71078">
        <w:rPr>
          <w:iCs/>
          <w:color w:val="auto"/>
        </w:rPr>
        <w:t xml:space="preserve">Chan, J.L., S.W. Lee, B.A. </w:t>
      </w:r>
      <w:proofErr w:type="spellStart"/>
      <w:r w:rsidRPr="00B71078">
        <w:rPr>
          <w:iCs/>
          <w:color w:val="auto"/>
        </w:rPr>
        <w:t>Fraass</w:t>
      </w:r>
      <w:proofErr w:type="spellEnd"/>
      <w:r w:rsidRPr="00B71078">
        <w:rPr>
          <w:iCs/>
          <w:color w:val="auto"/>
        </w:rPr>
        <w:t xml:space="preserve">, </w:t>
      </w:r>
      <w:r w:rsidRPr="00B71078">
        <w:rPr>
          <w:i/>
          <w:color w:val="auto"/>
        </w:rPr>
        <w:t xml:space="preserve">et al.  </w:t>
      </w:r>
      <w:r w:rsidRPr="00B71078">
        <w:rPr>
          <w:iCs/>
          <w:color w:val="auto"/>
        </w:rPr>
        <w:t>(</w:t>
      </w:r>
      <w:r w:rsidR="00D819CD" w:rsidRPr="00B71078">
        <w:rPr>
          <w:iCs/>
          <w:color w:val="auto"/>
        </w:rPr>
        <w:t xml:space="preserve">2002).  Survival and failure patterns of high-grade gliomas after three-dimensional conformal radiotherapy.  </w:t>
      </w:r>
      <w:r w:rsidR="00D819CD" w:rsidRPr="00B71078">
        <w:rPr>
          <w:i/>
          <w:color w:val="auto"/>
        </w:rPr>
        <w:t xml:space="preserve">J Clin Oncol.  </w:t>
      </w:r>
      <w:r w:rsidR="00D819CD" w:rsidRPr="00B71078">
        <w:rPr>
          <w:iCs/>
          <w:color w:val="auto"/>
        </w:rPr>
        <w:t>20(6):1635-1642.</w:t>
      </w:r>
    </w:p>
    <w:p w14:paraId="74090FE0" w14:textId="77777777" w:rsidR="00B33454" w:rsidRPr="00B71078" w:rsidRDefault="00B33454" w:rsidP="009E246E">
      <w:pPr>
        <w:suppressAutoHyphens/>
        <w:rPr>
          <w:iCs/>
          <w:color w:val="auto"/>
        </w:rPr>
      </w:pPr>
    </w:p>
    <w:p w14:paraId="5FF75C9E" w14:textId="42BE5CBB" w:rsidR="00B33454" w:rsidRPr="00B71078" w:rsidRDefault="00B33454" w:rsidP="009E246E">
      <w:pPr>
        <w:suppressAutoHyphens/>
        <w:rPr>
          <w:iCs/>
          <w:color w:val="auto"/>
        </w:rPr>
      </w:pPr>
      <w:r w:rsidRPr="00B71078">
        <w:rPr>
          <w:iCs/>
          <w:color w:val="auto"/>
        </w:rPr>
        <w:t xml:space="preserve">Chang, C.H., J. Horton, D. Schoenfeld, </w:t>
      </w:r>
      <w:r w:rsidRPr="00B71078">
        <w:rPr>
          <w:i/>
          <w:color w:val="auto"/>
        </w:rPr>
        <w:t xml:space="preserve">et al.  </w:t>
      </w:r>
      <w:r w:rsidRPr="00B71078">
        <w:rPr>
          <w:iCs/>
          <w:color w:val="auto"/>
        </w:rPr>
        <w:t>(1983).  Comparison of postoperative radiotherapy and combined postoperative radiotherapy</w:t>
      </w:r>
      <w:r w:rsidR="008A07CF" w:rsidRPr="00B71078">
        <w:rPr>
          <w:iCs/>
          <w:color w:val="auto"/>
        </w:rPr>
        <w:t xml:space="preserve"> and chemotherapy in the multidisciplinary management of malignant gliomas. A joint Radiation Therapy Oncology Group and Eastern Cooperative Oncology Group study.  </w:t>
      </w:r>
      <w:r w:rsidR="008A07CF" w:rsidRPr="00B71078">
        <w:rPr>
          <w:i/>
          <w:color w:val="auto"/>
        </w:rPr>
        <w:t xml:space="preserve">Cancer.  </w:t>
      </w:r>
      <w:r w:rsidR="006D26E4" w:rsidRPr="00B71078">
        <w:rPr>
          <w:iCs/>
          <w:color w:val="auto"/>
        </w:rPr>
        <w:t>52(6):997-1007.</w:t>
      </w:r>
    </w:p>
    <w:p w14:paraId="1410F954" w14:textId="77777777" w:rsidR="00BB4823" w:rsidRPr="00B71078" w:rsidRDefault="00BB4823" w:rsidP="009E246E">
      <w:pPr>
        <w:suppressAutoHyphens/>
        <w:rPr>
          <w:iCs/>
          <w:color w:val="auto"/>
        </w:rPr>
      </w:pPr>
    </w:p>
    <w:p w14:paraId="56B25511" w14:textId="0C0AC414" w:rsidR="00D14EF2" w:rsidRPr="00B71078" w:rsidRDefault="00D14EF2" w:rsidP="009E246E">
      <w:pPr>
        <w:suppressAutoHyphens/>
        <w:rPr>
          <w:iCs/>
          <w:color w:val="auto"/>
        </w:rPr>
      </w:pPr>
      <w:r w:rsidRPr="00B71078">
        <w:rPr>
          <w:iCs/>
          <w:color w:val="auto"/>
        </w:rPr>
        <w:t xml:space="preserve">Chao, J., T.W. Synold, R.J. Morgan, </w:t>
      </w:r>
      <w:r w:rsidRPr="00B71078">
        <w:rPr>
          <w:i/>
          <w:color w:val="auto"/>
        </w:rPr>
        <w:t xml:space="preserve">et al.  </w:t>
      </w:r>
      <w:r w:rsidRPr="00B71078">
        <w:rPr>
          <w:iCs/>
          <w:color w:val="auto"/>
        </w:rPr>
        <w:t>(</w:t>
      </w:r>
      <w:r w:rsidR="00A7413E" w:rsidRPr="00B71078">
        <w:rPr>
          <w:iCs/>
          <w:color w:val="auto"/>
        </w:rPr>
        <w:t xml:space="preserve">2012).  A phase I and pharmacokinetic study of oral 3-aminopyridine-2-carboxaldehyde thiosemicarbazone (3-AP, NSC #663249) in the treatment of advanced-stage solid cancers: a California Cancer Consortium study.  </w:t>
      </w:r>
      <w:r w:rsidR="00A7413E" w:rsidRPr="00B71078">
        <w:rPr>
          <w:i/>
          <w:color w:val="auto"/>
        </w:rPr>
        <w:t xml:space="preserve">Cancer </w:t>
      </w:r>
      <w:proofErr w:type="spellStart"/>
      <w:r w:rsidR="00A7413E" w:rsidRPr="00B71078">
        <w:rPr>
          <w:i/>
          <w:color w:val="auto"/>
        </w:rPr>
        <w:t>Chemother</w:t>
      </w:r>
      <w:proofErr w:type="spellEnd"/>
      <w:r w:rsidR="00A7413E" w:rsidRPr="00B71078">
        <w:rPr>
          <w:i/>
          <w:color w:val="auto"/>
        </w:rPr>
        <w:t xml:space="preserve"> </w:t>
      </w:r>
      <w:proofErr w:type="spellStart"/>
      <w:r w:rsidR="00A7413E" w:rsidRPr="00B71078">
        <w:rPr>
          <w:i/>
          <w:color w:val="auto"/>
        </w:rPr>
        <w:t>Pharmacol</w:t>
      </w:r>
      <w:proofErr w:type="spellEnd"/>
      <w:r w:rsidR="00A7413E" w:rsidRPr="00B71078">
        <w:rPr>
          <w:i/>
          <w:color w:val="auto"/>
        </w:rPr>
        <w:t xml:space="preserve">.  </w:t>
      </w:r>
      <w:r w:rsidR="001C2AAB" w:rsidRPr="00B71078">
        <w:rPr>
          <w:iCs/>
          <w:color w:val="auto"/>
        </w:rPr>
        <w:t>69(3):835-843.</w:t>
      </w:r>
    </w:p>
    <w:p w14:paraId="1E571686" w14:textId="77777777" w:rsidR="00B91A90" w:rsidRPr="00B71078" w:rsidRDefault="00B91A90" w:rsidP="009E246E">
      <w:pPr>
        <w:suppressAutoHyphens/>
        <w:rPr>
          <w:iCs/>
          <w:color w:val="auto"/>
        </w:rPr>
      </w:pPr>
    </w:p>
    <w:p w14:paraId="5E2C7CF7" w14:textId="5E6BFDA3" w:rsidR="00B91A90" w:rsidRPr="00B71078" w:rsidRDefault="00B91A90" w:rsidP="009E246E">
      <w:pPr>
        <w:suppressAutoHyphens/>
        <w:rPr>
          <w:iCs/>
          <w:color w:val="auto"/>
        </w:rPr>
      </w:pPr>
      <w:r w:rsidRPr="00B71078">
        <w:rPr>
          <w:iCs/>
          <w:color w:val="auto"/>
        </w:rPr>
        <w:t xml:space="preserve">Corn, B.W., M. Wang, S. Fox, </w:t>
      </w:r>
      <w:r w:rsidRPr="00B71078">
        <w:rPr>
          <w:i/>
          <w:color w:val="auto"/>
        </w:rPr>
        <w:t xml:space="preserve">et al.  </w:t>
      </w:r>
      <w:r w:rsidR="00655252" w:rsidRPr="00B71078">
        <w:rPr>
          <w:iCs/>
          <w:color w:val="auto"/>
        </w:rPr>
        <w:t xml:space="preserve">(2009).  Health related quality of life and cognitive status in patients with glioblastoma multiforme receiving escalating doses of conformal three dimensional radiation on RTOG 98-03.  </w:t>
      </w:r>
      <w:r w:rsidR="00655252" w:rsidRPr="00B71078">
        <w:rPr>
          <w:i/>
          <w:color w:val="auto"/>
        </w:rPr>
        <w:t xml:space="preserve">J </w:t>
      </w:r>
      <w:proofErr w:type="spellStart"/>
      <w:r w:rsidR="00655252" w:rsidRPr="00B71078">
        <w:rPr>
          <w:i/>
          <w:color w:val="auto"/>
        </w:rPr>
        <w:t>Neurooncol</w:t>
      </w:r>
      <w:proofErr w:type="spellEnd"/>
      <w:r w:rsidR="00655252" w:rsidRPr="00B71078">
        <w:rPr>
          <w:i/>
          <w:color w:val="auto"/>
        </w:rPr>
        <w:t xml:space="preserve">.  </w:t>
      </w:r>
      <w:r w:rsidR="00655252" w:rsidRPr="00B71078">
        <w:rPr>
          <w:iCs/>
          <w:color w:val="auto"/>
        </w:rPr>
        <w:t>95(2):247-257.</w:t>
      </w:r>
    </w:p>
    <w:p w14:paraId="396AB011" w14:textId="77777777" w:rsidR="00D57A50" w:rsidRPr="00B71078" w:rsidRDefault="00D57A50" w:rsidP="009E246E">
      <w:pPr>
        <w:suppressAutoHyphens/>
        <w:rPr>
          <w:iCs/>
          <w:color w:val="auto"/>
        </w:rPr>
      </w:pPr>
    </w:p>
    <w:p w14:paraId="6063F5CC" w14:textId="3A28C61C" w:rsidR="00D57A50" w:rsidRPr="00B71078" w:rsidRDefault="00D57A50" w:rsidP="009E246E">
      <w:pPr>
        <w:suppressAutoHyphens/>
        <w:rPr>
          <w:iCs/>
          <w:color w:val="auto"/>
        </w:rPr>
      </w:pPr>
      <w:r w:rsidRPr="00B71078">
        <w:rPr>
          <w:iCs/>
          <w:color w:val="auto"/>
        </w:rPr>
        <w:t xml:space="preserve">Corrales-Guerrero, S., T. Cui, V. Castro-Aceituno, </w:t>
      </w:r>
      <w:r w:rsidRPr="00B71078">
        <w:rPr>
          <w:i/>
          <w:color w:val="auto"/>
        </w:rPr>
        <w:t xml:space="preserve">et al.  </w:t>
      </w:r>
      <w:r w:rsidRPr="00B71078">
        <w:rPr>
          <w:iCs/>
          <w:color w:val="auto"/>
        </w:rPr>
        <w:t xml:space="preserve">(2023).  Inhibition of RRM2 </w:t>
      </w:r>
      <w:proofErr w:type="spellStart"/>
      <w:r w:rsidRPr="00B71078">
        <w:rPr>
          <w:iCs/>
          <w:color w:val="auto"/>
        </w:rPr>
        <w:t>radiosensitizes</w:t>
      </w:r>
      <w:proofErr w:type="spellEnd"/>
      <w:r w:rsidRPr="00B71078">
        <w:rPr>
          <w:iCs/>
          <w:color w:val="auto"/>
        </w:rPr>
        <w:t xml:space="preserve"> glioblastoma and uncovers synthetic lethality in combination with targeting CHK1.  </w:t>
      </w:r>
      <w:r w:rsidRPr="00B71078">
        <w:rPr>
          <w:i/>
          <w:color w:val="auto"/>
        </w:rPr>
        <w:t xml:space="preserve">Cancer Lett.  </w:t>
      </w:r>
      <w:r w:rsidR="00E94001" w:rsidRPr="00B71078">
        <w:rPr>
          <w:iCs/>
          <w:color w:val="auto"/>
        </w:rPr>
        <w:t>570:216308.</w:t>
      </w:r>
    </w:p>
    <w:p w14:paraId="2E5BB0FC" w14:textId="77777777" w:rsidR="003D7494" w:rsidRPr="00B71078" w:rsidRDefault="003D7494" w:rsidP="009E246E">
      <w:pPr>
        <w:suppressAutoHyphens/>
        <w:rPr>
          <w:iCs/>
          <w:color w:val="auto"/>
        </w:rPr>
      </w:pPr>
    </w:p>
    <w:p w14:paraId="64303DDD" w14:textId="515251AD" w:rsidR="003D7494" w:rsidRPr="00B71078" w:rsidRDefault="003D7494" w:rsidP="009E246E">
      <w:pPr>
        <w:suppressAutoHyphens/>
        <w:rPr>
          <w:iCs/>
          <w:color w:val="auto"/>
        </w:rPr>
      </w:pPr>
      <w:proofErr w:type="spellStart"/>
      <w:r w:rsidRPr="00B71078">
        <w:rPr>
          <w:iCs/>
          <w:color w:val="auto"/>
        </w:rPr>
        <w:t>Cotruvo</w:t>
      </w:r>
      <w:proofErr w:type="spellEnd"/>
      <w:r w:rsidRPr="00B71078">
        <w:rPr>
          <w:iCs/>
          <w:color w:val="auto"/>
        </w:rPr>
        <w:t>, J.A. and J. Stubbe.  (2011).  Class I ribonucleotide reductases: metallo</w:t>
      </w:r>
      <w:r w:rsidR="00C1762F" w:rsidRPr="00B71078">
        <w:rPr>
          <w:iCs/>
          <w:color w:val="auto"/>
        </w:rPr>
        <w:t xml:space="preserve">cofactor </w:t>
      </w:r>
      <w:r w:rsidR="00C1762F" w:rsidRPr="00B71078">
        <w:rPr>
          <w:iCs/>
          <w:color w:val="auto"/>
        </w:rPr>
        <w:lastRenderedPageBreak/>
        <w:t xml:space="preserve">assembly and repair in vitro and in vivo.  </w:t>
      </w:r>
      <w:r w:rsidR="00C1762F" w:rsidRPr="00B71078">
        <w:rPr>
          <w:i/>
          <w:color w:val="auto"/>
        </w:rPr>
        <w:t xml:space="preserve">Annu Rev </w:t>
      </w:r>
      <w:proofErr w:type="spellStart"/>
      <w:r w:rsidR="00C1762F" w:rsidRPr="00B71078">
        <w:rPr>
          <w:i/>
          <w:color w:val="auto"/>
        </w:rPr>
        <w:t>Biochem</w:t>
      </w:r>
      <w:proofErr w:type="spellEnd"/>
      <w:r w:rsidR="00C1762F" w:rsidRPr="00B71078">
        <w:rPr>
          <w:i/>
          <w:color w:val="auto"/>
        </w:rPr>
        <w:t xml:space="preserve">.  </w:t>
      </w:r>
      <w:r w:rsidR="00C1762F" w:rsidRPr="00B71078">
        <w:rPr>
          <w:iCs/>
          <w:color w:val="auto"/>
        </w:rPr>
        <w:t>80(1):733-767.</w:t>
      </w:r>
    </w:p>
    <w:p w14:paraId="3AC6CCBA" w14:textId="77777777" w:rsidR="00052923" w:rsidRPr="00B71078" w:rsidRDefault="00052923" w:rsidP="009E246E">
      <w:pPr>
        <w:suppressAutoHyphens/>
        <w:rPr>
          <w:iCs/>
          <w:color w:val="auto"/>
        </w:rPr>
      </w:pPr>
    </w:p>
    <w:p w14:paraId="241E22A9" w14:textId="296ADFB4" w:rsidR="00052923" w:rsidRPr="00B71078" w:rsidRDefault="00052923" w:rsidP="009E246E">
      <w:pPr>
        <w:suppressAutoHyphens/>
        <w:rPr>
          <w:iCs/>
          <w:color w:val="auto"/>
        </w:rPr>
      </w:pPr>
      <w:r w:rsidRPr="00B71078">
        <w:rPr>
          <w:iCs/>
          <w:color w:val="auto"/>
        </w:rPr>
        <w:t xml:space="preserve">Fairman, J.W., S.R. Wijerathna, M.F. Ahmad, </w:t>
      </w:r>
      <w:r w:rsidRPr="00B71078">
        <w:rPr>
          <w:i/>
          <w:color w:val="auto"/>
        </w:rPr>
        <w:t xml:space="preserve">et al.  </w:t>
      </w:r>
      <w:r w:rsidRPr="00B71078">
        <w:rPr>
          <w:iCs/>
          <w:color w:val="auto"/>
        </w:rPr>
        <w:t>(2011).  Structural basis</w:t>
      </w:r>
      <w:r w:rsidR="00720B5B" w:rsidRPr="00B71078">
        <w:rPr>
          <w:iCs/>
          <w:color w:val="auto"/>
        </w:rPr>
        <w:t xml:space="preserve"> for allosteric regulation of human ribonucleotide reductase by nucleotide-induced oligomerization.  </w:t>
      </w:r>
      <w:r w:rsidR="00720B5B" w:rsidRPr="00B71078">
        <w:rPr>
          <w:i/>
          <w:color w:val="auto"/>
        </w:rPr>
        <w:t xml:space="preserve">Nat Struct Mol Biol.  </w:t>
      </w:r>
      <w:r w:rsidR="00720B5B" w:rsidRPr="00B71078">
        <w:rPr>
          <w:iCs/>
          <w:color w:val="auto"/>
        </w:rPr>
        <w:t>18(3):316-322.</w:t>
      </w:r>
    </w:p>
    <w:p w14:paraId="5E83B6A4" w14:textId="77777777" w:rsidR="00D14EF2" w:rsidRPr="00B71078" w:rsidRDefault="00D14EF2" w:rsidP="009E246E">
      <w:pPr>
        <w:suppressAutoHyphens/>
        <w:rPr>
          <w:iCs/>
          <w:color w:val="auto"/>
        </w:rPr>
      </w:pPr>
    </w:p>
    <w:p w14:paraId="7DB71AE8" w14:textId="127646B8" w:rsidR="004D2AE4" w:rsidRPr="00B71078" w:rsidRDefault="00BD72A5" w:rsidP="009E246E">
      <w:pPr>
        <w:suppressAutoHyphens/>
        <w:rPr>
          <w:iCs/>
          <w:color w:val="auto"/>
        </w:rPr>
      </w:pPr>
      <w:proofErr w:type="spellStart"/>
      <w:r w:rsidRPr="00B71078">
        <w:rPr>
          <w:iCs/>
          <w:color w:val="auto"/>
        </w:rPr>
        <w:t>Feun</w:t>
      </w:r>
      <w:proofErr w:type="spellEnd"/>
      <w:r w:rsidRPr="00B71078">
        <w:rPr>
          <w:iCs/>
          <w:color w:val="auto"/>
        </w:rPr>
        <w:t xml:space="preserve">, L., M. Modiano, K. Lee, </w:t>
      </w:r>
      <w:r w:rsidRPr="00B71078">
        <w:rPr>
          <w:i/>
          <w:color w:val="auto"/>
        </w:rPr>
        <w:t xml:space="preserve">et al.  </w:t>
      </w:r>
      <w:r w:rsidRPr="00B71078">
        <w:rPr>
          <w:iCs/>
          <w:color w:val="auto"/>
        </w:rPr>
        <w:t>(2002).  Phase I and pharmacokinetic s</w:t>
      </w:r>
      <w:r w:rsidR="00B53157" w:rsidRPr="00B71078">
        <w:rPr>
          <w:iCs/>
          <w:color w:val="auto"/>
        </w:rPr>
        <w:t xml:space="preserve">tudy of 3-aminopyridine-2-carboxaldehyde thiosemicarbazone (3-AP) using a single intravenous dose schedule.  </w:t>
      </w:r>
      <w:r w:rsidR="00B53157" w:rsidRPr="00B71078">
        <w:rPr>
          <w:i/>
          <w:color w:val="auto"/>
        </w:rPr>
        <w:t xml:space="preserve">Cancer </w:t>
      </w:r>
      <w:proofErr w:type="spellStart"/>
      <w:r w:rsidR="00B53157" w:rsidRPr="00B71078">
        <w:rPr>
          <w:i/>
          <w:color w:val="auto"/>
        </w:rPr>
        <w:t>Chemother</w:t>
      </w:r>
      <w:proofErr w:type="spellEnd"/>
      <w:r w:rsidR="00B53157" w:rsidRPr="00B71078">
        <w:rPr>
          <w:i/>
          <w:color w:val="auto"/>
        </w:rPr>
        <w:t xml:space="preserve"> </w:t>
      </w:r>
      <w:proofErr w:type="spellStart"/>
      <w:r w:rsidR="00B53157" w:rsidRPr="00B71078">
        <w:rPr>
          <w:i/>
          <w:color w:val="auto"/>
        </w:rPr>
        <w:t>Pharmacol</w:t>
      </w:r>
      <w:proofErr w:type="spellEnd"/>
      <w:r w:rsidR="00B53157" w:rsidRPr="00B71078">
        <w:rPr>
          <w:i/>
          <w:color w:val="auto"/>
        </w:rPr>
        <w:t xml:space="preserve">.  </w:t>
      </w:r>
      <w:r w:rsidR="00B53157" w:rsidRPr="00B71078">
        <w:rPr>
          <w:iCs/>
          <w:color w:val="auto"/>
        </w:rPr>
        <w:t>50(3):223-229.</w:t>
      </w:r>
    </w:p>
    <w:p w14:paraId="0C3B3DD2" w14:textId="77777777" w:rsidR="00251355" w:rsidRPr="00B71078" w:rsidRDefault="00251355" w:rsidP="009E246E">
      <w:pPr>
        <w:suppressAutoHyphens/>
        <w:rPr>
          <w:iCs/>
          <w:color w:val="auto"/>
        </w:rPr>
      </w:pPr>
    </w:p>
    <w:p w14:paraId="654890A9" w14:textId="2EF5B7D5" w:rsidR="00251355" w:rsidRPr="00B71078" w:rsidRDefault="00251355" w:rsidP="009E246E">
      <w:pPr>
        <w:suppressAutoHyphens/>
        <w:rPr>
          <w:iCs/>
          <w:color w:val="auto"/>
        </w:rPr>
      </w:pPr>
      <w:r w:rsidRPr="00B71078">
        <w:rPr>
          <w:iCs/>
          <w:color w:val="auto"/>
        </w:rPr>
        <w:t xml:space="preserve">Finch, R.A., M.C. Liu, S.P. Grill, </w:t>
      </w:r>
      <w:r w:rsidRPr="00B71078">
        <w:rPr>
          <w:i/>
          <w:color w:val="auto"/>
        </w:rPr>
        <w:t xml:space="preserve">et al.  </w:t>
      </w:r>
      <w:r w:rsidRPr="00B71078">
        <w:rPr>
          <w:iCs/>
          <w:color w:val="auto"/>
        </w:rPr>
        <w:t xml:space="preserve">(2000).  </w:t>
      </w:r>
      <w:r w:rsidR="00AA4995" w:rsidRPr="00B71078">
        <w:rPr>
          <w:iCs/>
          <w:color w:val="auto"/>
        </w:rPr>
        <w:t xml:space="preserve">Triapine (3-aminopyridine-2-carboxaldehyde- thiosemicarbazone): a potent inhibitor of ribonucleotide reductase activity with broad spectrum antitumor activity.  </w:t>
      </w:r>
      <w:proofErr w:type="spellStart"/>
      <w:r w:rsidR="00AA4995" w:rsidRPr="00B71078">
        <w:rPr>
          <w:i/>
          <w:color w:val="auto"/>
        </w:rPr>
        <w:t>Biochem</w:t>
      </w:r>
      <w:proofErr w:type="spellEnd"/>
      <w:r w:rsidR="00AA4995" w:rsidRPr="00B71078">
        <w:rPr>
          <w:i/>
          <w:color w:val="auto"/>
        </w:rPr>
        <w:t xml:space="preserve"> </w:t>
      </w:r>
      <w:proofErr w:type="spellStart"/>
      <w:r w:rsidR="00AA4995" w:rsidRPr="00B71078">
        <w:rPr>
          <w:i/>
          <w:color w:val="auto"/>
        </w:rPr>
        <w:t>Pharmacol</w:t>
      </w:r>
      <w:proofErr w:type="spellEnd"/>
      <w:r w:rsidR="00AA4995" w:rsidRPr="00B71078">
        <w:rPr>
          <w:i/>
          <w:color w:val="auto"/>
        </w:rPr>
        <w:t xml:space="preserve">.  </w:t>
      </w:r>
      <w:r w:rsidR="00AA4995" w:rsidRPr="00B71078">
        <w:rPr>
          <w:iCs/>
          <w:color w:val="auto"/>
        </w:rPr>
        <w:t>59(8):983-991.</w:t>
      </w:r>
    </w:p>
    <w:p w14:paraId="0D808DD5" w14:textId="77777777" w:rsidR="00B16B7F" w:rsidRPr="00B71078" w:rsidRDefault="00B16B7F" w:rsidP="009E246E">
      <w:pPr>
        <w:suppressAutoHyphens/>
        <w:rPr>
          <w:iCs/>
          <w:color w:val="auto"/>
        </w:rPr>
      </w:pPr>
    </w:p>
    <w:p w14:paraId="4E718325" w14:textId="5C1C1DE2" w:rsidR="00B16B7F" w:rsidRPr="00B71078" w:rsidRDefault="00B16B7F" w:rsidP="009E246E">
      <w:pPr>
        <w:suppressAutoHyphens/>
        <w:rPr>
          <w:iCs/>
          <w:color w:val="auto"/>
        </w:rPr>
      </w:pPr>
      <w:r w:rsidRPr="00B71078">
        <w:rPr>
          <w:iCs/>
          <w:color w:val="auto"/>
        </w:rPr>
        <w:t xml:space="preserve">Fogh, S.E., D.W. Andrews, J. Glass, </w:t>
      </w:r>
      <w:r w:rsidRPr="00B71078">
        <w:rPr>
          <w:i/>
          <w:color w:val="auto"/>
        </w:rPr>
        <w:t xml:space="preserve">et al.  </w:t>
      </w:r>
      <w:r w:rsidRPr="00B71078">
        <w:rPr>
          <w:iCs/>
          <w:color w:val="auto"/>
        </w:rPr>
        <w:t>(</w:t>
      </w:r>
      <w:r w:rsidR="00C3063F" w:rsidRPr="00B71078">
        <w:rPr>
          <w:iCs/>
          <w:color w:val="auto"/>
        </w:rPr>
        <w:t xml:space="preserve">2010).  </w:t>
      </w:r>
      <w:proofErr w:type="spellStart"/>
      <w:r w:rsidR="00C3063F" w:rsidRPr="00B71078">
        <w:rPr>
          <w:iCs/>
          <w:color w:val="auto"/>
        </w:rPr>
        <w:t>Hypofractionated</w:t>
      </w:r>
      <w:proofErr w:type="spellEnd"/>
      <w:r w:rsidR="00C3063F" w:rsidRPr="00B71078">
        <w:rPr>
          <w:iCs/>
          <w:color w:val="auto"/>
        </w:rPr>
        <w:t xml:space="preserve"> stereotactic radiation therapy: an effective therapy for recurrent high-grade gliomas.  </w:t>
      </w:r>
      <w:r w:rsidR="00C3063F" w:rsidRPr="00B71078">
        <w:rPr>
          <w:i/>
          <w:color w:val="auto"/>
        </w:rPr>
        <w:t>J Clin Oncol</w:t>
      </w:r>
      <w:r w:rsidR="009C5482" w:rsidRPr="00B71078">
        <w:rPr>
          <w:i/>
          <w:color w:val="auto"/>
        </w:rPr>
        <w:t xml:space="preserve">.  </w:t>
      </w:r>
      <w:r w:rsidR="009C5482" w:rsidRPr="00B71078">
        <w:rPr>
          <w:iCs/>
          <w:color w:val="auto"/>
        </w:rPr>
        <w:t>28(18):3048-3053.</w:t>
      </w:r>
    </w:p>
    <w:p w14:paraId="24FBB8C0" w14:textId="77777777" w:rsidR="00C379D0" w:rsidRPr="00B71078" w:rsidRDefault="00C379D0" w:rsidP="009E246E">
      <w:pPr>
        <w:suppressAutoHyphens/>
        <w:rPr>
          <w:iCs/>
          <w:color w:val="auto"/>
        </w:rPr>
      </w:pPr>
    </w:p>
    <w:p w14:paraId="4CB14C0C" w14:textId="5A79435D" w:rsidR="00C379D0" w:rsidRPr="00B71078" w:rsidRDefault="00C379D0" w:rsidP="009E246E">
      <w:pPr>
        <w:suppressAutoHyphens/>
        <w:rPr>
          <w:iCs/>
          <w:color w:val="auto"/>
        </w:rPr>
      </w:pPr>
      <w:r w:rsidRPr="00B71078">
        <w:rPr>
          <w:iCs/>
          <w:color w:val="auto"/>
        </w:rPr>
        <w:t xml:space="preserve">Gilbert, M.R., M. Wang, K.D. Aldape, </w:t>
      </w:r>
      <w:r w:rsidRPr="00B71078">
        <w:rPr>
          <w:i/>
          <w:color w:val="auto"/>
        </w:rPr>
        <w:t xml:space="preserve">et al.  </w:t>
      </w:r>
      <w:r w:rsidRPr="00B71078">
        <w:rPr>
          <w:iCs/>
          <w:color w:val="auto"/>
        </w:rPr>
        <w:t xml:space="preserve">(2013).  </w:t>
      </w:r>
      <w:r w:rsidR="00AB5064" w:rsidRPr="00B71078">
        <w:rPr>
          <w:iCs/>
          <w:color w:val="auto"/>
        </w:rPr>
        <w:t xml:space="preserve">Dose-dense temozolomide for newly diagnosed glioblastoma: a randomized phase III clinical trial.  </w:t>
      </w:r>
      <w:r w:rsidR="00AB5064" w:rsidRPr="00B71078">
        <w:rPr>
          <w:i/>
          <w:color w:val="auto"/>
        </w:rPr>
        <w:t xml:space="preserve">J Clin Oncol.  </w:t>
      </w:r>
      <w:r w:rsidR="00AB5064" w:rsidRPr="00B71078">
        <w:rPr>
          <w:iCs/>
          <w:color w:val="auto"/>
        </w:rPr>
        <w:t>31(32):4085-4091.</w:t>
      </w:r>
    </w:p>
    <w:p w14:paraId="32C15696" w14:textId="77777777" w:rsidR="00924EA0" w:rsidRPr="00B71078" w:rsidRDefault="00924EA0" w:rsidP="009E246E">
      <w:pPr>
        <w:suppressAutoHyphens/>
        <w:rPr>
          <w:iCs/>
          <w:color w:val="auto"/>
        </w:rPr>
      </w:pPr>
    </w:p>
    <w:p w14:paraId="731F562A" w14:textId="0C33028B" w:rsidR="00924EA0" w:rsidRPr="00B71078" w:rsidRDefault="00924EA0" w:rsidP="009E246E">
      <w:pPr>
        <w:suppressAutoHyphens/>
        <w:rPr>
          <w:iCs/>
          <w:color w:val="auto"/>
        </w:rPr>
      </w:pPr>
      <w:r w:rsidRPr="00B71078">
        <w:rPr>
          <w:iCs/>
          <w:color w:val="auto"/>
        </w:rPr>
        <w:t xml:space="preserve">Grosu, A.L., W.A. Weber, M. Franz, </w:t>
      </w:r>
      <w:r w:rsidRPr="00B71078">
        <w:rPr>
          <w:i/>
          <w:color w:val="auto"/>
        </w:rPr>
        <w:t xml:space="preserve">et al.  </w:t>
      </w:r>
      <w:r w:rsidRPr="00B71078">
        <w:rPr>
          <w:iCs/>
          <w:color w:val="auto"/>
        </w:rPr>
        <w:t xml:space="preserve">(2005).  </w:t>
      </w:r>
      <w:r w:rsidR="005B788B" w:rsidRPr="00B71078">
        <w:rPr>
          <w:iCs/>
          <w:color w:val="auto"/>
        </w:rPr>
        <w:t xml:space="preserve">Reirradiation of recurrent high-grade gliomas using amino acid PET (SPECT)/CT/MRI image fusion to determine gross tumor volume for stereotactic fractionated radiotherapy.  </w:t>
      </w:r>
      <w:r w:rsidR="005B788B" w:rsidRPr="00B71078">
        <w:rPr>
          <w:i/>
          <w:color w:val="auto"/>
        </w:rPr>
        <w:t xml:space="preserve">Int J </w:t>
      </w:r>
      <w:proofErr w:type="spellStart"/>
      <w:r w:rsidR="005B788B" w:rsidRPr="00B71078">
        <w:rPr>
          <w:i/>
          <w:color w:val="auto"/>
        </w:rPr>
        <w:t>Radiat</w:t>
      </w:r>
      <w:proofErr w:type="spellEnd"/>
      <w:r w:rsidR="005B788B" w:rsidRPr="00B71078">
        <w:rPr>
          <w:i/>
          <w:color w:val="auto"/>
        </w:rPr>
        <w:t xml:space="preserve"> Oncol Biol Phys.  </w:t>
      </w:r>
      <w:r w:rsidR="00772495" w:rsidRPr="00B71078">
        <w:rPr>
          <w:iCs/>
          <w:color w:val="auto"/>
        </w:rPr>
        <w:t>63(2):511-519.</w:t>
      </w:r>
    </w:p>
    <w:p w14:paraId="7DC7EF92" w14:textId="77777777" w:rsidR="00A236B5" w:rsidRPr="00B71078" w:rsidRDefault="00A236B5" w:rsidP="009E246E">
      <w:pPr>
        <w:suppressAutoHyphens/>
        <w:rPr>
          <w:iCs/>
          <w:color w:val="auto"/>
        </w:rPr>
      </w:pPr>
    </w:p>
    <w:p w14:paraId="52B23EFA" w14:textId="3A53E028" w:rsidR="00A236B5" w:rsidRPr="00B71078" w:rsidRDefault="00A236B5" w:rsidP="009E246E">
      <w:pPr>
        <w:suppressAutoHyphens/>
        <w:rPr>
          <w:iCs/>
          <w:color w:val="auto"/>
        </w:rPr>
      </w:pPr>
      <w:r w:rsidRPr="00B71078">
        <w:rPr>
          <w:iCs/>
          <w:color w:val="auto"/>
        </w:rPr>
        <w:t xml:space="preserve">He, Z., X. Hu, W. Liu, </w:t>
      </w:r>
      <w:r w:rsidRPr="00B71078">
        <w:rPr>
          <w:i/>
          <w:color w:val="auto"/>
        </w:rPr>
        <w:t xml:space="preserve">et al.  </w:t>
      </w:r>
      <w:r w:rsidRPr="00B71078">
        <w:rPr>
          <w:iCs/>
          <w:color w:val="auto"/>
        </w:rPr>
        <w:t>(</w:t>
      </w:r>
      <w:r w:rsidR="00F563F4" w:rsidRPr="00B71078">
        <w:rPr>
          <w:iCs/>
          <w:color w:val="auto"/>
        </w:rPr>
        <w:t xml:space="preserve">2017).  P53 suppresses ribonucleotide reductase via inhibiting mTORC1.  </w:t>
      </w:r>
      <w:proofErr w:type="spellStart"/>
      <w:r w:rsidR="00BA1C24" w:rsidRPr="00B71078">
        <w:rPr>
          <w:i/>
          <w:color w:val="auto"/>
        </w:rPr>
        <w:t>Oncotarget</w:t>
      </w:r>
      <w:proofErr w:type="spellEnd"/>
      <w:r w:rsidR="00BA1C24" w:rsidRPr="00B71078">
        <w:rPr>
          <w:i/>
          <w:color w:val="auto"/>
        </w:rPr>
        <w:t xml:space="preserve">.  </w:t>
      </w:r>
      <w:r w:rsidR="00BA1C24" w:rsidRPr="00B71078">
        <w:rPr>
          <w:iCs/>
          <w:color w:val="auto"/>
        </w:rPr>
        <w:t>8(25):41422-41431.</w:t>
      </w:r>
    </w:p>
    <w:p w14:paraId="0E228CA3" w14:textId="77777777" w:rsidR="002501D9" w:rsidRPr="00B71078" w:rsidRDefault="002501D9" w:rsidP="009E246E">
      <w:pPr>
        <w:suppressAutoHyphens/>
        <w:rPr>
          <w:iCs/>
          <w:color w:val="auto"/>
        </w:rPr>
      </w:pPr>
    </w:p>
    <w:p w14:paraId="08A8EA76" w14:textId="20771A60" w:rsidR="002501D9" w:rsidRPr="00B71078" w:rsidRDefault="002501D9" w:rsidP="009E246E">
      <w:pPr>
        <w:suppressAutoHyphens/>
        <w:rPr>
          <w:iCs/>
          <w:color w:val="auto"/>
        </w:rPr>
      </w:pPr>
      <w:r w:rsidRPr="00B71078">
        <w:rPr>
          <w:iCs/>
          <w:color w:val="auto"/>
        </w:rPr>
        <w:t xml:space="preserve">Herrlinger, U., T. </w:t>
      </w:r>
      <w:proofErr w:type="spellStart"/>
      <w:r w:rsidRPr="00B71078">
        <w:rPr>
          <w:iCs/>
          <w:color w:val="auto"/>
        </w:rPr>
        <w:t>Tzaridis</w:t>
      </w:r>
      <w:proofErr w:type="spellEnd"/>
      <w:r w:rsidRPr="00B71078">
        <w:rPr>
          <w:iCs/>
          <w:color w:val="auto"/>
        </w:rPr>
        <w:t xml:space="preserve">, F. Mack, </w:t>
      </w:r>
      <w:r w:rsidRPr="00B71078">
        <w:rPr>
          <w:i/>
          <w:color w:val="auto"/>
        </w:rPr>
        <w:t xml:space="preserve">et al.  </w:t>
      </w:r>
      <w:r w:rsidRPr="00B71078">
        <w:rPr>
          <w:iCs/>
          <w:color w:val="auto"/>
        </w:rPr>
        <w:t>(</w:t>
      </w:r>
      <w:r w:rsidR="00C22353" w:rsidRPr="00B71078">
        <w:rPr>
          <w:iCs/>
          <w:color w:val="auto"/>
        </w:rPr>
        <w:t xml:space="preserve">2019).  </w:t>
      </w:r>
      <w:proofErr w:type="spellStart"/>
      <w:r w:rsidR="00C22353" w:rsidRPr="00B71078">
        <w:rPr>
          <w:iCs/>
          <w:color w:val="auto"/>
        </w:rPr>
        <w:t>Lomustine</w:t>
      </w:r>
      <w:proofErr w:type="spellEnd"/>
      <w:r w:rsidR="00C22353" w:rsidRPr="00B71078">
        <w:rPr>
          <w:iCs/>
          <w:color w:val="auto"/>
        </w:rPr>
        <w:t>-temozolomide combination therapy versus standard temozolomide therapy in patients with newly diagnosed glioblastoma with methylated MGMT promoter (</w:t>
      </w:r>
      <w:proofErr w:type="spellStart"/>
      <w:r w:rsidR="00C22353" w:rsidRPr="00B71078">
        <w:rPr>
          <w:iCs/>
          <w:color w:val="auto"/>
        </w:rPr>
        <w:t>CeTeG</w:t>
      </w:r>
      <w:proofErr w:type="spellEnd"/>
      <w:r w:rsidR="00C22353" w:rsidRPr="00B71078">
        <w:rPr>
          <w:iCs/>
          <w:color w:val="auto"/>
        </w:rPr>
        <w:t xml:space="preserve">/NOA-09): a randomized, open-label, phase 3 trial.  </w:t>
      </w:r>
      <w:r w:rsidR="00C22353" w:rsidRPr="00B71078">
        <w:rPr>
          <w:i/>
          <w:color w:val="auto"/>
        </w:rPr>
        <w:t xml:space="preserve">Lancet Lond Engl.  </w:t>
      </w:r>
      <w:r w:rsidR="00C22353" w:rsidRPr="00B71078">
        <w:rPr>
          <w:iCs/>
          <w:color w:val="auto"/>
        </w:rPr>
        <w:t>393(10172):678-688.</w:t>
      </w:r>
    </w:p>
    <w:p w14:paraId="099BB4FE" w14:textId="77777777" w:rsidR="00E866B8" w:rsidRPr="00B71078" w:rsidRDefault="00E866B8" w:rsidP="009E246E">
      <w:pPr>
        <w:suppressAutoHyphens/>
        <w:rPr>
          <w:iCs/>
          <w:color w:val="auto"/>
        </w:rPr>
      </w:pPr>
    </w:p>
    <w:p w14:paraId="4EB11971" w14:textId="6799CCE2" w:rsidR="00E866B8" w:rsidRPr="00B71078" w:rsidRDefault="00E866B8" w:rsidP="009E246E">
      <w:pPr>
        <w:suppressAutoHyphens/>
        <w:rPr>
          <w:iCs/>
          <w:color w:val="auto"/>
        </w:rPr>
      </w:pPr>
      <w:r w:rsidRPr="00B71078">
        <w:rPr>
          <w:iCs/>
          <w:color w:val="auto"/>
        </w:rPr>
        <w:t xml:space="preserve">Investigator’s Brochure.  (2018).  </w:t>
      </w:r>
      <w:proofErr w:type="spellStart"/>
      <w:r w:rsidRPr="00B71078">
        <w:rPr>
          <w:iCs/>
          <w:color w:val="auto"/>
        </w:rPr>
        <w:t>Trapine</w:t>
      </w:r>
      <w:proofErr w:type="spellEnd"/>
      <w:r w:rsidRPr="00B71078">
        <w:rPr>
          <w:iCs/>
          <w:color w:val="auto"/>
        </w:rPr>
        <w:t xml:space="preserve">® </w:t>
      </w:r>
      <w:r w:rsidR="00230BB3" w:rsidRPr="00B71078">
        <w:rPr>
          <w:iCs/>
          <w:color w:val="auto"/>
        </w:rPr>
        <w:t xml:space="preserve">oral capsules (3-aminopyridine-2-carboxaldehyde thiosemicarbazone or 3-AP).  </w:t>
      </w:r>
      <w:r w:rsidR="00795A06" w:rsidRPr="00B71078">
        <w:rPr>
          <w:iCs/>
          <w:color w:val="auto"/>
        </w:rPr>
        <w:t>Version 22 October</w:t>
      </w:r>
      <w:r w:rsidR="00896EFA" w:rsidRPr="00B71078">
        <w:rPr>
          <w:iCs/>
          <w:color w:val="auto"/>
        </w:rPr>
        <w:t xml:space="preserve"> 2018.  </w:t>
      </w:r>
      <w:proofErr w:type="spellStart"/>
      <w:r w:rsidR="00896EFA" w:rsidRPr="00B71078">
        <w:rPr>
          <w:iCs/>
          <w:color w:val="auto"/>
        </w:rPr>
        <w:t>Nanopharmaceutics</w:t>
      </w:r>
      <w:proofErr w:type="spellEnd"/>
      <w:r w:rsidR="00896EFA" w:rsidRPr="00B71078">
        <w:rPr>
          <w:iCs/>
          <w:color w:val="auto"/>
        </w:rPr>
        <w:t xml:space="preserve">, LLC.  </w:t>
      </w:r>
      <w:r w:rsidR="00D55BED" w:rsidRPr="00B71078">
        <w:rPr>
          <w:iCs/>
          <w:color w:val="auto"/>
        </w:rPr>
        <w:t>Alachua, FL.</w:t>
      </w:r>
    </w:p>
    <w:p w14:paraId="697C050C" w14:textId="77777777" w:rsidR="004167F5" w:rsidRPr="00B71078" w:rsidRDefault="004167F5" w:rsidP="009E246E">
      <w:pPr>
        <w:suppressAutoHyphens/>
        <w:rPr>
          <w:iCs/>
          <w:color w:val="auto"/>
        </w:rPr>
      </w:pPr>
    </w:p>
    <w:p w14:paraId="3B5A9756" w14:textId="59B47E74" w:rsidR="004167F5" w:rsidRPr="00B71078" w:rsidRDefault="007709EA" w:rsidP="009E246E">
      <w:pPr>
        <w:suppressAutoHyphens/>
        <w:rPr>
          <w:iCs/>
          <w:color w:val="auto"/>
        </w:rPr>
      </w:pPr>
      <w:r w:rsidRPr="00B71078">
        <w:rPr>
          <w:iCs/>
          <w:color w:val="auto"/>
        </w:rPr>
        <w:t>Jiang, Z.G., M.S. Lebowitz, and H.A. Ghanbari.  (2006).  Neuroprotective activity of 3-aminopyridine-2-carboxaldehyde thiosemicarbazone</w:t>
      </w:r>
      <w:r w:rsidR="00E45E0D" w:rsidRPr="00B71078">
        <w:rPr>
          <w:iCs/>
          <w:color w:val="auto"/>
        </w:rPr>
        <w:t xml:space="preserve"> (PAN-811), a cancer therapeutic agent.  </w:t>
      </w:r>
      <w:r w:rsidR="00E45E0D" w:rsidRPr="00B71078">
        <w:rPr>
          <w:i/>
          <w:color w:val="auto"/>
        </w:rPr>
        <w:t xml:space="preserve">CNS Drug Rev.  </w:t>
      </w:r>
      <w:r w:rsidR="00E45E0D" w:rsidRPr="00B71078">
        <w:rPr>
          <w:iCs/>
          <w:color w:val="auto"/>
        </w:rPr>
        <w:t>12(1):77-90.</w:t>
      </w:r>
    </w:p>
    <w:p w14:paraId="2DFF4F74" w14:textId="77777777" w:rsidR="00391033" w:rsidRPr="00B71078" w:rsidRDefault="00391033" w:rsidP="009E246E">
      <w:pPr>
        <w:suppressAutoHyphens/>
        <w:rPr>
          <w:iCs/>
          <w:color w:val="auto"/>
        </w:rPr>
      </w:pPr>
    </w:p>
    <w:p w14:paraId="794B57CF" w14:textId="2D3A95E3" w:rsidR="00391033" w:rsidRPr="00B71078" w:rsidRDefault="00391033" w:rsidP="009E246E">
      <w:pPr>
        <w:suppressAutoHyphens/>
        <w:rPr>
          <w:iCs/>
          <w:color w:val="auto"/>
        </w:rPr>
      </w:pPr>
      <w:r w:rsidRPr="00B71078">
        <w:rPr>
          <w:iCs/>
          <w:color w:val="auto"/>
        </w:rPr>
        <w:t xml:space="preserve">Kazmi, F., Y.Y. Soon, Y.H. Leong, </w:t>
      </w:r>
      <w:r w:rsidRPr="00B71078">
        <w:rPr>
          <w:i/>
          <w:color w:val="auto"/>
        </w:rPr>
        <w:t xml:space="preserve">et al.  </w:t>
      </w:r>
      <w:r w:rsidRPr="00B71078">
        <w:rPr>
          <w:iCs/>
          <w:color w:val="auto"/>
        </w:rPr>
        <w:t>(</w:t>
      </w:r>
      <w:r w:rsidR="007A21F1" w:rsidRPr="00B71078">
        <w:rPr>
          <w:iCs/>
          <w:color w:val="auto"/>
        </w:rPr>
        <w:t xml:space="preserve">2019).  Re-irradiation for recurrent glioblastoma (GBM): a systematic review and meta-analysis.  </w:t>
      </w:r>
      <w:r w:rsidR="007A21F1" w:rsidRPr="00B71078">
        <w:rPr>
          <w:i/>
          <w:color w:val="auto"/>
        </w:rPr>
        <w:t xml:space="preserve">J </w:t>
      </w:r>
      <w:proofErr w:type="spellStart"/>
      <w:r w:rsidR="007A21F1" w:rsidRPr="00B71078">
        <w:rPr>
          <w:i/>
          <w:color w:val="auto"/>
        </w:rPr>
        <w:t>Neurooncol</w:t>
      </w:r>
      <w:proofErr w:type="spellEnd"/>
      <w:r w:rsidR="007A21F1" w:rsidRPr="00B71078">
        <w:rPr>
          <w:i/>
          <w:color w:val="auto"/>
        </w:rPr>
        <w:t xml:space="preserve">.  </w:t>
      </w:r>
      <w:r w:rsidR="007A21F1" w:rsidRPr="00B71078">
        <w:rPr>
          <w:iCs/>
          <w:color w:val="auto"/>
        </w:rPr>
        <w:t>142(1):79-90.</w:t>
      </w:r>
    </w:p>
    <w:p w14:paraId="6FB42EA8" w14:textId="77777777" w:rsidR="00F35A2A" w:rsidRPr="00B71078" w:rsidRDefault="00F35A2A" w:rsidP="009E246E">
      <w:pPr>
        <w:suppressAutoHyphens/>
        <w:rPr>
          <w:iCs/>
          <w:color w:val="auto"/>
        </w:rPr>
      </w:pPr>
    </w:p>
    <w:p w14:paraId="266B621F" w14:textId="0A382544" w:rsidR="004F0D71" w:rsidRPr="00B71078" w:rsidRDefault="004F0D71" w:rsidP="009E246E">
      <w:pPr>
        <w:suppressAutoHyphens/>
        <w:rPr>
          <w:iCs/>
          <w:color w:val="auto"/>
        </w:rPr>
      </w:pPr>
      <w:r w:rsidRPr="00B71078">
        <w:rPr>
          <w:iCs/>
          <w:color w:val="auto"/>
        </w:rPr>
        <w:t xml:space="preserve">Koshy, M., J.L. Villano, T.A. Dolecek, </w:t>
      </w:r>
      <w:r w:rsidRPr="00B71078">
        <w:rPr>
          <w:i/>
          <w:color w:val="auto"/>
        </w:rPr>
        <w:t xml:space="preserve">et al.  </w:t>
      </w:r>
      <w:r w:rsidRPr="00B71078">
        <w:rPr>
          <w:iCs/>
          <w:color w:val="auto"/>
        </w:rPr>
        <w:t xml:space="preserve">(2012).  Improved survival time trends for glioblastoma using the SEER 17 population-based registries.  </w:t>
      </w:r>
      <w:r w:rsidRPr="00B71078">
        <w:rPr>
          <w:i/>
          <w:color w:val="auto"/>
        </w:rPr>
        <w:t xml:space="preserve">J </w:t>
      </w:r>
      <w:proofErr w:type="spellStart"/>
      <w:r w:rsidRPr="00B71078">
        <w:rPr>
          <w:i/>
          <w:color w:val="auto"/>
        </w:rPr>
        <w:t>Neurooncol</w:t>
      </w:r>
      <w:proofErr w:type="spellEnd"/>
      <w:r w:rsidRPr="00B71078">
        <w:rPr>
          <w:i/>
          <w:color w:val="auto"/>
        </w:rPr>
        <w:t xml:space="preserve">.  </w:t>
      </w:r>
      <w:r w:rsidRPr="00B71078">
        <w:rPr>
          <w:iCs/>
          <w:color w:val="auto"/>
        </w:rPr>
        <w:t>107(1):207-212.</w:t>
      </w:r>
    </w:p>
    <w:p w14:paraId="15D0B013" w14:textId="77777777" w:rsidR="004F0D71" w:rsidRPr="00B71078" w:rsidRDefault="004F0D71" w:rsidP="009E246E">
      <w:pPr>
        <w:suppressAutoHyphens/>
        <w:rPr>
          <w:iCs/>
          <w:color w:val="auto"/>
        </w:rPr>
      </w:pPr>
    </w:p>
    <w:p w14:paraId="60B381D5" w14:textId="00A00446" w:rsidR="00957B5E" w:rsidRPr="00B71078" w:rsidRDefault="00957B5E" w:rsidP="009E246E">
      <w:pPr>
        <w:suppressAutoHyphens/>
        <w:rPr>
          <w:iCs/>
          <w:color w:val="auto"/>
        </w:rPr>
      </w:pPr>
      <w:r w:rsidRPr="00B71078">
        <w:rPr>
          <w:iCs/>
          <w:color w:val="auto"/>
        </w:rPr>
        <w:lastRenderedPageBreak/>
        <w:t xml:space="preserve">Kunos, C.A., E. Chu, J.H. Beumer, </w:t>
      </w:r>
      <w:r w:rsidRPr="00B71078">
        <w:rPr>
          <w:i/>
          <w:color w:val="auto"/>
        </w:rPr>
        <w:t xml:space="preserve">et al.  </w:t>
      </w:r>
      <w:r w:rsidRPr="00B71078">
        <w:rPr>
          <w:iCs/>
          <w:color w:val="auto"/>
        </w:rPr>
        <w:t xml:space="preserve">(2017).  Phase I trial of daily triapine in combination with cisplatin chemotherapy for advanced-stage malignancies.  </w:t>
      </w:r>
      <w:r w:rsidRPr="00B71078">
        <w:rPr>
          <w:i/>
          <w:color w:val="auto"/>
        </w:rPr>
        <w:t xml:space="preserve">Cancer </w:t>
      </w:r>
      <w:proofErr w:type="spellStart"/>
      <w:r w:rsidRPr="00B71078">
        <w:rPr>
          <w:i/>
          <w:color w:val="auto"/>
        </w:rPr>
        <w:t>Chemother</w:t>
      </w:r>
      <w:proofErr w:type="spellEnd"/>
      <w:r w:rsidRPr="00B71078">
        <w:rPr>
          <w:i/>
          <w:color w:val="auto"/>
        </w:rPr>
        <w:t xml:space="preserve"> </w:t>
      </w:r>
      <w:proofErr w:type="spellStart"/>
      <w:r w:rsidRPr="00B71078">
        <w:rPr>
          <w:i/>
          <w:color w:val="auto"/>
        </w:rPr>
        <w:t>Pharmacol</w:t>
      </w:r>
      <w:proofErr w:type="spellEnd"/>
      <w:r w:rsidRPr="00B71078">
        <w:rPr>
          <w:i/>
          <w:color w:val="auto"/>
        </w:rPr>
        <w:t xml:space="preserve">. </w:t>
      </w:r>
      <w:r w:rsidRPr="00B71078">
        <w:rPr>
          <w:iCs/>
          <w:color w:val="auto"/>
        </w:rPr>
        <w:t>79(1):201-207.</w:t>
      </w:r>
    </w:p>
    <w:p w14:paraId="530321A9" w14:textId="77777777" w:rsidR="00957B5E" w:rsidRPr="00B71078" w:rsidRDefault="00957B5E" w:rsidP="009E246E">
      <w:pPr>
        <w:suppressAutoHyphens/>
        <w:rPr>
          <w:iCs/>
          <w:color w:val="auto"/>
        </w:rPr>
      </w:pPr>
    </w:p>
    <w:p w14:paraId="2BAF0D8C" w14:textId="6188AA89" w:rsidR="00F35A2A" w:rsidRPr="00B71078" w:rsidRDefault="00F35A2A" w:rsidP="009E246E">
      <w:pPr>
        <w:suppressAutoHyphens/>
        <w:rPr>
          <w:iCs/>
          <w:color w:val="auto"/>
        </w:rPr>
      </w:pPr>
      <w:r w:rsidRPr="00B71078">
        <w:rPr>
          <w:iCs/>
          <w:color w:val="auto"/>
        </w:rPr>
        <w:t xml:space="preserve">Kunos, C.A. and S.P. Ivy.  (2018).  </w:t>
      </w:r>
      <w:proofErr w:type="spellStart"/>
      <w:r w:rsidR="009308F6" w:rsidRPr="00B71078">
        <w:rPr>
          <w:iCs/>
          <w:color w:val="auto"/>
        </w:rPr>
        <w:t>Triapine</w:t>
      </w:r>
      <w:proofErr w:type="spellEnd"/>
      <w:r w:rsidR="009308F6" w:rsidRPr="00B71078">
        <w:rPr>
          <w:iCs/>
          <w:color w:val="auto"/>
        </w:rPr>
        <w:t xml:space="preserve"> </w:t>
      </w:r>
      <w:proofErr w:type="spellStart"/>
      <w:r w:rsidR="009308F6" w:rsidRPr="00B71078">
        <w:rPr>
          <w:iCs/>
          <w:color w:val="auto"/>
        </w:rPr>
        <w:t>radiochemotherapy</w:t>
      </w:r>
      <w:proofErr w:type="spellEnd"/>
      <w:r w:rsidR="009308F6" w:rsidRPr="00B71078">
        <w:rPr>
          <w:iCs/>
          <w:color w:val="auto"/>
        </w:rPr>
        <w:t xml:space="preserve"> </w:t>
      </w:r>
      <w:proofErr w:type="gramStart"/>
      <w:r w:rsidR="009308F6" w:rsidRPr="00B71078">
        <w:rPr>
          <w:iCs/>
          <w:color w:val="auto"/>
        </w:rPr>
        <w:t>in</w:t>
      </w:r>
      <w:proofErr w:type="gramEnd"/>
      <w:r w:rsidR="009308F6" w:rsidRPr="00B71078">
        <w:rPr>
          <w:iCs/>
          <w:color w:val="auto"/>
        </w:rPr>
        <w:t xml:space="preserve"> advanced stage cervical cancer.  </w:t>
      </w:r>
      <w:r w:rsidR="009308F6" w:rsidRPr="00B71078">
        <w:rPr>
          <w:i/>
          <w:color w:val="auto"/>
        </w:rPr>
        <w:t xml:space="preserve">Front Oncol.  </w:t>
      </w:r>
      <w:r w:rsidR="009308F6" w:rsidRPr="00B71078">
        <w:rPr>
          <w:iCs/>
          <w:color w:val="auto"/>
        </w:rPr>
        <w:t>8:149.</w:t>
      </w:r>
    </w:p>
    <w:p w14:paraId="525EEC90" w14:textId="77777777" w:rsidR="00B020D6" w:rsidRPr="00B71078" w:rsidRDefault="00B020D6" w:rsidP="009E246E">
      <w:pPr>
        <w:suppressAutoHyphens/>
        <w:rPr>
          <w:iCs/>
          <w:color w:val="auto"/>
        </w:rPr>
      </w:pPr>
    </w:p>
    <w:p w14:paraId="6A9D09F4" w14:textId="6A15E814" w:rsidR="00B020D6" w:rsidRPr="00B71078" w:rsidRDefault="00B020D6" w:rsidP="009E246E">
      <w:pPr>
        <w:suppressAutoHyphens/>
        <w:rPr>
          <w:iCs/>
          <w:color w:val="auto"/>
        </w:rPr>
      </w:pPr>
      <w:r w:rsidRPr="00B71078">
        <w:rPr>
          <w:iCs/>
          <w:color w:val="auto"/>
        </w:rPr>
        <w:t xml:space="preserve">Lawrence, Y.R., X.A. Li, I. </w:t>
      </w:r>
      <w:proofErr w:type="spellStart"/>
      <w:r w:rsidRPr="00B71078">
        <w:rPr>
          <w:iCs/>
          <w:color w:val="auto"/>
        </w:rPr>
        <w:t>el</w:t>
      </w:r>
      <w:proofErr w:type="spellEnd"/>
      <w:r w:rsidRPr="00B71078">
        <w:rPr>
          <w:iCs/>
          <w:color w:val="auto"/>
        </w:rPr>
        <w:t xml:space="preserve"> Naqa, </w:t>
      </w:r>
      <w:r w:rsidRPr="00B71078">
        <w:rPr>
          <w:i/>
          <w:color w:val="auto"/>
        </w:rPr>
        <w:t xml:space="preserve">et al.  </w:t>
      </w:r>
      <w:r w:rsidRPr="00B71078">
        <w:rPr>
          <w:iCs/>
          <w:color w:val="auto"/>
        </w:rPr>
        <w:t>(</w:t>
      </w:r>
      <w:r w:rsidR="008352B5" w:rsidRPr="00B71078">
        <w:rPr>
          <w:iCs/>
          <w:color w:val="auto"/>
        </w:rPr>
        <w:t xml:space="preserve">2010).  Radiation dose-volume effects in the brain.  </w:t>
      </w:r>
      <w:r w:rsidR="008352B5" w:rsidRPr="00B71078">
        <w:rPr>
          <w:i/>
          <w:color w:val="auto"/>
        </w:rPr>
        <w:t xml:space="preserve">Int J </w:t>
      </w:r>
      <w:proofErr w:type="spellStart"/>
      <w:r w:rsidR="008352B5" w:rsidRPr="00B71078">
        <w:rPr>
          <w:i/>
          <w:color w:val="auto"/>
        </w:rPr>
        <w:t>Radiat</w:t>
      </w:r>
      <w:proofErr w:type="spellEnd"/>
      <w:r w:rsidR="008352B5" w:rsidRPr="00B71078">
        <w:rPr>
          <w:i/>
          <w:color w:val="auto"/>
        </w:rPr>
        <w:t xml:space="preserve"> Oncol Biol Phys.  </w:t>
      </w:r>
      <w:r w:rsidR="008352B5" w:rsidRPr="00B71078">
        <w:rPr>
          <w:iCs/>
          <w:color w:val="auto"/>
        </w:rPr>
        <w:t>76(Suppl_3):S20-S27.</w:t>
      </w:r>
    </w:p>
    <w:p w14:paraId="30642131" w14:textId="77777777" w:rsidR="00962259" w:rsidRPr="00B71078" w:rsidRDefault="00962259" w:rsidP="009E246E">
      <w:pPr>
        <w:suppressAutoHyphens/>
        <w:rPr>
          <w:iCs/>
          <w:color w:val="auto"/>
        </w:rPr>
      </w:pPr>
    </w:p>
    <w:p w14:paraId="779FDF12" w14:textId="53E65E91" w:rsidR="00962259" w:rsidRPr="00B71078" w:rsidRDefault="00962259" w:rsidP="009E246E">
      <w:pPr>
        <w:suppressAutoHyphens/>
        <w:rPr>
          <w:iCs/>
          <w:color w:val="auto"/>
        </w:rPr>
      </w:pPr>
      <w:r w:rsidRPr="00B71078">
        <w:rPr>
          <w:iCs/>
          <w:color w:val="auto"/>
        </w:rPr>
        <w:t xml:space="preserve">Leao, D.J., P.G. Craig, L.F. Godoy, </w:t>
      </w:r>
      <w:r w:rsidRPr="00B71078">
        <w:rPr>
          <w:i/>
          <w:color w:val="auto"/>
        </w:rPr>
        <w:t xml:space="preserve">et al.  </w:t>
      </w:r>
      <w:r w:rsidRPr="00B71078">
        <w:rPr>
          <w:iCs/>
          <w:color w:val="auto"/>
        </w:rPr>
        <w:t xml:space="preserve">(2020).  Response assessment in neuro-oncology criteria for gliomas: practical approach using conventional and advanced techniques.  </w:t>
      </w:r>
      <w:r w:rsidRPr="00B71078">
        <w:rPr>
          <w:i/>
          <w:color w:val="auto"/>
        </w:rPr>
        <w:t>AJNR</w:t>
      </w:r>
      <w:r w:rsidR="00763463" w:rsidRPr="00B71078">
        <w:rPr>
          <w:i/>
          <w:color w:val="auto"/>
        </w:rPr>
        <w:t xml:space="preserve"> Am J </w:t>
      </w:r>
      <w:proofErr w:type="spellStart"/>
      <w:r w:rsidR="00763463" w:rsidRPr="00B71078">
        <w:rPr>
          <w:i/>
          <w:color w:val="auto"/>
        </w:rPr>
        <w:t>Neuroradiol</w:t>
      </w:r>
      <w:proofErr w:type="spellEnd"/>
      <w:r w:rsidR="00763463" w:rsidRPr="00B71078">
        <w:rPr>
          <w:i/>
          <w:color w:val="auto"/>
        </w:rPr>
        <w:t xml:space="preserve">.  </w:t>
      </w:r>
      <w:r w:rsidR="005F29EA" w:rsidRPr="00B71078">
        <w:rPr>
          <w:iCs/>
          <w:color w:val="auto"/>
        </w:rPr>
        <w:t>41(1):10-20.</w:t>
      </w:r>
    </w:p>
    <w:p w14:paraId="717A098F" w14:textId="77777777" w:rsidR="00E20860" w:rsidRPr="00B71078" w:rsidRDefault="00E20860" w:rsidP="009E246E">
      <w:pPr>
        <w:suppressAutoHyphens/>
        <w:rPr>
          <w:iCs/>
          <w:color w:val="auto"/>
        </w:rPr>
      </w:pPr>
    </w:p>
    <w:p w14:paraId="7AFA155D" w14:textId="44E9C501" w:rsidR="00E20860" w:rsidRPr="00B71078" w:rsidRDefault="00E20860" w:rsidP="009E246E">
      <w:pPr>
        <w:suppressAutoHyphens/>
        <w:rPr>
          <w:iCs/>
          <w:color w:val="auto"/>
        </w:rPr>
      </w:pPr>
      <w:r w:rsidRPr="00B71078">
        <w:rPr>
          <w:iCs/>
          <w:color w:val="auto"/>
        </w:rPr>
        <w:t xml:space="preserve">Leath, C.A., W. Deng, L.K. Mell, </w:t>
      </w:r>
      <w:r w:rsidRPr="00B71078">
        <w:rPr>
          <w:i/>
          <w:color w:val="auto"/>
        </w:rPr>
        <w:t xml:space="preserve">et al. </w:t>
      </w:r>
      <w:r w:rsidRPr="00B71078">
        <w:rPr>
          <w:iCs/>
          <w:color w:val="auto"/>
        </w:rPr>
        <w:t xml:space="preserve"> (</w:t>
      </w:r>
      <w:r w:rsidR="004E2485" w:rsidRPr="00B71078">
        <w:rPr>
          <w:iCs/>
          <w:color w:val="auto"/>
        </w:rPr>
        <w:t xml:space="preserve">2023).  Incorporation of triapine (T) with cisplatin chemoradiation (CRT) for locally advanced cervical and vaginal cancer: results from NRG-GY006, as phase III randomized trial.  </w:t>
      </w:r>
      <w:r w:rsidR="004E2485" w:rsidRPr="00B71078">
        <w:rPr>
          <w:i/>
          <w:color w:val="auto"/>
        </w:rPr>
        <w:t xml:space="preserve">J Clin Oncol.  </w:t>
      </w:r>
      <w:r w:rsidR="009B1810" w:rsidRPr="00B71078">
        <w:rPr>
          <w:iCs/>
          <w:color w:val="auto"/>
        </w:rPr>
        <w:t>41(suppl_16):5502-5502.</w:t>
      </w:r>
    </w:p>
    <w:p w14:paraId="7B072E98" w14:textId="77777777" w:rsidR="00F603D6" w:rsidRPr="00B71078" w:rsidRDefault="00F603D6" w:rsidP="009E246E">
      <w:pPr>
        <w:suppressAutoHyphens/>
        <w:rPr>
          <w:iCs/>
          <w:color w:val="auto"/>
        </w:rPr>
      </w:pPr>
    </w:p>
    <w:p w14:paraId="7E5C28AF" w14:textId="303876F9" w:rsidR="00F603D6" w:rsidRPr="00B71078" w:rsidRDefault="00F603D6" w:rsidP="009E246E">
      <w:pPr>
        <w:suppressAutoHyphens/>
        <w:rPr>
          <w:iCs/>
          <w:color w:val="auto"/>
        </w:rPr>
      </w:pPr>
      <w:r w:rsidRPr="00B71078">
        <w:rPr>
          <w:iCs/>
          <w:color w:val="auto"/>
        </w:rPr>
        <w:t xml:space="preserve">Lederman, G., M. Wronski, E. Arbit, </w:t>
      </w:r>
      <w:r w:rsidRPr="00B71078">
        <w:rPr>
          <w:i/>
          <w:color w:val="auto"/>
        </w:rPr>
        <w:t xml:space="preserve">et al.  </w:t>
      </w:r>
      <w:r w:rsidRPr="00B71078">
        <w:rPr>
          <w:iCs/>
          <w:color w:val="auto"/>
        </w:rPr>
        <w:t>(</w:t>
      </w:r>
      <w:r w:rsidR="00001018" w:rsidRPr="00B71078">
        <w:rPr>
          <w:iCs/>
          <w:color w:val="auto"/>
        </w:rPr>
        <w:t>2000).  Treatment of recurrent glioblastoma multiforme using fractionated stereotactic radiosurgery an</w:t>
      </w:r>
      <w:r w:rsidR="00AC3987" w:rsidRPr="00B71078">
        <w:rPr>
          <w:iCs/>
          <w:color w:val="auto"/>
        </w:rPr>
        <w:t xml:space="preserve">d </w:t>
      </w:r>
      <w:r w:rsidR="00001018" w:rsidRPr="00B71078">
        <w:rPr>
          <w:iCs/>
          <w:color w:val="auto"/>
        </w:rPr>
        <w:t xml:space="preserve">concurrent paclitaxel.  </w:t>
      </w:r>
      <w:r w:rsidR="00001018" w:rsidRPr="00B71078">
        <w:rPr>
          <w:i/>
          <w:color w:val="auto"/>
        </w:rPr>
        <w:t xml:space="preserve">Am J Clin Oncol.  </w:t>
      </w:r>
      <w:r w:rsidR="00001018" w:rsidRPr="00B71078">
        <w:rPr>
          <w:iCs/>
          <w:color w:val="auto"/>
        </w:rPr>
        <w:t>23(2):</w:t>
      </w:r>
      <w:r w:rsidR="007F06E6" w:rsidRPr="00B71078">
        <w:rPr>
          <w:iCs/>
          <w:color w:val="auto"/>
        </w:rPr>
        <w:t>155-159.</w:t>
      </w:r>
    </w:p>
    <w:p w14:paraId="558843E0" w14:textId="77777777" w:rsidR="00927673" w:rsidRPr="00B71078" w:rsidRDefault="00927673" w:rsidP="009E246E">
      <w:pPr>
        <w:suppressAutoHyphens/>
        <w:rPr>
          <w:iCs/>
          <w:color w:val="auto"/>
        </w:rPr>
      </w:pPr>
    </w:p>
    <w:p w14:paraId="204FA6BD" w14:textId="66D54886" w:rsidR="00927673" w:rsidRPr="00B71078" w:rsidRDefault="00927673" w:rsidP="009E246E">
      <w:pPr>
        <w:suppressAutoHyphens/>
        <w:rPr>
          <w:iCs/>
          <w:color w:val="auto"/>
        </w:rPr>
      </w:pPr>
      <w:r w:rsidRPr="00B71078">
        <w:rPr>
          <w:iCs/>
          <w:color w:val="auto"/>
        </w:rPr>
        <w:t xml:space="preserve">Liu, S. and Y. Yuan.  (2015).  Bayesian optimal interval designs for phase I clinical trials.  </w:t>
      </w:r>
      <w:r w:rsidRPr="00B71078">
        <w:rPr>
          <w:i/>
          <w:color w:val="auto"/>
        </w:rPr>
        <w:t xml:space="preserve">Journal of the Royal Statistical Society: Series C.  </w:t>
      </w:r>
      <w:r w:rsidRPr="00B71078">
        <w:rPr>
          <w:iCs/>
          <w:color w:val="auto"/>
        </w:rPr>
        <w:t>64:507-523.</w:t>
      </w:r>
    </w:p>
    <w:p w14:paraId="730A33FB" w14:textId="77777777" w:rsidR="001A4AD5" w:rsidRPr="00B71078" w:rsidRDefault="001A4AD5" w:rsidP="009E246E">
      <w:pPr>
        <w:suppressAutoHyphens/>
        <w:rPr>
          <w:iCs/>
          <w:color w:val="auto"/>
        </w:rPr>
      </w:pPr>
    </w:p>
    <w:p w14:paraId="65DD8E13" w14:textId="04E49B43" w:rsidR="001A4AD5" w:rsidRPr="00B71078" w:rsidRDefault="001A4AD5" w:rsidP="009E246E">
      <w:pPr>
        <w:suppressAutoHyphens/>
        <w:rPr>
          <w:iCs/>
          <w:color w:val="auto"/>
        </w:rPr>
      </w:pPr>
      <w:r w:rsidRPr="00B71078">
        <w:rPr>
          <w:iCs/>
          <w:color w:val="auto"/>
        </w:rPr>
        <w:t xml:space="preserve">Mackenzie, M.J., D. Saltman, H. Hirte, </w:t>
      </w:r>
      <w:r w:rsidRPr="00B71078">
        <w:rPr>
          <w:i/>
          <w:color w:val="auto"/>
        </w:rPr>
        <w:t xml:space="preserve">et al.  </w:t>
      </w:r>
      <w:r w:rsidRPr="00B71078">
        <w:rPr>
          <w:iCs/>
          <w:color w:val="auto"/>
        </w:rPr>
        <w:t>(2007).  A phase II study of 3-aminopyridine-2-carboxaldehyde thiosemicarbazone</w:t>
      </w:r>
      <w:r w:rsidR="00B468A0" w:rsidRPr="00B71078">
        <w:rPr>
          <w:iCs/>
          <w:color w:val="auto"/>
        </w:rPr>
        <w:t xml:space="preserve"> (3-AP) and gemcitabine in advanced pancreatic carcinoma. A trial of the Princess Margaret hospital phase II consortium.  </w:t>
      </w:r>
      <w:r w:rsidR="00B468A0" w:rsidRPr="00B71078">
        <w:rPr>
          <w:i/>
          <w:color w:val="auto"/>
        </w:rPr>
        <w:t xml:space="preserve">Invest New Drugs.  </w:t>
      </w:r>
      <w:r w:rsidR="00A35A77" w:rsidRPr="00B71078">
        <w:rPr>
          <w:iCs/>
          <w:color w:val="auto"/>
        </w:rPr>
        <w:t>25:553-558.</w:t>
      </w:r>
    </w:p>
    <w:p w14:paraId="35C24D16" w14:textId="77777777" w:rsidR="005B1E01" w:rsidRPr="00B71078" w:rsidRDefault="005B1E01" w:rsidP="009E246E">
      <w:pPr>
        <w:suppressAutoHyphens/>
        <w:rPr>
          <w:iCs/>
          <w:color w:val="auto"/>
        </w:rPr>
      </w:pPr>
    </w:p>
    <w:p w14:paraId="6CB9B38C" w14:textId="07C9301C" w:rsidR="005B1E01" w:rsidRPr="00B71078" w:rsidRDefault="005B1E01" w:rsidP="009E246E">
      <w:pPr>
        <w:suppressAutoHyphens/>
        <w:rPr>
          <w:iCs/>
          <w:color w:val="auto"/>
        </w:rPr>
      </w:pPr>
      <w:r w:rsidRPr="00B71078">
        <w:rPr>
          <w:iCs/>
          <w:color w:val="auto"/>
        </w:rPr>
        <w:t xml:space="preserve">Martin, L.K., J. Grecula, G. Jia, </w:t>
      </w:r>
      <w:r w:rsidRPr="00B71078">
        <w:rPr>
          <w:i/>
          <w:color w:val="auto"/>
        </w:rPr>
        <w:t xml:space="preserve">et al.  </w:t>
      </w:r>
      <w:r w:rsidRPr="00B71078">
        <w:rPr>
          <w:iCs/>
          <w:color w:val="auto"/>
        </w:rPr>
        <w:t>(2012).  A dose escalation</w:t>
      </w:r>
      <w:r w:rsidR="009E572A" w:rsidRPr="00B71078">
        <w:rPr>
          <w:iCs/>
          <w:color w:val="auto"/>
        </w:rPr>
        <w:t xml:space="preserve"> and pharmacodynamic study of triapine and radiation in patients with locally advanced pancreas cancer.  </w:t>
      </w:r>
      <w:r w:rsidR="009E572A" w:rsidRPr="00B71078">
        <w:rPr>
          <w:i/>
          <w:color w:val="auto"/>
        </w:rPr>
        <w:t xml:space="preserve">Int J </w:t>
      </w:r>
      <w:proofErr w:type="spellStart"/>
      <w:r w:rsidR="009E572A" w:rsidRPr="00B71078">
        <w:rPr>
          <w:i/>
          <w:color w:val="auto"/>
        </w:rPr>
        <w:t>Radiat</w:t>
      </w:r>
      <w:proofErr w:type="spellEnd"/>
      <w:r w:rsidR="009E572A" w:rsidRPr="00B71078">
        <w:rPr>
          <w:i/>
          <w:color w:val="auto"/>
        </w:rPr>
        <w:t xml:space="preserve"> Oncol.  </w:t>
      </w:r>
      <w:r w:rsidR="009E572A" w:rsidRPr="00B71078">
        <w:rPr>
          <w:iCs/>
          <w:color w:val="auto"/>
        </w:rPr>
        <w:t>84(4):475-e481.</w:t>
      </w:r>
    </w:p>
    <w:p w14:paraId="0EBEA6CF" w14:textId="77777777" w:rsidR="00CD5C13" w:rsidRPr="00B71078" w:rsidRDefault="00CD5C13" w:rsidP="009E246E">
      <w:pPr>
        <w:suppressAutoHyphens/>
        <w:rPr>
          <w:iCs/>
          <w:color w:val="auto"/>
        </w:rPr>
      </w:pPr>
    </w:p>
    <w:p w14:paraId="25940CA7" w14:textId="506C4584" w:rsidR="00CD5C13" w:rsidRPr="00B71078" w:rsidRDefault="00CD5C13" w:rsidP="009E246E">
      <w:pPr>
        <w:suppressAutoHyphens/>
        <w:rPr>
          <w:iCs/>
          <w:color w:val="auto"/>
        </w:rPr>
      </w:pPr>
      <w:r w:rsidRPr="00B71078">
        <w:rPr>
          <w:iCs/>
          <w:color w:val="auto"/>
        </w:rPr>
        <w:t>Matsumoto, J., B.F. Kiesel, R.A. Parise</w:t>
      </w:r>
      <w:r w:rsidR="00126CE1" w:rsidRPr="00B71078">
        <w:rPr>
          <w:iCs/>
          <w:color w:val="auto"/>
        </w:rPr>
        <w:t xml:space="preserve">.  (2017).  </w:t>
      </w:r>
      <w:r w:rsidR="00D55BBF" w:rsidRPr="00B71078">
        <w:rPr>
          <w:iCs/>
          <w:color w:val="auto"/>
        </w:rPr>
        <w:t xml:space="preserve">LC-MS/MS assay for the quantitation of the ribonucleotide reductase inhibitor triapine in human plasma.  </w:t>
      </w:r>
      <w:r w:rsidR="00D55BBF" w:rsidRPr="00B71078">
        <w:rPr>
          <w:i/>
          <w:color w:val="auto"/>
        </w:rPr>
        <w:t xml:space="preserve">J Pharm Biomed Anal.  </w:t>
      </w:r>
      <w:r w:rsidR="00F97D26" w:rsidRPr="00B71078">
        <w:rPr>
          <w:iCs/>
          <w:color w:val="auto"/>
        </w:rPr>
        <w:t>146:154-160.</w:t>
      </w:r>
    </w:p>
    <w:p w14:paraId="0D01449E" w14:textId="77777777" w:rsidR="00895C13" w:rsidRPr="00B71078" w:rsidRDefault="00895C13" w:rsidP="009E246E">
      <w:pPr>
        <w:suppressAutoHyphens/>
        <w:rPr>
          <w:iCs/>
          <w:color w:val="auto"/>
        </w:rPr>
      </w:pPr>
    </w:p>
    <w:p w14:paraId="3EB80878" w14:textId="2C2FD612" w:rsidR="00895C13" w:rsidRPr="00B71078" w:rsidRDefault="00FC7666" w:rsidP="009E246E">
      <w:pPr>
        <w:suppressAutoHyphens/>
        <w:rPr>
          <w:iCs/>
          <w:color w:val="auto"/>
        </w:rPr>
      </w:pPr>
      <w:r w:rsidRPr="00B71078">
        <w:rPr>
          <w:iCs/>
          <w:color w:val="auto"/>
        </w:rPr>
        <w:t xml:space="preserve">Matthews, H.K., C. Bertoli, and R.A.M. de Bruin.  (2022).  Cell cycle control in cancer.  </w:t>
      </w:r>
      <w:r w:rsidRPr="00B71078">
        <w:rPr>
          <w:i/>
          <w:color w:val="auto"/>
        </w:rPr>
        <w:t xml:space="preserve">Nat Rev Mol Cell Biol.  </w:t>
      </w:r>
      <w:r w:rsidRPr="00B71078">
        <w:rPr>
          <w:iCs/>
          <w:color w:val="auto"/>
        </w:rPr>
        <w:t>23(1):74-88.</w:t>
      </w:r>
    </w:p>
    <w:p w14:paraId="7B0011F9" w14:textId="77777777" w:rsidR="002A1C37" w:rsidRPr="00B71078" w:rsidRDefault="002A1C37" w:rsidP="009E246E">
      <w:pPr>
        <w:suppressAutoHyphens/>
        <w:rPr>
          <w:iCs/>
          <w:color w:val="auto"/>
        </w:rPr>
      </w:pPr>
    </w:p>
    <w:p w14:paraId="40EAC51B" w14:textId="4D04314B" w:rsidR="002A1C37" w:rsidRPr="00B71078" w:rsidRDefault="002A1C37" w:rsidP="009E246E">
      <w:pPr>
        <w:suppressAutoHyphens/>
        <w:rPr>
          <w:iCs/>
          <w:color w:val="auto"/>
        </w:rPr>
      </w:pPr>
      <w:r w:rsidRPr="00B71078">
        <w:rPr>
          <w:iCs/>
          <w:color w:val="auto"/>
        </w:rPr>
        <w:t xml:space="preserve">McLendon, R., A. Friedman, D. Bigner, </w:t>
      </w:r>
      <w:r w:rsidRPr="00B71078">
        <w:rPr>
          <w:i/>
          <w:color w:val="auto"/>
        </w:rPr>
        <w:t xml:space="preserve">et al.  </w:t>
      </w:r>
      <w:r w:rsidRPr="00B71078">
        <w:rPr>
          <w:iCs/>
          <w:color w:val="auto"/>
        </w:rPr>
        <w:t xml:space="preserve">(2008).  Comprehensive genomic characterization defines human glioblastoma genes and core pathways.  </w:t>
      </w:r>
      <w:r w:rsidRPr="00B71078">
        <w:rPr>
          <w:i/>
          <w:color w:val="auto"/>
        </w:rPr>
        <w:t xml:space="preserve">Nature.  </w:t>
      </w:r>
      <w:r w:rsidRPr="00B71078">
        <w:rPr>
          <w:iCs/>
          <w:color w:val="auto"/>
        </w:rPr>
        <w:t>455(7216):1061-1068.</w:t>
      </w:r>
    </w:p>
    <w:p w14:paraId="6939CE59" w14:textId="77777777" w:rsidR="00BF185A" w:rsidRPr="00B71078" w:rsidRDefault="00BF185A" w:rsidP="009E246E">
      <w:pPr>
        <w:suppressAutoHyphens/>
        <w:rPr>
          <w:iCs/>
          <w:color w:val="auto"/>
        </w:rPr>
      </w:pPr>
    </w:p>
    <w:p w14:paraId="59AD386A" w14:textId="02A66DEC" w:rsidR="00BF185A" w:rsidRPr="00B71078" w:rsidRDefault="00BF185A" w:rsidP="009E246E">
      <w:pPr>
        <w:suppressAutoHyphens/>
        <w:rPr>
          <w:iCs/>
          <w:color w:val="auto"/>
        </w:rPr>
      </w:pPr>
      <w:r w:rsidRPr="00B71078">
        <w:rPr>
          <w:iCs/>
          <w:color w:val="auto"/>
        </w:rPr>
        <w:t xml:space="preserve">Minniti, G., L. </w:t>
      </w:r>
      <w:proofErr w:type="spellStart"/>
      <w:r w:rsidRPr="00B71078">
        <w:rPr>
          <w:iCs/>
          <w:color w:val="auto"/>
        </w:rPr>
        <w:t>Agoli</w:t>
      </w:r>
      <w:proofErr w:type="spellEnd"/>
      <w:r w:rsidRPr="00B71078">
        <w:rPr>
          <w:iCs/>
          <w:color w:val="auto"/>
        </w:rPr>
        <w:t xml:space="preserve">, T. Falco, </w:t>
      </w:r>
      <w:r w:rsidRPr="00B71078">
        <w:rPr>
          <w:i/>
          <w:color w:val="auto"/>
        </w:rPr>
        <w:t xml:space="preserve">et al.  </w:t>
      </w:r>
      <w:r w:rsidRPr="00B71078">
        <w:rPr>
          <w:iCs/>
          <w:color w:val="auto"/>
        </w:rPr>
        <w:t xml:space="preserve">(2015).  </w:t>
      </w:r>
      <w:proofErr w:type="spellStart"/>
      <w:r w:rsidRPr="00B71078">
        <w:rPr>
          <w:iCs/>
          <w:color w:val="auto"/>
        </w:rPr>
        <w:t>Hypofractionated</w:t>
      </w:r>
      <w:proofErr w:type="spellEnd"/>
      <w:r w:rsidRPr="00B71078">
        <w:rPr>
          <w:iCs/>
          <w:color w:val="auto"/>
        </w:rPr>
        <w:t xml:space="preserve"> stereotactic radiotherapy in combination with bevacizumab or </w:t>
      </w:r>
      <w:proofErr w:type="spellStart"/>
      <w:r w:rsidRPr="00B71078">
        <w:rPr>
          <w:iCs/>
          <w:color w:val="auto"/>
        </w:rPr>
        <w:t>fotemustine</w:t>
      </w:r>
      <w:proofErr w:type="spellEnd"/>
      <w:r w:rsidRPr="00B71078">
        <w:rPr>
          <w:iCs/>
          <w:color w:val="auto"/>
        </w:rPr>
        <w:t xml:space="preserve"> for patients with progressive malignant gliomas.  </w:t>
      </w:r>
      <w:r w:rsidRPr="00B71078">
        <w:rPr>
          <w:i/>
          <w:color w:val="auto"/>
        </w:rPr>
        <w:t xml:space="preserve">J </w:t>
      </w:r>
      <w:proofErr w:type="spellStart"/>
      <w:r w:rsidRPr="00B71078">
        <w:rPr>
          <w:i/>
          <w:color w:val="auto"/>
        </w:rPr>
        <w:t>Neurooncol</w:t>
      </w:r>
      <w:proofErr w:type="spellEnd"/>
      <w:r w:rsidR="002468B4" w:rsidRPr="00B71078">
        <w:rPr>
          <w:i/>
          <w:color w:val="auto"/>
        </w:rPr>
        <w:t xml:space="preserve">.  </w:t>
      </w:r>
      <w:r w:rsidR="002468B4" w:rsidRPr="00B71078">
        <w:rPr>
          <w:iCs/>
          <w:color w:val="auto"/>
        </w:rPr>
        <w:t>122(3):559-566.</w:t>
      </w:r>
    </w:p>
    <w:p w14:paraId="5214F723" w14:textId="77777777" w:rsidR="009A551F" w:rsidRPr="00B71078" w:rsidRDefault="009A551F" w:rsidP="009E246E">
      <w:pPr>
        <w:suppressAutoHyphens/>
        <w:rPr>
          <w:iCs/>
          <w:color w:val="auto"/>
        </w:rPr>
      </w:pPr>
    </w:p>
    <w:p w14:paraId="54D3CEBE" w14:textId="742F4739" w:rsidR="009A551F" w:rsidRPr="00B71078" w:rsidRDefault="009A551F" w:rsidP="009E246E">
      <w:pPr>
        <w:suppressAutoHyphens/>
        <w:rPr>
          <w:iCs/>
          <w:color w:val="auto"/>
        </w:rPr>
      </w:pPr>
      <w:r w:rsidRPr="00B71078">
        <w:rPr>
          <w:iCs/>
          <w:color w:val="auto"/>
        </w:rPr>
        <w:t xml:space="preserve">Nelson, D.F., </w:t>
      </w:r>
      <w:r w:rsidR="00304EF1" w:rsidRPr="00B71078">
        <w:rPr>
          <w:iCs/>
          <w:color w:val="auto"/>
        </w:rPr>
        <w:t xml:space="preserve">M. Diener-West, J. Horton, </w:t>
      </w:r>
      <w:r w:rsidR="00304EF1" w:rsidRPr="00B71078">
        <w:rPr>
          <w:i/>
          <w:color w:val="auto"/>
        </w:rPr>
        <w:t xml:space="preserve">et al.  </w:t>
      </w:r>
      <w:r w:rsidR="00304EF1" w:rsidRPr="00B71078">
        <w:rPr>
          <w:iCs/>
          <w:color w:val="auto"/>
        </w:rPr>
        <w:t xml:space="preserve">(1988).  Combined modality approach to treatment of malignant gliomas—re-evaluation of RTOG 7401/ECOG 1374 with long-term follow-up: a joint study of the Radiation Therapy Oncology Group and the Eastern Cooperative Oncology Group.  </w:t>
      </w:r>
      <w:r w:rsidR="00304EF1" w:rsidRPr="00B71078">
        <w:rPr>
          <w:i/>
          <w:color w:val="auto"/>
        </w:rPr>
        <w:t xml:space="preserve">NCI </w:t>
      </w:r>
      <w:proofErr w:type="spellStart"/>
      <w:r w:rsidR="00304EF1" w:rsidRPr="00B71078">
        <w:rPr>
          <w:i/>
          <w:color w:val="auto"/>
        </w:rPr>
        <w:t>Monogr</w:t>
      </w:r>
      <w:proofErr w:type="spellEnd"/>
      <w:r w:rsidR="00304EF1" w:rsidRPr="00B71078">
        <w:rPr>
          <w:i/>
          <w:color w:val="auto"/>
        </w:rPr>
        <w:t xml:space="preserve">.  </w:t>
      </w:r>
      <w:r w:rsidR="00C53E3A" w:rsidRPr="00B71078">
        <w:rPr>
          <w:iCs/>
          <w:color w:val="auto"/>
        </w:rPr>
        <w:t>6:279-284.</w:t>
      </w:r>
    </w:p>
    <w:p w14:paraId="61ACD393" w14:textId="77777777" w:rsidR="00DB129A" w:rsidRPr="00B71078" w:rsidRDefault="00DB129A" w:rsidP="009E246E">
      <w:pPr>
        <w:suppressAutoHyphens/>
        <w:rPr>
          <w:iCs/>
          <w:color w:val="auto"/>
        </w:rPr>
      </w:pPr>
    </w:p>
    <w:p w14:paraId="5F01663F" w14:textId="1CB3DE2E" w:rsidR="00DB129A" w:rsidRPr="00B71078" w:rsidRDefault="00DB129A" w:rsidP="009E246E">
      <w:pPr>
        <w:suppressAutoHyphens/>
        <w:rPr>
          <w:iCs/>
          <w:color w:val="auto"/>
        </w:rPr>
      </w:pPr>
      <w:r w:rsidRPr="00B71078">
        <w:rPr>
          <w:iCs/>
          <w:color w:val="auto"/>
        </w:rPr>
        <w:t xml:space="preserve">Patel, A.P., I. Tirosh, J.J. Trombetta, </w:t>
      </w:r>
      <w:r w:rsidRPr="00B71078">
        <w:rPr>
          <w:i/>
          <w:color w:val="auto"/>
        </w:rPr>
        <w:t xml:space="preserve">et al.  </w:t>
      </w:r>
      <w:r w:rsidRPr="00B71078">
        <w:rPr>
          <w:iCs/>
          <w:color w:val="auto"/>
        </w:rPr>
        <w:t xml:space="preserve">(2014).  Single-cell RNA-seq highlights </w:t>
      </w:r>
      <w:proofErr w:type="spellStart"/>
      <w:r w:rsidRPr="00B71078">
        <w:rPr>
          <w:iCs/>
          <w:color w:val="auto"/>
        </w:rPr>
        <w:t>intratumoral</w:t>
      </w:r>
      <w:proofErr w:type="spellEnd"/>
      <w:r w:rsidRPr="00B71078">
        <w:rPr>
          <w:iCs/>
          <w:color w:val="auto"/>
        </w:rPr>
        <w:t xml:space="preserve"> heterogeneity in primary glioblastoma.  </w:t>
      </w:r>
      <w:r w:rsidRPr="00B71078">
        <w:rPr>
          <w:i/>
          <w:color w:val="auto"/>
        </w:rPr>
        <w:t xml:space="preserve">Science.  </w:t>
      </w:r>
      <w:r w:rsidRPr="00B71078">
        <w:rPr>
          <w:iCs/>
          <w:color w:val="auto"/>
        </w:rPr>
        <w:t>344</w:t>
      </w:r>
      <w:r w:rsidR="008C0EEA" w:rsidRPr="00B71078">
        <w:rPr>
          <w:iCs/>
          <w:color w:val="auto"/>
        </w:rPr>
        <w:t>6190):1396-1401.</w:t>
      </w:r>
    </w:p>
    <w:p w14:paraId="3FC733B1" w14:textId="77777777" w:rsidR="00FE6530" w:rsidRPr="00B71078" w:rsidRDefault="00FE6530" w:rsidP="009E246E">
      <w:pPr>
        <w:suppressAutoHyphens/>
        <w:rPr>
          <w:iCs/>
          <w:color w:val="auto"/>
        </w:rPr>
      </w:pPr>
    </w:p>
    <w:p w14:paraId="01214817" w14:textId="034D95E1" w:rsidR="00FE6530" w:rsidRPr="00B71078" w:rsidRDefault="00FE6530" w:rsidP="009E246E">
      <w:pPr>
        <w:suppressAutoHyphens/>
        <w:rPr>
          <w:iCs/>
          <w:color w:val="auto"/>
        </w:rPr>
      </w:pPr>
      <w:r w:rsidRPr="00B71078">
        <w:rPr>
          <w:iCs/>
          <w:color w:val="auto"/>
        </w:rPr>
        <w:t xml:space="preserve">Perrault, E.N., J.M. Shireman, E.S. Ali, </w:t>
      </w:r>
      <w:r w:rsidRPr="00B71078">
        <w:rPr>
          <w:i/>
          <w:color w:val="auto"/>
        </w:rPr>
        <w:t xml:space="preserve">et al.  </w:t>
      </w:r>
      <w:r w:rsidRPr="00B71078">
        <w:rPr>
          <w:iCs/>
          <w:color w:val="auto"/>
        </w:rPr>
        <w:t xml:space="preserve">(2023).  Ribonucleotide reductase regulatory subunit M2 drives glioblastoma TMZ resistance through modulation of dNTP production.  </w:t>
      </w:r>
      <w:r w:rsidRPr="00B71078">
        <w:rPr>
          <w:i/>
          <w:color w:val="auto"/>
        </w:rPr>
        <w:t xml:space="preserve">Sci Adv.  </w:t>
      </w:r>
      <w:r w:rsidRPr="00B71078">
        <w:rPr>
          <w:iCs/>
          <w:color w:val="auto"/>
        </w:rPr>
        <w:t>9(20):eade7236.</w:t>
      </w:r>
    </w:p>
    <w:p w14:paraId="7779E644" w14:textId="77777777" w:rsidR="008C00AD" w:rsidRPr="00B71078" w:rsidRDefault="008C00AD" w:rsidP="009E246E">
      <w:pPr>
        <w:suppressAutoHyphens/>
        <w:rPr>
          <w:iCs/>
          <w:color w:val="auto"/>
        </w:rPr>
      </w:pPr>
    </w:p>
    <w:p w14:paraId="4A624610" w14:textId="48637E77" w:rsidR="008C00AD" w:rsidRPr="00B71078" w:rsidRDefault="008C00AD" w:rsidP="009E246E">
      <w:pPr>
        <w:suppressAutoHyphens/>
        <w:rPr>
          <w:iCs/>
          <w:color w:val="auto"/>
        </w:rPr>
      </w:pPr>
      <w:r w:rsidRPr="00B71078">
        <w:rPr>
          <w:iCs/>
          <w:color w:val="auto"/>
        </w:rPr>
        <w:t xml:space="preserve">Prados, M.D., W.M., Wara, P.K. Sneed, </w:t>
      </w:r>
      <w:r w:rsidRPr="00B71078">
        <w:rPr>
          <w:i/>
          <w:color w:val="auto"/>
        </w:rPr>
        <w:t xml:space="preserve">et al.  </w:t>
      </w:r>
      <w:r w:rsidRPr="00B71078">
        <w:rPr>
          <w:iCs/>
          <w:color w:val="auto"/>
        </w:rPr>
        <w:t>(</w:t>
      </w:r>
      <w:r w:rsidR="000B3742" w:rsidRPr="00B71078">
        <w:rPr>
          <w:iCs/>
          <w:color w:val="auto"/>
        </w:rPr>
        <w:t xml:space="preserve">2001).  Phase III trial accelerated </w:t>
      </w:r>
      <w:proofErr w:type="spellStart"/>
      <w:r w:rsidR="000B3742" w:rsidRPr="00B71078">
        <w:rPr>
          <w:iCs/>
          <w:color w:val="auto"/>
        </w:rPr>
        <w:t>hyperfractionation</w:t>
      </w:r>
      <w:proofErr w:type="spellEnd"/>
      <w:r w:rsidR="000B3742" w:rsidRPr="00B71078">
        <w:rPr>
          <w:iCs/>
          <w:color w:val="auto"/>
        </w:rPr>
        <w:t xml:space="preserve"> with or without </w:t>
      </w:r>
      <w:proofErr w:type="spellStart"/>
      <w:r w:rsidR="000B3742" w:rsidRPr="00B71078">
        <w:rPr>
          <w:iCs/>
          <w:color w:val="auto"/>
        </w:rPr>
        <w:t>difluromethylornithine</w:t>
      </w:r>
      <w:proofErr w:type="spellEnd"/>
      <w:r w:rsidR="000B3742" w:rsidRPr="00B71078">
        <w:rPr>
          <w:iCs/>
          <w:color w:val="auto"/>
        </w:rPr>
        <w:t xml:space="preserve"> (DFMO) versus standard fractionated radiotherapy with or without DMFO for newly diagnosed patients with glioblastoma multiforme.  </w:t>
      </w:r>
      <w:r w:rsidR="000B3742" w:rsidRPr="00B71078">
        <w:rPr>
          <w:i/>
          <w:color w:val="auto"/>
        </w:rPr>
        <w:t xml:space="preserve">Int J </w:t>
      </w:r>
      <w:proofErr w:type="spellStart"/>
      <w:r w:rsidR="000B3742" w:rsidRPr="00B71078">
        <w:rPr>
          <w:i/>
          <w:color w:val="auto"/>
        </w:rPr>
        <w:t>Radiat</w:t>
      </w:r>
      <w:proofErr w:type="spellEnd"/>
      <w:r w:rsidR="000B3742" w:rsidRPr="00B71078">
        <w:rPr>
          <w:i/>
          <w:color w:val="auto"/>
        </w:rPr>
        <w:t xml:space="preserve"> Oncol Biol Phys.  </w:t>
      </w:r>
      <w:r w:rsidR="000B3742" w:rsidRPr="00B71078">
        <w:rPr>
          <w:iCs/>
          <w:color w:val="auto"/>
        </w:rPr>
        <w:t>49(1):</w:t>
      </w:r>
      <w:r w:rsidR="00187F0F" w:rsidRPr="00B71078">
        <w:rPr>
          <w:iCs/>
          <w:color w:val="auto"/>
        </w:rPr>
        <w:t>71-77.</w:t>
      </w:r>
    </w:p>
    <w:p w14:paraId="723A775C" w14:textId="77777777" w:rsidR="00E70C40" w:rsidRPr="00B71078" w:rsidRDefault="00E70C40" w:rsidP="009E246E">
      <w:pPr>
        <w:suppressAutoHyphens/>
        <w:rPr>
          <w:iCs/>
          <w:color w:val="auto"/>
        </w:rPr>
      </w:pPr>
    </w:p>
    <w:p w14:paraId="0FDFE6CE" w14:textId="79ADD07A" w:rsidR="00E70C40" w:rsidRPr="00B71078" w:rsidRDefault="00E70C40" w:rsidP="009E246E">
      <w:pPr>
        <w:suppressAutoHyphens/>
        <w:rPr>
          <w:iCs/>
          <w:color w:val="auto"/>
        </w:rPr>
      </w:pPr>
      <w:r w:rsidRPr="00B71078">
        <w:rPr>
          <w:iCs/>
          <w:color w:val="auto"/>
        </w:rPr>
        <w:t xml:space="preserve">Reardon, D.A., A. Desjardins, K.B. Peters, </w:t>
      </w:r>
      <w:r w:rsidRPr="00B71078">
        <w:rPr>
          <w:i/>
          <w:color w:val="auto"/>
        </w:rPr>
        <w:t xml:space="preserve">et al.  </w:t>
      </w:r>
      <w:r w:rsidRPr="00B71078">
        <w:rPr>
          <w:iCs/>
          <w:color w:val="auto"/>
        </w:rPr>
        <w:t xml:space="preserve">(2012).  Phase II study of carboplatin, irinotecan, and bevacizumab naïve, recurrent glioblastoma.  </w:t>
      </w:r>
      <w:r w:rsidRPr="00B71078">
        <w:rPr>
          <w:i/>
          <w:color w:val="auto"/>
        </w:rPr>
        <w:t xml:space="preserve">J </w:t>
      </w:r>
      <w:proofErr w:type="spellStart"/>
      <w:r w:rsidRPr="00B71078">
        <w:rPr>
          <w:i/>
          <w:color w:val="auto"/>
        </w:rPr>
        <w:t>Neurooncol</w:t>
      </w:r>
      <w:proofErr w:type="spellEnd"/>
      <w:r w:rsidRPr="00B71078">
        <w:rPr>
          <w:i/>
          <w:color w:val="auto"/>
        </w:rPr>
        <w:t xml:space="preserve">.  </w:t>
      </w:r>
      <w:r w:rsidRPr="00B71078">
        <w:rPr>
          <w:iCs/>
          <w:color w:val="auto"/>
        </w:rPr>
        <w:t>107(1):155-164.</w:t>
      </w:r>
    </w:p>
    <w:p w14:paraId="0DED3B81" w14:textId="77777777" w:rsidR="008D2E8C" w:rsidRPr="00B71078" w:rsidRDefault="008D2E8C" w:rsidP="009E246E">
      <w:pPr>
        <w:suppressAutoHyphens/>
        <w:rPr>
          <w:iCs/>
          <w:color w:val="auto"/>
        </w:rPr>
      </w:pPr>
    </w:p>
    <w:p w14:paraId="52DB5274" w14:textId="308A6CCD" w:rsidR="008D2E8C" w:rsidRPr="00B71078" w:rsidRDefault="008D2E8C" w:rsidP="009E246E">
      <w:pPr>
        <w:suppressAutoHyphens/>
        <w:rPr>
          <w:iCs/>
          <w:color w:val="auto"/>
        </w:rPr>
      </w:pPr>
      <w:r w:rsidRPr="00B71078">
        <w:rPr>
          <w:iCs/>
          <w:color w:val="auto"/>
        </w:rPr>
        <w:t xml:space="preserve">Rose, P.G., S. Ali, E. Watkins, </w:t>
      </w:r>
      <w:r w:rsidRPr="00B71078">
        <w:rPr>
          <w:i/>
          <w:color w:val="auto"/>
        </w:rPr>
        <w:t xml:space="preserve">et al.  </w:t>
      </w:r>
      <w:r w:rsidRPr="00B71078">
        <w:rPr>
          <w:iCs/>
          <w:color w:val="auto"/>
        </w:rPr>
        <w:t xml:space="preserve">(2007).  Long-term follow-up of a randomized trial comparing concurrent single agent cisplatin, cisplatin-based combination chemotherapy, or hydroxyurea during pelvic irradiation for locally advanced cervical cancer: a gynecologic oncology group study.  </w:t>
      </w:r>
      <w:r w:rsidRPr="00B71078">
        <w:rPr>
          <w:i/>
          <w:color w:val="auto"/>
        </w:rPr>
        <w:t xml:space="preserve">J Clin Oncol.  </w:t>
      </w:r>
      <w:r w:rsidRPr="00B71078">
        <w:rPr>
          <w:iCs/>
          <w:color w:val="auto"/>
        </w:rPr>
        <w:t>25(19): 2804-2810.</w:t>
      </w:r>
    </w:p>
    <w:p w14:paraId="24EC21D8" w14:textId="77777777" w:rsidR="00CB186C" w:rsidRPr="00B71078" w:rsidRDefault="00CB186C" w:rsidP="009E246E">
      <w:pPr>
        <w:suppressAutoHyphens/>
        <w:rPr>
          <w:iCs/>
          <w:color w:val="auto"/>
        </w:rPr>
      </w:pPr>
    </w:p>
    <w:p w14:paraId="1E8283F1" w14:textId="2BADC17B" w:rsidR="00CB186C" w:rsidRPr="00B71078" w:rsidRDefault="00CB186C" w:rsidP="009E246E">
      <w:pPr>
        <w:suppressAutoHyphens/>
        <w:rPr>
          <w:iCs/>
          <w:color w:val="auto"/>
        </w:rPr>
      </w:pPr>
      <w:r w:rsidRPr="00B71078">
        <w:rPr>
          <w:iCs/>
          <w:color w:val="auto"/>
        </w:rPr>
        <w:t xml:space="preserve">Sanson, M., Y. Marie, S. Paris, </w:t>
      </w:r>
      <w:r w:rsidRPr="00B71078">
        <w:rPr>
          <w:i/>
          <w:color w:val="auto"/>
        </w:rPr>
        <w:t xml:space="preserve">et al.  </w:t>
      </w:r>
      <w:r w:rsidRPr="00B71078">
        <w:rPr>
          <w:iCs/>
          <w:color w:val="auto"/>
        </w:rPr>
        <w:t xml:space="preserve">(2009).  Isocitrate dehydrogenase 1 codon 132 mutation is an important prognostic biomarker in gliomas.  </w:t>
      </w:r>
      <w:r w:rsidRPr="00B71078">
        <w:rPr>
          <w:i/>
          <w:color w:val="auto"/>
        </w:rPr>
        <w:t>J Clin Oncol.</w:t>
      </w:r>
      <w:r w:rsidR="00FE6FE3" w:rsidRPr="00B71078">
        <w:rPr>
          <w:i/>
          <w:color w:val="auto"/>
        </w:rPr>
        <w:t xml:space="preserve">  </w:t>
      </w:r>
      <w:r w:rsidR="00FE6FE3" w:rsidRPr="00B71078">
        <w:rPr>
          <w:iCs/>
          <w:color w:val="auto"/>
        </w:rPr>
        <w:t>27(25):4150-4154.</w:t>
      </w:r>
    </w:p>
    <w:p w14:paraId="04F2D769" w14:textId="77777777" w:rsidR="00B77EC3" w:rsidRPr="00B71078" w:rsidRDefault="00B77EC3" w:rsidP="009E246E">
      <w:pPr>
        <w:suppressAutoHyphens/>
        <w:rPr>
          <w:iCs/>
          <w:color w:val="auto"/>
        </w:rPr>
      </w:pPr>
    </w:p>
    <w:p w14:paraId="42DFB5D8" w14:textId="75A1EB93" w:rsidR="00B77EC3" w:rsidRPr="00B71078" w:rsidRDefault="00B77EC3" w:rsidP="009E246E">
      <w:pPr>
        <w:suppressAutoHyphens/>
        <w:rPr>
          <w:iCs/>
          <w:color w:val="auto"/>
        </w:rPr>
      </w:pPr>
      <w:r w:rsidRPr="00B71078">
        <w:rPr>
          <w:iCs/>
          <w:color w:val="auto"/>
        </w:rPr>
        <w:t xml:space="preserve">Saxena, S. and L. Zou.  (2022).  Hallmarks of DNA replication stress.  </w:t>
      </w:r>
      <w:r w:rsidR="00FE028B" w:rsidRPr="00B71078">
        <w:rPr>
          <w:i/>
          <w:color w:val="auto"/>
        </w:rPr>
        <w:t xml:space="preserve">Mol Cell.  </w:t>
      </w:r>
      <w:r w:rsidR="00FE028B" w:rsidRPr="00B71078">
        <w:rPr>
          <w:iCs/>
          <w:color w:val="auto"/>
        </w:rPr>
        <w:t>82(12):2298-2314.</w:t>
      </w:r>
    </w:p>
    <w:p w14:paraId="1CF2B69B" w14:textId="77777777" w:rsidR="00752EBA" w:rsidRPr="00B71078" w:rsidRDefault="00752EBA" w:rsidP="009E246E">
      <w:pPr>
        <w:suppressAutoHyphens/>
        <w:rPr>
          <w:iCs/>
          <w:color w:val="auto"/>
        </w:rPr>
      </w:pPr>
    </w:p>
    <w:p w14:paraId="0493AA52" w14:textId="18309D9D" w:rsidR="00752EBA" w:rsidRPr="00B71078" w:rsidRDefault="00752EBA" w:rsidP="009E246E">
      <w:pPr>
        <w:suppressAutoHyphens/>
        <w:rPr>
          <w:iCs/>
          <w:color w:val="auto"/>
        </w:rPr>
      </w:pPr>
      <w:proofErr w:type="spellStart"/>
      <w:r w:rsidRPr="00B71078">
        <w:rPr>
          <w:iCs/>
          <w:color w:val="auto"/>
        </w:rPr>
        <w:t>Scoccianti</w:t>
      </w:r>
      <w:proofErr w:type="spellEnd"/>
      <w:r w:rsidRPr="00B71078">
        <w:rPr>
          <w:iCs/>
          <w:color w:val="auto"/>
        </w:rPr>
        <w:t xml:space="preserve">, S. G. </w:t>
      </w:r>
      <w:proofErr w:type="spellStart"/>
      <w:r w:rsidRPr="00B71078">
        <w:rPr>
          <w:iCs/>
          <w:color w:val="auto"/>
        </w:rPr>
        <w:t>Francolini</w:t>
      </w:r>
      <w:proofErr w:type="spellEnd"/>
      <w:r w:rsidRPr="00B71078">
        <w:rPr>
          <w:iCs/>
          <w:color w:val="auto"/>
        </w:rPr>
        <w:t xml:space="preserve">, G.A. Carta, </w:t>
      </w:r>
      <w:r w:rsidRPr="00B71078">
        <w:rPr>
          <w:i/>
          <w:color w:val="auto"/>
        </w:rPr>
        <w:t xml:space="preserve">et al.  </w:t>
      </w:r>
      <w:r w:rsidRPr="00B71078">
        <w:rPr>
          <w:iCs/>
          <w:color w:val="auto"/>
        </w:rPr>
        <w:t>(</w:t>
      </w:r>
      <w:r w:rsidR="00825BF5" w:rsidRPr="00B71078">
        <w:rPr>
          <w:iCs/>
          <w:color w:val="auto"/>
        </w:rPr>
        <w:t xml:space="preserve">2018).  Re-irradiation as salvage treatment in recurrent glioblastoma: a comprehensive literature review to provide practical answers to frequently asked questions.  </w:t>
      </w:r>
      <w:r w:rsidR="00825BF5" w:rsidRPr="00B71078">
        <w:rPr>
          <w:i/>
          <w:color w:val="auto"/>
        </w:rPr>
        <w:t xml:space="preserve">Crit Rev Oncol Hematol.  </w:t>
      </w:r>
      <w:r w:rsidR="00825BF5" w:rsidRPr="00B71078">
        <w:rPr>
          <w:iCs/>
          <w:color w:val="auto"/>
        </w:rPr>
        <w:t>126:80-91.</w:t>
      </w:r>
    </w:p>
    <w:p w14:paraId="7890EF06" w14:textId="77777777" w:rsidR="00DA1D92" w:rsidRPr="00B71078" w:rsidRDefault="00DA1D92" w:rsidP="009E246E">
      <w:pPr>
        <w:suppressAutoHyphens/>
        <w:rPr>
          <w:iCs/>
          <w:color w:val="auto"/>
        </w:rPr>
      </w:pPr>
    </w:p>
    <w:p w14:paraId="7C03457A" w14:textId="76E94BC1" w:rsidR="00DA1D92" w:rsidRPr="00B71078" w:rsidRDefault="00DA1D92" w:rsidP="009E246E">
      <w:pPr>
        <w:suppressAutoHyphens/>
        <w:rPr>
          <w:iCs/>
          <w:color w:val="auto"/>
        </w:rPr>
      </w:pPr>
      <w:r w:rsidRPr="00B71078">
        <w:rPr>
          <w:iCs/>
          <w:color w:val="auto"/>
        </w:rPr>
        <w:t xml:space="preserve">Shen, C., C.S. Lancaster, B. Shi, </w:t>
      </w:r>
      <w:r w:rsidRPr="00B71078">
        <w:rPr>
          <w:i/>
          <w:color w:val="auto"/>
        </w:rPr>
        <w:t>et al</w:t>
      </w:r>
      <w:r w:rsidR="00E012BB" w:rsidRPr="00B71078">
        <w:rPr>
          <w:i/>
          <w:color w:val="auto"/>
        </w:rPr>
        <w:t xml:space="preserve">.  </w:t>
      </w:r>
      <w:r w:rsidR="00E012BB" w:rsidRPr="00B71078">
        <w:rPr>
          <w:iCs/>
          <w:color w:val="auto"/>
        </w:rPr>
        <w:t xml:space="preserve">(2007).  TOR signaling is a determinant of cell survival in response to DNA damage.  </w:t>
      </w:r>
      <w:r w:rsidR="00E012BB" w:rsidRPr="00B71078">
        <w:rPr>
          <w:i/>
          <w:color w:val="auto"/>
        </w:rPr>
        <w:t xml:space="preserve">Mol Cel Bio.  </w:t>
      </w:r>
      <w:r w:rsidR="00E012BB" w:rsidRPr="00B71078">
        <w:rPr>
          <w:iCs/>
          <w:color w:val="auto"/>
        </w:rPr>
        <w:t>27(20):7007-7017.</w:t>
      </w:r>
    </w:p>
    <w:p w14:paraId="31E2DD76" w14:textId="77777777" w:rsidR="00DB0731" w:rsidRPr="00B71078" w:rsidRDefault="00DB0731" w:rsidP="009E246E">
      <w:pPr>
        <w:suppressAutoHyphens/>
        <w:rPr>
          <w:iCs/>
          <w:color w:val="auto"/>
        </w:rPr>
      </w:pPr>
    </w:p>
    <w:p w14:paraId="0664D933" w14:textId="416089A3" w:rsidR="00DB0731" w:rsidRPr="00B71078" w:rsidRDefault="00DB0731" w:rsidP="009E246E">
      <w:pPr>
        <w:suppressAutoHyphens/>
        <w:rPr>
          <w:iCs/>
          <w:color w:val="auto"/>
        </w:rPr>
      </w:pPr>
      <w:r w:rsidRPr="00B71078">
        <w:rPr>
          <w:iCs/>
          <w:color w:val="auto"/>
        </w:rPr>
        <w:t xml:space="preserve">Shi, W. B.M. Scannell, M.R. Gilbert, </w:t>
      </w:r>
      <w:r w:rsidRPr="00B71078">
        <w:rPr>
          <w:i/>
          <w:color w:val="auto"/>
        </w:rPr>
        <w:t xml:space="preserve">et al.  </w:t>
      </w:r>
      <w:r w:rsidRPr="00B71078">
        <w:rPr>
          <w:iCs/>
          <w:color w:val="auto"/>
        </w:rPr>
        <w:t xml:space="preserve">(2018).  </w:t>
      </w:r>
      <w:r w:rsidR="00223DC7" w:rsidRPr="00B71078">
        <w:rPr>
          <w:iCs/>
          <w:color w:val="auto"/>
        </w:rPr>
        <w:t xml:space="preserve">Investigating the effect of reirradiation or systemic therapy in patients with glioblastoma after tumor progression: a secondary analysis </w:t>
      </w:r>
      <w:r w:rsidR="00041E45" w:rsidRPr="00B71078">
        <w:rPr>
          <w:iCs/>
          <w:color w:val="auto"/>
        </w:rPr>
        <w:t>of</w:t>
      </w:r>
      <w:r w:rsidR="00223DC7" w:rsidRPr="00B71078">
        <w:rPr>
          <w:iCs/>
          <w:color w:val="auto"/>
        </w:rPr>
        <w:t xml:space="preserve"> NRG Oncology/Radiation Therapy Oncology Group Trial </w:t>
      </w:r>
      <w:r w:rsidR="00041E45" w:rsidRPr="00B71078">
        <w:rPr>
          <w:iCs/>
          <w:color w:val="auto"/>
        </w:rPr>
        <w:t xml:space="preserve">0525.  </w:t>
      </w:r>
      <w:r w:rsidR="00041E45" w:rsidRPr="00B71078">
        <w:rPr>
          <w:i/>
          <w:color w:val="auto"/>
        </w:rPr>
        <w:t xml:space="preserve">Int J </w:t>
      </w:r>
      <w:proofErr w:type="spellStart"/>
      <w:r w:rsidR="00041E45" w:rsidRPr="00B71078">
        <w:rPr>
          <w:i/>
          <w:color w:val="auto"/>
        </w:rPr>
        <w:t>Radiat</w:t>
      </w:r>
      <w:proofErr w:type="spellEnd"/>
      <w:r w:rsidR="00041E45" w:rsidRPr="00B71078">
        <w:rPr>
          <w:i/>
          <w:color w:val="auto"/>
        </w:rPr>
        <w:t xml:space="preserve"> Oncol Biol Phys.  </w:t>
      </w:r>
      <w:r w:rsidR="00041E45" w:rsidRPr="00B71078">
        <w:rPr>
          <w:iCs/>
          <w:color w:val="auto"/>
        </w:rPr>
        <w:t>100(1):38-44.</w:t>
      </w:r>
    </w:p>
    <w:p w14:paraId="5E7FC894" w14:textId="77777777" w:rsidR="007C4581" w:rsidRPr="00B71078" w:rsidRDefault="007C4581" w:rsidP="009E246E">
      <w:pPr>
        <w:suppressAutoHyphens/>
        <w:rPr>
          <w:iCs/>
          <w:color w:val="auto"/>
        </w:rPr>
      </w:pPr>
    </w:p>
    <w:p w14:paraId="6B341B5B" w14:textId="26B69C71" w:rsidR="007C4581" w:rsidRPr="00B71078" w:rsidRDefault="007C4581" w:rsidP="009E246E">
      <w:pPr>
        <w:suppressAutoHyphens/>
        <w:rPr>
          <w:iCs/>
          <w:color w:val="auto"/>
        </w:rPr>
      </w:pPr>
      <w:proofErr w:type="spellStart"/>
      <w:r w:rsidRPr="00B71078">
        <w:rPr>
          <w:iCs/>
          <w:color w:val="auto"/>
        </w:rPr>
        <w:t>Snuderl</w:t>
      </w:r>
      <w:proofErr w:type="spellEnd"/>
      <w:r w:rsidRPr="00B71078">
        <w:rPr>
          <w:iCs/>
          <w:color w:val="auto"/>
        </w:rPr>
        <w:t xml:space="preserve">, M., L. </w:t>
      </w:r>
      <w:proofErr w:type="spellStart"/>
      <w:r w:rsidRPr="00B71078">
        <w:rPr>
          <w:iCs/>
          <w:color w:val="auto"/>
        </w:rPr>
        <w:t>Fazlollahi</w:t>
      </w:r>
      <w:proofErr w:type="spellEnd"/>
      <w:r w:rsidRPr="00B71078">
        <w:rPr>
          <w:iCs/>
          <w:color w:val="auto"/>
        </w:rPr>
        <w:t xml:space="preserve">, L.P. Le, </w:t>
      </w:r>
      <w:r w:rsidRPr="00B71078">
        <w:rPr>
          <w:i/>
          <w:color w:val="auto"/>
        </w:rPr>
        <w:t xml:space="preserve">et al.  </w:t>
      </w:r>
      <w:r w:rsidRPr="00B71078">
        <w:rPr>
          <w:iCs/>
          <w:color w:val="auto"/>
        </w:rPr>
        <w:t>(</w:t>
      </w:r>
      <w:r w:rsidR="00235CE2" w:rsidRPr="00B71078">
        <w:rPr>
          <w:iCs/>
          <w:color w:val="auto"/>
        </w:rPr>
        <w:t xml:space="preserve">2011).  Mosaic amplification of multiple receptor tyrosine kinase genes in glioblastoma.  </w:t>
      </w:r>
      <w:r w:rsidR="00235CE2" w:rsidRPr="00B71078">
        <w:rPr>
          <w:i/>
          <w:color w:val="auto"/>
        </w:rPr>
        <w:t xml:space="preserve">Cancer Cell.  </w:t>
      </w:r>
      <w:r w:rsidR="00235CE2" w:rsidRPr="00B71078">
        <w:rPr>
          <w:iCs/>
          <w:color w:val="auto"/>
        </w:rPr>
        <w:t>20(6):810-817.</w:t>
      </w:r>
    </w:p>
    <w:p w14:paraId="712F9337" w14:textId="77777777" w:rsidR="00B67E2A" w:rsidRPr="00B71078" w:rsidRDefault="00B67E2A" w:rsidP="009E246E">
      <w:pPr>
        <w:suppressAutoHyphens/>
        <w:rPr>
          <w:iCs/>
          <w:color w:val="auto"/>
        </w:rPr>
      </w:pPr>
    </w:p>
    <w:p w14:paraId="40A21345" w14:textId="68936CBD" w:rsidR="00B67E2A" w:rsidRPr="00B71078" w:rsidRDefault="00B67E2A" w:rsidP="009E246E">
      <w:pPr>
        <w:suppressAutoHyphens/>
        <w:rPr>
          <w:iCs/>
          <w:color w:val="auto"/>
        </w:rPr>
      </w:pPr>
      <w:proofErr w:type="spellStart"/>
      <w:r w:rsidRPr="00B71078">
        <w:rPr>
          <w:iCs/>
          <w:color w:val="auto"/>
        </w:rPr>
        <w:t>Souhami</w:t>
      </w:r>
      <w:proofErr w:type="spellEnd"/>
      <w:r w:rsidRPr="00B71078">
        <w:rPr>
          <w:iCs/>
          <w:color w:val="auto"/>
        </w:rPr>
        <w:t xml:space="preserve">, L., W. Seiferheld, D. Brachman, </w:t>
      </w:r>
      <w:r w:rsidRPr="00B71078">
        <w:rPr>
          <w:i/>
          <w:color w:val="auto"/>
        </w:rPr>
        <w:t xml:space="preserve">et al.  </w:t>
      </w:r>
      <w:r w:rsidR="00247ED9" w:rsidRPr="00B71078">
        <w:rPr>
          <w:iCs/>
          <w:color w:val="auto"/>
        </w:rPr>
        <w:t xml:space="preserve">(2004).  Randomized comparison of stereotactic radiosurgery followed by conventional radiotherapy with </w:t>
      </w:r>
      <w:proofErr w:type="spellStart"/>
      <w:r w:rsidR="00247ED9" w:rsidRPr="00B71078">
        <w:rPr>
          <w:iCs/>
          <w:color w:val="auto"/>
        </w:rPr>
        <w:t>carmustine</w:t>
      </w:r>
      <w:proofErr w:type="spellEnd"/>
      <w:r w:rsidR="00247ED9" w:rsidRPr="00B71078">
        <w:rPr>
          <w:iCs/>
          <w:color w:val="auto"/>
        </w:rPr>
        <w:t xml:space="preserve"> to conventional radiotherapy with </w:t>
      </w:r>
      <w:proofErr w:type="spellStart"/>
      <w:r w:rsidR="00247ED9" w:rsidRPr="00B71078">
        <w:rPr>
          <w:iCs/>
          <w:color w:val="auto"/>
        </w:rPr>
        <w:t>carmustine</w:t>
      </w:r>
      <w:proofErr w:type="spellEnd"/>
      <w:r w:rsidR="00247ED9" w:rsidRPr="00B71078">
        <w:rPr>
          <w:iCs/>
          <w:color w:val="auto"/>
        </w:rPr>
        <w:t xml:space="preserve"> for patients with glioblastoma multiforme: report of Radiation Therapy Oncology Group 93-05 protocol.  </w:t>
      </w:r>
      <w:r w:rsidR="00247ED9" w:rsidRPr="00B71078">
        <w:rPr>
          <w:i/>
          <w:color w:val="auto"/>
        </w:rPr>
        <w:t xml:space="preserve">Int J </w:t>
      </w:r>
      <w:proofErr w:type="spellStart"/>
      <w:r w:rsidR="00247ED9" w:rsidRPr="00B71078">
        <w:rPr>
          <w:i/>
          <w:color w:val="auto"/>
        </w:rPr>
        <w:t>Radiat</w:t>
      </w:r>
      <w:proofErr w:type="spellEnd"/>
      <w:r w:rsidR="00247ED9" w:rsidRPr="00B71078">
        <w:rPr>
          <w:i/>
          <w:color w:val="auto"/>
        </w:rPr>
        <w:t xml:space="preserve"> Oncol Biol Phys.  </w:t>
      </w:r>
      <w:r w:rsidR="00247ED9" w:rsidRPr="00B71078">
        <w:rPr>
          <w:iCs/>
          <w:color w:val="auto"/>
        </w:rPr>
        <w:t>60(3):853</w:t>
      </w:r>
      <w:r w:rsidR="00F83E5A" w:rsidRPr="00B71078">
        <w:rPr>
          <w:iCs/>
          <w:color w:val="auto"/>
        </w:rPr>
        <w:t>-860.</w:t>
      </w:r>
    </w:p>
    <w:p w14:paraId="2BAD2157" w14:textId="77777777" w:rsidR="00A32E5C" w:rsidRPr="00B71078" w:rsidRDefault="00A32E5C" w:rsidP="009E246E">
      <w:pPr>
        <w:suppressAutoHyphens/>
        <w:rPr>
          <w:iCs/>
          <w:color w:val="auto"/>
        </w:rPr>
      </w:pPr>
    </w:p>
    <w:p w14:paraId="03196E68" w14:textId="1A8D3D39" w:rsidR="00A32E5C" w:rsidRPr="00B71078" w:rsidRDefault="00A32E5C" w:rsidP="009E246E">
      <w:pPr>
        <w:suppressAutoHyphens/>
        <w:rPr>
          <w:iCs/>
          <w:color w:val="auto"/>
        </w:rPr>
      </w:pPr>
      <w:r w:rsidRPr="00B71078">
        <w:rPr>
          <w:iCs/>
          <w:color w:val="auto"/>
        </w:rPr>
        <w:t xml:space="preserve">Stupp, R. </w:t>
      </w:r>
      <w:r w:rsidR="000763F4" w:rsidRPr="00B71078">
        <w:rPr>
          <w:iCs/>
          <w:color w:val="auto"/>
        </w:rPr>
        <w:t xml:space="preserve">W.P. Mason, M.J. van den Bent, </w:t>
      </w:r>
      <w:r w:rsidR="000763F4" w:rsidRPr="00B71078">
        <w:rPr>
          <w:i/>
          <w:color w:val="auto"/>
        </w:rPr>
        <w:t xml:space="preserve">et al.  </w:t>
      </w:r>
      <w:r w:rsidR="000763F4" w:rsidRPr="00B71078">
        <w:rPr>
          <w:iCs/>
          <w:color w:val="auto"/>
        </w:rPr>
        <w:t>(2005).  Radiotherapy plus concomitant and adjuvant temozol</w:t>
      </w:r>
      <w:r w:rsidR="00CB3372" w:rsidRPr="00B71078">
        <w:rPr>
          <w:iCs/>
          <w:color w:val="auto"/>
        </w:rPr>
        <w:t xml:space="preserve">omide for glioblastoma.  </w:t>
      </w:r>
      <w:r w:rsidR="00CB3372" w:rsidRPr="00B71078">
        <w:rPr>
          <w:i/>
          <w:color w:val="auto"/>
        </w:rPr>
        <w:t xml:space="preserve">N Engl J Med.  </w:t>
      </w:r>
      <w:r w:rsidR="00CB3372" w:rsidRPr="00B71078">
        <w:rPr>
          <w:iCs/>
          <w:color w:val="auto"/>
        </w:rPr>
        <w:t>352(10):987-996.</w:t>
      </w:r>
    </w:p>
    <w:p w14:paraId="50977A7F" w14:textId="77777777" w:rsidR="00135987" w:rsidRPr="00B71078" w:rsidRDefault="00135987" w:rsidP="009E246E">
      <w:pPr>
        <w:suppressAutoHyphens/>
        <w:rPr>
          <w:iCs/>
          <w:color w:val="auto"/>
        </w:rPr>
      </w:pPr>
    </w:p>
    <w:p w14:paraId="5386EB7B" w14:textId="25E63ED2" w:rsidR="00135987" w:rsidRPr="00B71078" w:rsidRDefault="00135987" w:rsidP="009E246E">
      <w:pPr>
        <w:suppressAutoHyphens/>
        <w:rPr>
          <w:iCs/>
          <w:color w:val="auto"/>
        </w:rPr>
      </w:pPr>
      <w:r w:rsidRPr="00B71078">
        <w:rPr>
          <w:iCs/>
          <w:color w:val="auto"/>
        </w:rPr>
        <w:t xml:space="preserve">Stupp, R., M.E. Hegi, W.P. Mason, </w:t>
      </w:r>
      <w:r w:rsidRPr="00B71078">
        <w:rPr>
          <w:i/>
          <w:color w:val="auto"/>
        </w:rPr>
        <w:t xml:space="preserve">et al.  </w:t>
      </w:r>
      <w:r w:rsidRPr="00B71078">
        <w:rPr>
          <w:iCs/>
          <w:color w:val="auto"/>
        </w:rPr>
        <w:t xml:space="preserve">(2009).  Effects of radiotherapy with concomitant and adjuvant temozolomide versus radiotherapy alone on survival in glioblastoma in a randomized phase III study: 5-year analysis of the EORTC-NCIC trial.  </w:t>
      </w:r>
      <w:r w:rsidRPr="00B71078">
        <w:rPr>
          <w:i/>
          <w:color w:val="auto"/>
        </w:rPr>
        <w:t xml:space="preserve">Lancet Oncol.  </w:t>
      </w:r>
      <w:r w:rsidRPr="00B71078">
        <w:rPr>
          <w:iCs/>
          <w:color w:val="auto"/>
        </w:rPr>
        <w:t>10(5):459-466.</w:t>
      </w:r>
    </w:p>
    <w:p w14:paraId="3EEF7994" w14:textId="77777777" w:rsidR="00CB3372" w:rsidRPr="00B71078" w:rsidRDefault="00CB3372" w:rsidP="009E246E">
      <w:pPr>
        <w:suppressAutoHyphens/>
        <w:rPr>
          <w:iCs/>
          <w:color w:val="auto"/>
        </w:rPr>
      </w:pPr>
    </w:p>
    <w:p w14:paraId="252ECFE8" w14:textId="73D86E66" w:rsidR="00CB3372" w:rsidRPr="00B71078" w:rsidRDefault="00CB3372" w:rsidP="009E246E">
      <w:pPr>
        <w:suppressAutoHyphens/>
        <w:rPr>
          <w:iCs/>
          <w:color w:val="auto"/>
        </w:rPr>
      </w:pPr>
      <w:r w:rsidRPr="00B71078">
        <w:rPr>
          <w:iCs/>
          <w:color w:val="auto"/>
        </w:rPr>
        <w:t xml:space="preserve">Stupp, R., S. </w:t>
      </w:r>
      <w:proofErr w:type="spellStart"/>
      <w:r w:rsidRPr="00B71078">
        <w:rPr>
          <w:iCs/>
          <w:color w:val="auto"/>
        </w:rPr>
        <w:t>Taillibert</w:t>
      </w:r>
      <w:proofErr w:type="spellEnd"/>
      <w:r w:rsidRPr="00B71078">
        <w:rPr>
          <w:iCs/>
          <w:color w:val="auto"/>
        </w:rPr>
        <w:t xml:space="preserve">, A. Kanner, </w:t>
      </w:r>
      <w:r w:rsidRPr="00B71078">
        <w:rPr>
          <w:i/>
          <w:color w:val="auto"/>
        </w:rPr>
        <w:t xml:space="preserve">et al.  </w:t>
      </w:r>
      <w:r w:rsidRPr="00B71078">
        <w:rPr>
          <w:iCs/>
          <w:color w:val="auto"/>
        </w:rPr>
        <w:t>(2017).  Effect of tumor-treating fields plus maintenance temozolomide vs maintenance temo</w:t>
      </w:r>
      <w:r w:rsidR="00CA36BC" w:rsidRPr="00B71078">
        <w:rPr>
          <w:iCs/>
          <w:color w:val="auto"/>
        </w:rPr>
        <w:t xml:space="preserve">zolomide alone on survival in patients with glioblastoma: a randomized clinical trial.  </w:t>
      </w:r>
      <w:r w:rsidR="00CA36BC" w:rsidRPr="00B71078">
        <w:rPr>
          <w:i/>
          <w:color w:val="auto"/>
        </w:rPr>
        <w:t xml:space="preserve">JAMA.  </w:t>
      </w:r>
      <w:r w:rsidR="00CA36BC" w:rsidRPr="00B71078">
        <w:rPr>
          <w:iCs/>
          <w:color w:val="auto"/>
        </w:rPr>
        <w:t>318(23):2306-2316.</w:t>
      </w:r>
    </w:p>
    <w:p w14:paraId="296C403D" w14:textId="77777777" w:rsidR="00F062E2" w:rsidRPr="00B71078" w:rsidRDefault="00F062E2" w:rsidP="009E246E">
      <w:pPr>
        <w:suppressAutoHyphens/>
        <w:rPr>
          <w:iCs/>
          <w:color w:val="auto"/>
        </w:rPr>
      </w:pPr>
    </w:p>
    <w:p w14:paraId="62D4C785" w14:textId="2923FD9F" w:rsidR="00F062E2" w:rsidRPr="00B71078" w:rsidRDefault="00F062E2" w:rsidP="009E246E">
      <w:pPr>
        <w:suppressAutoHyphens/>
        <w:rPr>
          <w:iCs/>
          <w:color w:val="auto"/>
        </w:rPr>
      </w:pPr>
      <w:r w:rsidRPr="00B71078">
        <w:rPr>
          <w:iCs/>
          <w:color w:val="auto"/>
        </w:rPr>
        <w:t xml:space="preserve">Thelander, L. and P. Reichard.  (1979).  Reduction of ribonucleotides.  </w:t>
      </w:r>
      <w:r w:rsidRPr="00B71078">
        <w:rPr>
          <w:i/>
          <w:color w:val="auto"/>
        </w:rPr>
        <w:t xml:space="preserve">Annu Rev </w:t>
      </w:r>
      <w:proofErr w:type="spellStart"/>
      <w:r w:rsidRPr="00B71078">
        <w:rPr>
          <w:i/>
          <w:color w:val="auto"/>
        </w:rPr>
        <w:t>Biochem</w:t>
      </w:r>
      <w:proofErr w:type="spellEnd"/>
      <w:r w:rsidRPr="00B71078">
        <w:rPr>
          <w:i/>
          <w:color w:val="auto"/>
        </w:rPr>
        <w:t xml:space="preserve">.  </w:t>
      </w:r>
      <w:r w:rsidR="00CE1D30" w:rsidRPr="00B71078">
        <w:rPr>
          <w:iCs/>
          <w:color w:val="auto"/>
        </w:rPr>
        <w:t>48(1):133-158.</w:t>
      </w:r>
    </w:p>
    <w:p w14:paraId="495CABA9" w14:textId="77777777" w:rsidR="00572D66" w:rsidRPr="00B71078" w:rsidRDefault="00572D66" w:rsidP="009E246E">
      <w:pPr>
        <w:suppressAutoHyphens/>
        <w:rPr>
          <w:iCs/>
          <w:color w:val="auto"/>
        </w:rPr>
      </w:pPr>
    </w:p>
    <w:p w14:paraId="14BF8545" w14:textId="7BE3B962" w:rsidR="0076497A" w:rsidRPr="00B71078" w:rsidRDefault="0076497A" w:rsidP="009E246E">
      <w:pPr>
        <w:suppressAutoHyphens/>
        <w:rPr>
          <w:iCs/>
          <w:color w:val="auto"/>
        </w:rPr>
      </w:pPr>
      <w:r w:rsidRPr="00B71078">
        <w:rPr>
          <w:iCs/>
          <w:color w:val="auto"/>
        </w:rPr>
        <w:t xml:space="preserve">Tsien, C., J. Moughan, J.M. Michalski, </w:t>
      </w:r>
      <w:r w:rsidRPr="00B71078">
        <w:rPr>
          <w:i/>
          <w:color w:val="auto"/>
        </w:rPr>
        <w:t xml:space="preserve">et al.  </w:t>
      </w:r>
      <w:r w:rsidRPr="00B71078">
        <w:rPr>
          <w:iCs/>
          <w:color w:val="auto"/>
        </w:rPr>
        <w:t>(</w:t>
      </w:r>
      <w:r w:rsidR="005C0B25" w:rsidRPr="00B71078">
        <w:rPr>
          <w:iCs/>
          <w:color w:val="auto"/>
        </w:rPr>
        <w:t xml:space="preserve">2009).  Phase I three-dimensional conformal radiation dose escalation study in newly diagnosed glioblastoma: Radiation Therapy Oncology Group Trial 98-03. </w:t>
      </w:r>
      <w:r w:rsidR="00970DE8" w:rsidRPr="00B71078">
        <w:rPr>
          <w:iCs/>
          <w:color w:val="auto"/>
        </w:rPr>
        <w:t xml:space="preserve"> </w:t>
      </w:r>
      <w:r w:rsidR="00970DE8" w:rsidRPr="00B71078">
        <w:rPr>
          <w:i/>
          <w:color w:val="auto"/>
        </w:rPr>
        <w:t xml:space="preserve">Int J </w:t>
      </w:r>
      <w:proofErr w:type="spellStart"/>
      <w:r w:rsidR="00970DE8" w:rsidRPr="00B71078">
        <w:rPr>
          <w:i/>
          <w:color w:val="auto"/>
        </w:rPr>
        <w:t>Radiat</w:t>
      </w:r>
      <w:proofErr w:type="spellEnd"/>
      <w:r w:rsidR="00970DE8" w:rsidRPr="00B71078">
        <w:rPr>
          <w:i/>
          <w:color w:val="auto"/>
        </w:rPr>
        <w:t xml:space="preserve"> Oncol Biol Phys.  </w:t>
      </w:r>
      <w:r w:rsidR="00970DE8" w:rsidRPr="00B71078">
        <w:rPr>
          <w:iCs/>
          <w:color w:val="auto"/>
        </w:rPr>
        <w:t>73(3):699-708.</w:t>
      </w:r>
    </w:p>
    <w:p w14:paraId="4B9D71DD" w14:textId="77777777" w:rsidR="0076497A" w:rsidRPr="00B71078" w:rsidRDefault="0076497A" w:rsidP="009E246E">
      <w:pPr>
        <w:suppressAutoHyphens/>
        <w:rPr>
          <w:iCs/>
          <w:color w:val="auto"/>
        </w:rPr>
      </w:pPr>
    </w:p>
    <w:p w14:paraId="3BAC0B15" w14:textId="12687000" w:rsidR="00572D66" w:rsidRPr="00B71078" w:rsidRDefault="00572D66" w:rsidP="009E246E">
      <w:pPr>
        <w:suppressAutoHyphens/>
        <w:rPr>
          <w:iCs/>
          <w:color w:val="auto"/>
        </w:rPr>
      </w:pPr>
      <w:r w:rsidRPr="00B71078">
        <w:rPr>
          <w:iCs/>
          <w:color w:val="auto"/>
        </w:rPr>
        <w:t xml:space="preserve">Tsien, C.I., S.L. Pugh, A.P. Dicker, </w:t>
      </w:r>
      <w:r w:rsidRPr="00B71078">
        <w:rPr>
          <w:i/>
          <w:color w:val="auto"/>
        </w:rPr>
        <w:t xml:space="preserve">et al.  </w:t>
      </w:r>
      <w:r w:rsidRPr="00B71078">
        <w:rPr>
          <w:iCs/>
          <w:color w:val="auto"/>
        </w:rPr>
        <w:t xml:space="preserve">(2023).  </w:t>
      </w:r>
      <w:r w:rsidR="00773E0E" w:rsidRPr="00B71078">
        <w:rPr>
          <w:iCs/>
          <w:color w:val="auto"/>
        </w:rPr>
        <w:t xml:space="preserve">NRG Oncology/RTOG1205: a randomized phase II trial of concurrent bevacizumab and reirradiation versus bevacizumab alone as treatment for recurrent glioblastoma.  </w:t>
      </w:r>
      <w:r w:rsidR="00773E0E" w:rsidRPr="00B71078">
        <w:rPr>
          <w:i/>
          <w:color w:val="auto"/>
        </w:rPr>
        <w:t xml:space="preserve">J Clin </w:t>
      </w:r>
      <w:proofErr w:type="spellStart"/>
      <w:r w:rsidR="00773E0E" w:rsidRPr="00B71078">
        <w:rPr>
          <w:i/>
          <w:color w:val="auto"/>
        </w:rPr>
        <w:t>Onocol</w:t>
      </w:r>
      <w:proofErr w:type="spellEnd"/>
      <w:r w:rsidR="00773E0E" w:rsidRPr="00B71078">
        <w:rPr>
          <w:i/>
          <w:color w:val="auto"/>
        </w:rPr>
        <w:t xml:space="preserve">.  </w:t>
      </w:r>
      <w:r w:rsidR="00773E0E" w:rsidRPr="00B71078">
        <w:rPr>
          <w:iCs/>
          <w:color w:val="auto"/>
        </w:rPr>
        <w:t>41(6):1285-1295.</w:t>
      </w:r>
    </w:p>
    <w:p w14:paraId="29C3B118" w14:textId="77777777" w:rsidR="00BD72A5" w:rsidRPr="00B71078" w:rsidRDefault="00BD72A5" w:rsidP="009E246E">
      <w:pPr>
        <w:suppressAutoHyphens/>
        <w:rPr>
          <w:iCs/>
          <w:color w:val="auto"/>
        </w:rPr>
      </w:pPr>
    </w:p>
    <w:p w14:paraId="6F2DE3B4" w14:textId="7E46B0CF" w:rsidR="008D16E8" w:rsidRPr="00B71078" w:rsidRDefault="008D16E8" w:rsidP="009E246E">
      <w:pPr>
        <w:suppressAutoHyphens/>
        <w:rPr>
          <w:iCs/>
          <w:color w:val="auto"/>
        </w:rPr>
      </w:pPr>
      <w:r w:rsidRPr="00B71078">
        <w:rPr>
          <w:iCs/>
          <w:color w:val="auto"/>
        </w:rPr>
        <w:t xml:space="preserve">Wadler, S., D. </w:t>
      </w:r>
      <w:proofErr w:type="spellStart"/>
      <w:r w:rsidRPr="00B71078">
        <w:rPr>
          <w:iCs/>
          <w:color w:val="auto"/>
        </w:rPr>
        <w:t>Makower</w:t>
      </w:r>
      <w:proofErr w:type="spellEnd"/>
      <w:r w:rsidRPr="00B71078">
        <w:rPr>
          <w:iCs/>
          <w:color w:val="auto"/>
        </w:rPr>
        <w:t xml:space="preserve">, C. Clairmont, </w:t>
      </w:r>
      <w:r w:rsidRPr="00B71078">
        <w:rPr>
          <w:i/>
          <w:color w:val="auto"/>
        </w:rPr>
        <w:t xml:space="preserve">et al.  </w:t>
      </w:r>
      <w:r w:rsidRPr="00B71078">
        <w:rPr>
          <w:iCs/>
          <w:color w:val="auto"/>
        </w:rPr>
        <w:t xml:space="preserve">(2004).  Phase 1 and pharmacokinetic study of the ribonucleotide reductase inhibitor, 3-aminopyridine-2-carboxaldehyde thiosemicarbazone, administered by 96-hour intravenous continuous infusion.  </w:t>
      </w:r>
      <w:r w:rsidRPr="00B71078">
        <w:rPr>
          <w:i/>
          <w:color w:val="auto"/>
        </w:rPr>
        <w:t>J Clin Oncol</w:t>
      </w:r>
      <w:r w:rsidR="00BD72A5" w:rsidRPr="00B71078">
        <w:rPr>
          <w:i/>
          <w:color w:val="auto"/>
        </w:rPr>
        <w:t xml:space="preserve">.  </w:t>
      </w:r>
      <w:r w:rsidR="00BD72A5" w:rsidRPr="00B71078">
        <w:rPr>
          <w:iCs/>
          <w:color w:val="auto"/>
        </w:rPr>
        <w:t>22(9):1553-1563.</w:t>
      </w:r>
    </w:p>
    <w:p w14:paraId="0AC6FEE5" w14:textId="77777777" w:rsidR="001560E6" w:rsidRPr="00B71078" w:rsidRDefault="001560E6" w:rsidP="009E246E">
      <w:pPr>
        <w:suppressAutoHyphens/>
        <w:rPr>
          <w:iCs/>
          <w:color w:val="auto"/>
        </w:rPr>
      </w:pPr>
    </w:p>
    <w:p w14:paraId="58D8454F" w14:textId="1530A805" w:rsidR="001560E6" w:rsidRPr="00B71078" w:rsidRDefault="001560E6" w:rsidP="009E246E">
      <w:pPr>
        <w:suppressAutoHyphens/>
        <w:rPr>
          <w:iCs/>
          <w:color w:val="auto"/>
        </w:rPr>
      </w:pPr>
      <w:r w:rsidRPr="00B71078">
        <w:rPr>
          <w:iCs/>
          <w:color w:val="auto"/>
        </w:rPr>
        <w:t xml:space="preserve">Weinberg, G., B. Ullman, and D.W. Martin.  (1981).  Mutator phenotypes in mammalian cell mutants with distinct biochemical defects and abnormal deoxyribonucleoside triphosphate pools.  </w:t>
      </w:r>
      <w:r w:rsidRPr="00B71078">
        <w:rPr>
          <w:i/>
          <w:color w:val="auto"/>
        </w:rPr>
        <w:t xml:space="preserve">Proc Natl </w:t>
      </w:r>
      <w:proofErr w:type="spellStart"/>
      <w:r w:rsidRPr="00B71078">
        <w:rPr>
          <w:i/>
          <w:color w:val="auto"/>
        </w:rPr>
        <w:t>Acad</w:t>
      </w:r>
      <w:proofErr w:type="spellEnd"/>
      <w:r w:rsidRPr="00B71078">
        <w:rPr>
          <w:i/>
          <w:color w:val="auto"/>
        </w:rPr>
        <w:t xml:space="preserve"> Sci.  </w:t>
      </w:r>
      <w:r w:rsidRPr="00B71078">
        <w:rPr>
          <w:iCs/>
          <w:color w:val="auto"/>
        </w:rPr>
        <w:t>78(4):2447-2451.</w:t>
      </w:r>
    </w:p>
    <w:p w14:paraId="48D897C2" w14:textId="77777777" w:rsidR="00BA4311" w:rsidRPr="00B71078" w:rsidRDefault="00BA4311" w:rsidP="009E246E">
      <w:pPr>
        <w:suppressAutoHyphens/>
        <w:rPr>
          <w:iCs/>
          <w:color w:val="auto"/>
        </w:rPr>
      </w:pPr>
    </w:p>
    <w:p w14:paraId="73C8ACE6" w14:textId="0919BE97" w:rsidR="00BA4311" w:rsidRPr="00B71078" w:rsidRDefault="00BA4311" w:rsidP="009E246E">
      <w:pPr>
        <w:suppressAutoHyphens/>
        <w:rPr>
          <w:iCs/>
          <w:color w:val="auto"/>
        </w:rPr>
      </w:pPr>
      <w:r w:rsidRPr="00B71078">
        <w:rPr>
          <w:iCs/>
          <w:color w:val="auto"/>
        </w:rPr>
        <w:t xml:space="preserve">Weller, M., J. </w:t>
      </w:r>
      <w:proofErr w:type="spellStart"/>
      <w:r w:rsidRPr="00B71078">
        <w:rPr>
          <w:iCs/>
          <w:color w:val="auto"/>
        </w:rPr>
        <w:t>Felsberg</w:t>
      </w:r>
      <w:proofErr w:type="spellEnd"/>
      <w:r w:rsidRPr="00B71078">
        <w:rPr>
          <w:iCs/>
          <w:color w:val="auto"/>
        </w:rPr>
        <w:t xml:space="preserve">, C. Hartmann, </w:t>
      </w:r>
      <w:r w:rsidRPr="00B71078">
        <w:rPr>
          <w:i/>
          <w:color w:val="auto"/>
        </w:rPr>
        <w:t xml:space="preserve">et al.  </w:t>
      </w:r>
      <w:r w:rsidRPr="00B71078">
        <w:rPr>
          <w:iCs/>
          <w:color w:val="auto"/>
        </w:rPr>
        <w:t>(</w:t>
      </w:r>
      <w:r w:rsidR="00331D50" w:rsidRPr="00B71078">
        <w:rPr>
          <w:iCs/>
          <w:color w:val="auto"/>
        </w:rPr>
        <w:t xml:space="preserve">2009).  </w:t>
      </w:r>
      <w:r w:rsidR="002D034E" w:rsidRPr="00B71078">
        <w:rPr>
          <w:iCs/>
          <w:color w:val="auto"/>
        </w:rPr>
        <w:t xml:space="preserve">Molecular predictors of progression-free and overall survival in patients with newly diagnosed glioblastoma: a prospective translational study of the German Glioma Network.  </w:t>
      </w:r>
      <w:r w:rsidR="00CB4452" w:rsidRPr="00B71078">
        <w:rPr>
          <w:i/>
          <w:color w:val="auto"/>
        </w:rPr>
        <w:t>J Clin Oncol</w:t>
      </w:r>
      <w:r w:rsidR="00930EDA" w:rsidRPr="00B71078">
        <w:rPr>
          <w:i/>
          <w:color w:val="auto"/>
        </w:rPr>
        <w:t xml:space="preserve">.  </w:t>
      </w:r>
      <w:r w:rsidR="00930EDA" w:rsidRPr="00B71078">
        <w:rPr>
          <w:iCs/>
          <w:color w:val="auto"/>
        </w:rPr>
        <w:t>27(34):5743-5750.</w:t>
      </w:r>
    </w:p>
    <w:p w14:paraId="262956C9" w14:textId="77777777" w:rsidR="00251857" w:rsidRPr="00B71078" w:rsidRDefault="00251857" w:rsidP="009E246E">
      <w:pPr>
        <w:suppressAutoHyphens/>
        <w:rPr>
          <w:iCs/>
          <w:color w:val="auto"/>
        </w:rPr>
      </w:pPr>
    </w:p>
    <w:p w14:paraId="7AFA7C3A" w14:textId="049B9384" w:rsidR="00251857" w:rsidRPr="00B71078" w:rsidRDefault="00251857" w:rsidP="009E246E">
      <w:pPr>
        <w:suppressAutoHyphens/>
        <w:rPr>
          <w:iCs/>
          <w:color w:val="auto"/>
        </w:rPr>
      </w:pPr>
      <w:r w:rsidRPr="00B71078">
        <w:rPr>
          <w:iCs/>
          <w:color w:val="auto"/>
        </w:rPr>
        <w:t xml:space="preserve">Wick, W., T. </w:t>
      </w:r>
      <w:proofErr w:type="spellStart"/>
      <w:r w:rsidRPr="00B71078">
        <w:rPr>
          <w:iCs/>
          <w:color w:val="auto"/>
        </w:rPr>
        <w:t>Gorlia</w:t>
      </w:r>
      <w:proofErr w:type="spellEnd"/>
      <w:r w:rsidRPr="00B71078">
        <w:rPr>
          <w:iCs/>
          <w:color w:val="auto"/>
        </w:rPr>
        <w:t xml:space="preserve">, M. </w:t>
      </w:r>
      <w:proofErr w:type="spellStart"/>
      <w:r w:rsidRPr="00B71078">
        <w:rPr>
          <w:iCs/>
          <w:color w:val="auto"/>
        </w:rPr>
        <w:t>Bendszus</w:t>
      </w:r>
      <w:proofErr w:type="spellEnd"/>
      <w:r w:rsidRPr="00B71078">
        <w:rPr>
          <w:iCs/>
          <w:color w:val="auto"/>
        </w:rPr>
        <w:t xml:space="preserve">, </w:t>
      </w:r>
      <w:r w:rsidRPr="00B71078">
        <w:rPr>
          <w:i/>
          <w:color w:val="auto"/>
        </w:rPr>
        <w:t xml:space="preserve">et al.  </w:t>
      </w:r>
      <w:r w:rsidRPr="00B71078">
        <w:rPr>
          <w:iCs/>
          <w:color w:val="auto"/>
        </w:rPr>
        <w:t xml:space="preserve">(2017).  </w:t>
      </w:r>
      <w:proofErr w:type="spellStart"/>
      <w:r w:rsidRPr="00B71078">
        <w:rPr>
          <w:iCs/>
          <w:color w:val="auto"/>
        </w:rPr>
        <w:t>Lomustine</w:t>
      </w:r>
      <w:proofErr w:type="spellEnd"/>
      <w:r w:rsidRPr="00B71078">
        <w:rPr>
          <w:iCs/>
          <w:color w:val="auto"/>
        </w:rPr>
        <w:t xml:space="preserve"> and bevacizumab in progressive glioblastoma.  </w:t>
      </w:r>
      <w:r w:rsidRPr="00B71078">
        <w:rPr>
          <w:i/>
          <w:color w:val="auto"/>
        </w:rPr>
        <w:t xml:space="preserve">N Engl J Med.  </w:t>
      </w:r>
      <w:r w:rsidR="00E85D96" w:rsidRPr="00B71078">
        <w:rPr>
          <w:iCs/>
          <w:color w:val="auto"/>
        </w:rPr>
        <w:t>377(20):1954-1963.</w:t>
      </w:r>
    </w:p>
    <w:p w14:paraId="34621378" w14:textId="77777777" w:rsidR="00227D60" w:rsidRPr="00B71078" w:rsidRDefault="00227D60" w:rsidP="009E246E">
      <w:pPr>
        <w:suppressAutoHyphens/>
        <w:rPr>
          <w:iCs/>
          <w:color w:val="auto"/>
        </w:rPr>
      </w:pPr>
    </w:p>
    <w:p w14:paraId="3CAC5A61" w14:textId="69C194CD" w:rsidR="00227D60" w:rsidRPr="00B71078" w:rsidRDefault="00227D60" w:rsidP="009E246E">
      <w:pPr>
        <w:suppressAutoHyphens/>
        <w:rPr>
          <w:iCs/>
          <w:color w:val="auto"/>
        </w:rPr>
      </w:pPr>
      <w:r w:rsidRPr="00B71078">
        <w:rPr>
          <w:iCs/>
          <w:color w:val="auto"/>
        </w:rPr>
        <w:t xml:space="preserve">Yoshida, Y., T. Tsunoda, K. Doi, </w:t>
      </w:r>
      <w:r w:rsidRPr="00B71078">
        <w:rPr>
          <w:i/>
          <w:color w:val="auto"/>
        </w:rPr>
        <w:t xml:space="preserve">et al.  </w:t>
      </w:r>
      <w:r w:rsidRPr="00B71078">
        <w:rPr>
          <w:iCs/>
          <w:color w:val="auto"/>
        </w:rPr>
        <w:t xml:space="preserve">(2011).  KRAS-mediated up-regulation of RRM2 expression is essential for the proliferation of colorectal cancer cell lines.  </w:t>
      </w:r>
      <w:r w:rsidRPr="00B71078">
        <w:rPr>
          <w:i/>
          <w:color w:val="auto"/>
        </w:rPr>
        <w:t xml:space="preserve">Anticancer Res.  </w:t>
      </w:r>
      <w:r w:rsidR="003559F7" w:rsidRPr="00B71078">
        <w:rPr>
          <w:iCs/>
          <w:color w:val="auto"/>
        </w:rPr>
        <w:t>31(7):2535-2539.</w:t>
      </w:r>
    </w:p>
    <w:p w14:paraId="2A6275C5" w14:textId="77777777" w:rsidR="004A112F" w:rsidRPr="00B71078" w:rsidRDefault="004A112F" w:rsidP="009E246E">
      <w:pPr>
        <w:suppressAutoHyphens/>
        <w:rPr>
          <w:iCs/>
          <w:color w:val="auto"/>
        </w:rPr>
      </w:pPr>
    </w:p>
    <w:p w14:paraId="4719A631" w14:textId="58878CB7" w:rsidR="00927673" w:rsidRPr="00B71078" w:rsidRDefault="00927673" w:rsidP="009E246E">
      <w:pPr>
        <w:suppressAutoHyphens/>
        <w:rPr>
          <w:iCs/>
          <w:color w:val="auto"/>
        </w:rPr>
      </w:pPr>
      <w:r w:rsidRPr="00B71078">
        <w:rPr>
          <w:iCs/>
          <w:color w:val="auto"/>
        </w:rPr>
        <w:t>Yuan, Y</w:t>
      </w:r>
      <w:r w:rsidR="0033638F" w:rsidRPr="00B71078">
        <w:rPr>
          <w:iCs/>
          <w:color w:val="auto"/>
        </w:rPr>
        <w:t xml:space="preserve">., K.R. Hess, S.G. Hilsenbeck, and M.R. Gilbert.  (2016).  Bayesian optimal interval </w:t>
      </w:r>
      <w:r w:rsidR="00BD7A29" w:rsidRPr="00B71078">
        <w:rPr>
          <w:iCs/>
          <w:color w:val="auto"/>
        </w:rPr>
        <w:t xml:space="preserve">design: a simple and well-performing design for phase I oncology trials.  </w:t>
      </w:r>
      <w:r w:rsidR="00BD7A29" w:rsidRPr="00B71078">
        <w:rPr>
          <w:i/>
          <w:color w:val="auto"/>
        </w:rPr>
        <w:t xml:space="preserve">Clin Can Res.  </w:t>
      </w:r>
      <w:r w:rsidR="00BD7A29" w:rsidRPr="00B71078">
        <w:rPr>
          <w:iCs/>
          <w:color w:val="auto"/>
        </w:rPr>
        <w:t>22(17):4291-4301.</w:t>
      </w:r>
    </w:p>
    <w:p w14:paraId="0EBA3983" w14:textId="77777777" w:rsidR="00927673" w:rsidRPr="00B71078" w:rsidRDefault="00927673" w:rsidP="009E246E">
      <w:pPr>
        <w:suppressAutoHyphens/>
        <w:rPr>
          <w:iCs/>
          <w:color w:val="auto"/>
        </w:rPr>
      </w:pPr>
    </w:p>
    <w:p w14:paraId="068EC45A" w14:textId="3E09882F" w:rsidR="004A112F" w:rsidRPr="00B71078" w:rsidRDefault="004A112F" w:rsidP="009E246E">
      <w:pPr>
        <w:suppressAutoHyphens/>
        <w:rPr>
          <w:iCs/>
          <w:color w:val="auto"/>
        </w:rPr>
      </w:pPr>
      <w:r w:rsidRPr="00B71078">
        <w:rPr>
          <w:iCs/>
          <w:color w:val="auto"/>
        </w:rPr>
        <w:t xml:space="preserve">Yuan, Y., R. Lin, D. Li, </w:t>
      </w:r>
      <w:r w:rsidRPr="00B71078">
        <w:rPr>
          <w:i/>
          <w:color w:val="auto"/>
        </w:rPr>
        <w:t xml:space="preserve">et al.  </w:t>
      </w:r>
      <w:r w:rsidRPr="00B71078">
        <w:rPr>
          <w:iCs/>
          <w:color w:val="auto"/>
        </w:rPr>
        <w:t xml:space="preserve">(2018).  Time-to-Event Bayesian Optimal Interval Design to accelerate phase I trials.  </w:t>
      </w:r>
      <w:r w:rsidRPr="00B71078">
        <w:rPr>
          <w:i/>
          <w:color w:val="auto"/>
        </w:rPr>
        <w:t>Clin Cancer Res</w:t>
      </w:r>
      <w:r w:rsidR="002A3153" w:rsidRPr="00B71078">
        <w:rPr>
          <w:i/>
          <w:color w:val="auto"/>
        </w:rPr>
        <w:t xml:space="preserve">.  </w:t>
      </w:r>
      <w:r w:rsidR="00A64D5A" w:rsidRPr="00B71078">
        <w:rPr>
          <w:iCs/>
          <w:color w:val="auto"/>
        </w:rPr>
        <w:t>24(20):4921-4930.</w:t>
      </w:r>
    </w:p>
    <w:p w14:paraId="2AE48A92" w14:textId="77777777" w:rsidR="00BD0A46" w:rsidRPr="00B71078" w:rsidRDefault="00BD0A46" w:rsidP="009E246E">
      <w:pPr>
        <w:suppressAutoHyphens/>
        <w:rPr>
          <w:iCs/>
          <w:color w:val="auto"/>
        </w:rPr>
      </w:pPr>
    </w:p>
    <w:p w14:paraId="76D52DCB" w14:textId="41A918D9" w:rsidR="00BD0A46" w:rsidRDefault="00BD0A46" w:rsidP="009E246E">
      <w:pPr>
        <w:suppressAutoHyphens/>
        <w:rPr>
          <w:iCs/>
          <w:color w:val="auto"/>
        </w:rPr>
      </w:pPr>
      <w:r w:rsidRPr="00B71078">
        <w:rPr>
          <w:iCs/>
          <w:color w:val="auto"/>
        </w:rPr>
        <w:t xml:space="preserve">Zhan, Y., L. Jiang, X. Jin, </w:t>
      </w:r>
      <w:r w:rsidRPr="00B71078">
        <w:rPr>
          <w:i/>
          <w:color w:val="auto"/>
        </w:rPr>
        <w:t xml:space="preserve">et al.  </w:t>
      </w:r>
      <w:r w:rsidRPr="00B71078">
        <w:rPr>
          <w:iCs/>
          <w:color w:val="auto"/>
        </w:rPr>
        <w:t xml:space="preserve">(2021).  Inhibiting RRM2 to enhance the anticancer activity of chemotherapy.  </w:t>
      </w:r>
      <w:r w:rsidRPr="00B71078">
        <w:rPr>
          <w:i/>
          <w:color w:val="auto"/>
        </w:rPr>
        <w:t xml:space="preserve">Biomed </w:t>
      </w:r>
      <w:proofErr w:type="spellStart"/>
      <w:r w:rsidRPr="00B71078">
        <w:rPr>
          <w:i/>
          <w:color w:val="auto"/>
        </w:rPr>
        <w:t>Pharmacother</w:t>
      </w:r>
      <w:proofErr w:type="spellEnd"/>
      <w:r w:rsidRPr="00B71078">
        <w:rPr>
          <w:i/>
          <w:color w:val="auto"/>
        </w:rPr>
        <w:t xml:space="preserve">.  </w:t>
      </w:r>
      <w:r w:rsidR="00F1663F" w:rsidRPr="00B71078">
        <w:rPr>
          <w:iCs/>
          <w:color w:val="auto"/>
        </w:rPr>
        <w:t>133:110996.</w:t>
      </w:r>
    </w:p>
    <w:p w14:paraId="0D355C07" w14:textId="77777777" w:rsidR="00216DB2" w:rsidRDefault="00216DB2" w:rsidP="009E246E">
      <w:pPr>
        <w:suppressAutoHyphens/>
        <w:rPr>
          <w:iCs/>
          <w:color w:val="auto"/>
        </w:rPr>
      </w:pPr>
    </w:p>
    <w:p w14:paraId="263B41C5" w14:textId="67E9B569" w:rsidR="00216DB2" w:rsidRPr="00B71078" w:rsidRDefault="00216DB2" w:rsidP="009E246E">
      <w:pPr>
        <w:suppressAutoHyphens/>
        <w:rPr>
          <w:iCs/>
          <w:color w:val="auto"/>
        </w:rPr>
      </w:pPr>
      <w:r>
        <w:t>Zhao, Y., Y. Yuan, E.L. Korn, and B. Freidli</w:t>
      </w:r>
      <w:r w:rsidR="00043C37">
        <w:t>n</w:t>
      </w:r>
      <w:r>
        <w:t>.</w:t>
      </w:r>
      <w:r w:rsidR="00043C37">
        <w:t xml:space="preserve"> </w:t>
      </w:r>
      <w:r>
        <w:t xml:space="preserve"> (202</w:t>
      </w:r>
      <w:r w:rsidR="00043C37">
        <w:t>4</w:t>
      </w:r>
      <w:r>
        <w:t>)</w:t>
      </w:r>
      <w:r w:rsidR="00E31B6A">
        <w:t xml:space="preserve">. </w:t>
      </w:r>
      <w:r>
        <w:t xml:space="preserve"> Backfilling </w:t>
      </w:r>
      <w:r w:rsidR="00E31B6A">
        <w:t>p</w:t>
      </w:r>
      <w:r>
        <w:t xml:space="preserve">atients in Phase I </w:t>
      </w:r>
      <w:r w:rsidR="00E31B6A">
        <w:t>d</w:t>
      </w:r>
      <w:r>
        <w:t xml:space="preserve">ose </w:t>
      </w:r>
      <w:r w:rsidR="00E31B6A">
        <w:t>e</w:t>
      </w:r>
      <w:r>
        <w:t xml:space="preserve">scalation </w:t>
      </w:r>
      <w:r w:rsidR="00E31B6A">
        <w:t>t</w:t>
      </w:r>
      <w:r>
        <w:t xml:space="preserve">rials </w:t>
      </w:r>
      <w:r w:rsidR="00E31B6A">
        <w:t>u</w:t>
      </w:r>
      <w:r>
        <w:t>sing Bayesian Optimal Interval Design (BOIN)</w:t>
      </w:r>
      <w:r w:rsidR="00E31B6A">
        <w:t xml:space="preserve">. </w:t>
      </w:r>
      <w:r>
        <w:t xml:space="preserve"> </w:t>
      </w:r>
      <w:r w:rsidRPr="00A25922">
        <w:rPr>
          <w:i/>
          <w:iCs/>
        </w:rPr>
        <w:t>Clin Cancer Res</w:t>
      </w:r>
      <w:r>
        <w:t xml:space="preserve">. </w:t>
      </w:r>
      <w:r w:rsidR="00E31B6A">
        <w:t xml:space="preserve"> </w:t>
      </w:r>
      <w:r w:rsidRPr="00086420">
        <w:t>30(4):673–679</w:t>
      </w:r>
      <w:r>
        <w:t>.</w:t>
      </w:r>
    </w:p>
    <w:p w14:paraId="51B72408" w14:textId="72C54445" w:rsidR="00135409" w:rsidRPr="00B71078" w:rsidRDefault="00135409" w:rsidP="009E246E">
      <w:pPr>
        <w:suppressAutoHyphens/>
        <w:rPr>
          <w:color w:val="auto"/>
        </w:rPr>
      </w:pPr>
    </w:p>
    <w:p w14:paraId="712A8079" w14:textId="49732D9B" w:rsidR="00CC78E2" w:rsidRPr="00B71078" w:rsidRDefault="00521870" w:rsidP="009E246E">
      <w:pPr>
        <w:suppressAutoHyphens/>
        <w:rPr>
          <w:color w:val="auto"/>
        </w:rPr>
      </w:pPr>
      <w:r w:rsidRPr="00B71078">
        <w:rPr>
          <w:color w:val="auto"/>
        </w:rPr>
        <w:t xml:space="preserve">Zhou, Y. R. Lin, Y.W. Kuo, </w:t>
      </w:r>
      <w:r w:rsidRPr="00B71078">
        <w:rPr>
          <w:i/>
          <w:iCs/>
          <w:color w:val="auto"/>
        </w:rPr>
        <w:t xml:space="preserve">et al.  </w:t>
      </w:r>
      <w:r w:rsidRPr="00B71078">
        <w:rPr>
          <w:color w:val="auto"/>
        </w:rPr>
        <w:t xml:space="preserve">(2021).  BOIN Suite: a software platform to design and implement novel early-phase clinical trials.  </w:t>
      </w:r>
      <w:r w:rsidRPr="00B71078">
        <w:rPr>
          <w:i/>
          <w:iCs/>
          <w:color w:val="auto"/>
        </w:rPr>
        <w:t xml:space="preserve">JCO Clin Cancer Inform.  </w:t>
      </w:r>
      <w:r w:rsidRPr="00B71078">
        <w:rPr>
          <w:color w:val="auto"/>
        </w:rPr>
        <w:t>5:91-101.</w:t>
      </w:r>
    </w:p>
    <w:p w14:paraId="1528CB29" w14:textId="27FDA026" w:rsidR="009E246E" w:rsidRDefault="009E246E" w:rsidP="00135409">
      <w:pPr>
        <w:widowControl/>
      </w:pPr>
      <w:r>
        <w:br w:type="page"/>
      </w:r>
    </w:p>
    <w:p w14:paraId="5906A2FC" w14:textId="77777777" w:rsidR="009E246E" w:rsidRPr="0049660A" w:rsidRDefault="009E246E" w:rsidP="00FE2096">
      <w:pPr>
        <w:pStyle w:val="Heading1"/>
        <w:numPr>
          <w:ilvl w:val="0"/>
          <w:numId w:val="0"/>
        </w:numPr>
        <w:ind w:left="180"/>
      </w:pPr>
      <w:bookmarkStart w:id="390" w:name="_APPENDIX_A_PERFORMANCE"/>
      <w:bookmarkStart w:id="391" w:name="_Toc318813052"/>
      <w:bookmarkStart w:id="392" w:name="_Toc176419946"/>
      <w:bookmarkEnd w:id="390"/>
      <w:r w:rsidRPr="0049660A">
        <w:lastRenderedPageBreak/>
        <w:t>APPENDIX A</w:t>
      </w:r>
      <w:bookmarkEnd w:id="391"/>
      <w:r>
        <w:tab/>
      </w:r>
      <w:r w:rsidRPr="002C087B">
        <w:t>P</w:t>
      </w:r>
      <w:r>
        <w:t>ERFORMANCE STATUS</w:t>
      </w:r>
      <w:r w:rsidRPr="002C087B">
        <w:t xml:space="preserve"> C</w:t>
      </w:r>
      <w:r>
        <w:t>RITERIA</w:t>
      </w:r>
      <w:bookmarkEnd w:id="392"/>
    </w:p>
    <w:p w14:paraId="6EA77523" w14:textId="77777777" w:rsidR="009E246E" w:rsidRPr="007300F3" w:rsidRDefault="009E246E" w:rsidP="009E246E"/>
    <w:tbl>
      <w:tblPr>
        <w:tblW w:w="93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150"/>
        <w:gridCol w:w="3530"/>
        <w:gridCol w:w="973"/>
        <w:gridCol w:w="3707"/>
      </w:tblGrid>
      <w:tr w:rsidR="009E246E" w:rsidRPr="00C023DD" w14:paraId="7C5F8273" w14:textId="77777777" w:rsidTr="0067469D">
        <w:trPr>
          <w:trHeight w:val="738"/>
        </w:trPr>
        <w:tc>
          <w:tcPr>
            <w:tcW w:w="4770" w:type="dxa"/>
            <w:gridSpan w:val="2"/>
            <w:vAlign w:val="center"/>
          </w:tcPr>
          <w:p w14:paraId="2945A685" w14:textId="77777777" w:rsidR="009E246E" w:rsidRPr="00C023DD" w:rsidRDefault="009E246E" w:rsidP="0067469D">
            <w:pPr>
              <w:jc w:val="center"/>
              <w:rPr>
                <w:b/>
              </w:rPr>
            </w:pPr>
            <w:r w:rsidRPr="00C023DD">
              <w:rPr>
                <w:b/>
              </w:rPr>
              <w:t>ECOG Performance Status Scale</w:t>
            </w:r>
          </w:p>
        </w:tc>
        <w:tc>
          <w:tcPr>
            <w:tcW w:w="4770" w:type="dxa"/>
            <w:gridSpan w:val="2"/>
            <w:vAlign w:val="center"/>
          </w:tcPr>
          <w:p w14:paraId="7011F7E2" w14:textId="77777777" w:rsidR="009E246E" w:rsidRPr="00C023DD" w:rsidRDefault="009E246E" w:rsidP="0067469D">
            <w:pPr>
              <w:jc w:val="center"/>
              <w:rPr>
                <w:b/>
              </w:rPr>
            </w:pPr>
            <w:proofErr w:type="spellStart"/>
            <w:r w:rsidRPr="00C023DD">
              <w:rPr>
                <w:b/>
              </w:rPr>
              <w:t>Karnofsky</w:t>
            </w:r>
            <w:proofErr w:type="spellEnd"/>
            <w:r w:rsidRPr="00C023DD">
              <w:rPr>
                <w:b/>
              </w:rPr>
              <w:t xml:space="preserve"> Performance Scale</w:t>
            </w:r>
          </w:p>
        </w:tc>
      </w:tr>
      <w:tr w:rsidR="009E246E" w:rsidRPr="00C023DD" w14:paraId="7474DC94" w14:textId="77777777" w:rsidTr="0067469D">
        <w:tc>
          <w:tcPr>
            <w:tcW w:w="1170" w:type="dxa"/>
          </w:tcPr>
          <w:p w14:paraId="771C5E99" w14:textId="77777777" w:rsidR="009E246E" w:rsidRPr="00C023DD" w:rsidRDefault="009E246E" w:rsidP="0067469D">
            <w:pPr>
              <w:jc w:val="center"/>
            </w:pPr>
            <w:r w:rsidRPr="00C023DD">
              <w:t>Grade</w:t>
            </w:r>
          </w:p>
        </w:tc>
        <w:tc>
          <w:tcPr>
            <w:tcW w:w="3600" w:type="dxa"/>
          </w:tcPr>
          <w:p w14:paraId="16661848" w14:textId="77777777" w:rsidR="009E246E" w:rsidRPr="00C023DD" w:rsidRDefault="009E246E" w:rsidP="0067469D">
            <w:pPr>
              <w:jc w:val="center"/>
            </w:pPr>
            <w:r w:rsidRPr="00C023DD">
              <w:t>Descriptions</w:t>
            </w:r>
          </w:p>
        </w:tc>
        <w:tc>
          <w:tcPr>
            <w:tcW w:w="990" w:type="dxa"/>
          </w:tcPr>
          <w:p w14:paraId="65BE5001" w14:textId="77777777" w:rsidR="009E246E" w:rsidRPr="00C023DD" w:rsidRDefault="009E246E" w:rsidP="0067469D">
            <w:pPr>
              <w:jc w:val="center"/>
            </w:pPr>
            <w:r w:rsidRPr="00C023DD">
              <w:t>Percent</w:t>
            </w:r>
          </w:p>
        </w:tc>
        <w:tc>
          <w:tcPr>
            <w:tcW w:w="3780" w:type="dxa"/>
          </w:tcPr>
          <w:p w14:paraId="51102C00" w14:textId="77777777" w:rsidR="009E246E" w:rsidRPr="00C023DD" w:rsidRDefault="009E246E" w:rsidP="0067469D">
            <w:pPr>
              <w:jc w:val="center"/>
            </w:pPr>
            <w:r w:rsidRPr="00C023DD">
              <w:t>Description</w:t>
            </w:r>
          </w:p>
        </w:tc>
      </w:tr>
      <w:tr w:rsidR="009E246E" w:rsidRPr="00C023DD" w14:paraId="5DA556A0" w14:textId="77777777" w:rsidTr="0067469D">
        <w:tc>
          <w:tcPr>
            <w:tcW w:w="1170" w:type="dxa"/>
            <w:vMerge w:val="restart"/>
            <w:vAlign w:val="center"/>
          </w:tcPr>
          <w:p w14:paraId="423F1F23" w14:textId="77777777" w:rsidR="009E246E" w:rsidRPr="00C023DD" w:rsidRDefault="009E246E" w:rsidP="0067469D">
            <w:pPr>
              <w:jc w:val="center"/>
            </w:pPr>
            <w:r w:rsidRPr="00C023DD">
              <w:t>0</w:t>
            </w:r>
          </w:p>
        </w:tc>
        <w:tc>
          <w:tcPr>
            <w:tcW w:w="3600" w:type="dxa"/>
            <w:vMerge w:val="restart"/>
            <w:vAlign w:val="center"/>
          </w:tcPr>
          <w:p w14:paraId="0A9A67D8" w14:textId="77777777" w:rsidR="009E246E" w:rsidRPr="00C023DD" w:rsidRDefault="009E246E" w:rsidP="0067469D">
            <w:r w:rsidRPr="00C023DD">
              <w:t>Normal activity.  Fully active, able to carry on all pre-disease performance without restriction.</w:t>
            </w:r>
          </w:p>
        </w:tc>
        <w:tc>
          <w:tcPr>
            <w:tcW w:w="990" w:type="dxa"/>
            <w:vAlign w:val="center"/>
          </w:tcPr>
          <w:p w14:paraId="608E930C" w14:textId="77777777" w:rsidR="009E246E" w:rsidRPr="00C023DD" w:rsidRDefault="009E246E" w:rsidP="0067469D">
            <w:pPr>
              <w:jc w:val="center"/>
            </w:pPr>
            <w:r w:rsidRPr="00C023DD">
              <w:t>100</w:t>
            </w:r>
          </w:p>
        </w:tc>
        <w:tc>
          <w:tcPr>
            <w:tcW w:w="3780" w:type="dxa"/>
          </w:tcPr>
          <w:p w14:paraId="58AC1B6F" w14:textId="77777777" w:rsidR="009E246E" w:rsidRPr="00C023DD" w:rsidRDefault="009E246E" w:rsidP="0067469D">
            <w:r w:rsidRPr="00C023DD">
              <w:t>Normal, no complaints, no evidence of disease.</w:t>
            </w:r>
          </w:p>
        </w:tc>
      </w:tr>
      <w:tr w:rsidR="009E246E" w:rsidRPr="00C023DD" w14:paraId="783F5F92" w14:textId="77777777" w:rsidTr="0067469D">
        <w:tc>
          <w:tcPr>
            <w:tcW w:w="1170" w:type="dxa"/>
            <w:vMerge/>
            <w:vAlign w:val="center"/>
          </w:tcPr>
          <w:p w14:paraId="2AF92825" w14:textId="77777777" w:rsidR="009E246E" w:rsidRPr="00C023DD" w:rsidRDefault="009E246E" w:rsidP="0067469D">
            <w:pPr>
              <w:jc w:val="center"/>
            </w:pPr>
          </w:p>
        </w:tc>
        <w:tc>
          <w:tcPr>
            <w:tcW w:w="3600" w:type="dxa"/>
            <w:vMerge/>
            <w:vAlign w:val="center"/>
          </w:tcPr>
          <w:p w14:paraId="3385DC1F" w14:textId="77777777" w:rsidR="009E246E" w:rsidRPr="00C023DD" w:rsidRDefault="009E246E" w:rsidP="0067469D"/>
        </w:tc>
        <w:tc>
          <w:tcPr>
            <w:tcW w:w="990" w:type="dxa"/>
            <w:vAlign w:val="center"/>
          </w:tcPr>
          <w:p w14:paraId="315A7272" w14:textId="77777777" w:rsidR="009E246E" w:rsidRPr="00C023DD" w:rsidRDefault="009E246E" w:rsidP="0067469D">
            <w:pPr>
              <w:jc w:val="center"/>
            </w:pPr>
            <w:r w:rsidRPr="00C023DD">
              <w:t>90</w:t>
            </w:r>
          </w:p>
        </w:tc>
        <w:tc>
          <w:tcPr>
            <w:tcW w:w="3780" w:type="dxa"/>
          </w:tcPr>
          <w:p w14:paraId="75E54971" w14:textId="77777777" w:rsidR="009E246E" w:rsidRPr="00C023DD" w:rsidRDefault="009E246E" w:rsidP="0067469D">
            <w:r w:rsidRPr="00C023DD">
              <w:t>Able to carry on normal activity; minor signs or symptoms of disease.</w:t>
            </w:r>
          </w:p>
        </w:tc>
      </w:tr>
      <w:tr w:rsidR="009E246E" w:rsidRPr="00C023DD" w14:paraId="4A5556A6" w14:textId="77777777" w:rsidTr="0067469D">
        <w:trPr>
          <w:trHeight w:val="860"/>
        </w:trPr>
        <w:tc>
          <w:tcPr>
            <w:tcW w:w="1170" w:type="dxa"/>
            <w:vMerge w:val="restart"/>
            <w:vAlign w:val="center"/>
          </w:tcPr>
          <w:p w14:paraId="3242570E" w14:textId="77777777" w:rsidR="009E246E" w:rsidRPr="00C023DD" w:rsidRDefault="009E246E" w:rsidP="0067469D">
            <w:pPr>
              <w:jc w:val="center"/>
            </w:pPr>
            <w:r w:rsidRPr="00C023DD">
              <w:t>1</w:t>
            </w:r>
          </w:p>
        </w:tc>
        <w:tc>
          <w:tcPr>
            <w:tcW w:w="3600" w:type="dxa"/>
            <w:vMerge w:val="restart"/>
            <w:vAlign w:val="center"/>
          </w:tcPr>
          <w:p w14:paraId="36128708" w14:textId="77777777" w:rsidR="009E246E" w:rsidRPr="00C023DD" w:rsidRDefault="009E246E" w:rsidP="0067469D">
            <w:r w:rsidRPr="00C023DD">
              <w:t>Symptoms, but ambulatory.  Restricted in physically strenuous activity, but ambulatory and able to carry out work of a light or sedentary nature (</w:t>
            </w:r>
            <w:r w:rsidRPr="00C023DD">
              <w:rPr>
                <w:i/>
              </w:rPr>
              <w:t>e.g.</w:t>
            </w:r>
            <w:r w:rsidRPr="00C023DD">
              <w:t>, light housework, office work).</w:t>
            </w:r>
          </w:p>
        </w:tc>
        <w:tc>
          <w:tcPr>
            <w:tcW w:w="990" w:type="dxa"/>
            <w:vAlign w:val="center"/>
          </w:tcPr>
          <w:p w14:paraId="7FD31AAA" w14:textId="77777777" w:rsidR="009E246E" w:rsidRPr="00C023DD" w:rsidRDefault="009E246E" w:rsidP="0067469D">
            <w:pPr>
              <w:jc w:val="center"/>
            </w:pPr>
            <w:r w:rsidRPr="00C023DD">
              <w:t>80</w:t>
            </w:r>
          </w:p>
        </w:tc>
        <w:tc>
          <w:tcPr>
            <w:tcW w:w="3780" w:type="dxa"/>
            <w:vAlign w:val="center"/>
          </w:tcPr>
          <w:p w14:paraId="60B2E703" w14:textId="77777777" w:rsidR="009E246E" w:rsidRPr="00C023DD" w:rsidRDefault="009E246E" w:rsidP="0067469D">
            <w:r w:rsidRPr="00C023DD">
              <w:t>Normal activity with effort; some signs or symptoms of disease.</w:t>
            </w:r>
          </w:p>
        </w:tc>
      </w:tr>
      <w:tr w:rsidR="009E246E" w:rsidRPr="00C023DD" w14:paraId="28DEABFC" w14:textId="77777777" w:rsidTr="0067469D">
        <w:trPr>
          <w:trHeight w:val="860"/>
        </w:trPr>
        <w:tc>
          <w:tcPr>
            <w:tcW w:w="1170" w:type="dxa"/>
            <w:vMerge/>
            <w:vAlign w:val="center"/>
          </w:tcPr>
          <w:p w14:paraId="46EA021C" w14:textId="77777777" w:rsidR="009E246E" w:rsidRPr="00C023DD" w:rsidRDefault="009E246E" w:rsidP="0067469D">
            <w:pPr>
              <w:jc w:val="center"/>
            </w:pPr>
          </w:p>
        </w:tc>
        <w:tc>
          <w:tcPr>
            <w:tcW w:w="3600" w:type="dxa"/>
            <w:vMerge/>
            <w:vAlign w:val="center"/>
          </w:tcPr>
          <w:p w14:paraId="1A5FC3EA" w14:textId="77777777" w:rsidR="009E246E" w:rsidRPr="00C023DD" w:rsidRDefault="009E246E" w:rsidP="0067469D"/>
        </w:tc>
        <w:tc>
          <w:tcPr>
            <w:tcW w:w="990" w:type="dxa"/>
            <w:vAlign w:val="center"/>
          </w:tcPr>
          <w:p w14:paraId="66EBB661" w14:textId="77777777" w:rsidR="009E246E" w:rsidRPr="00C023DD" w:rsidRDefault="009E246E" w:rsidP="0067469D">
            <w:pPr>
              <w:jc w:val="center"/>
            </w:pPr>
            <w:r w:rsidRPr="00C023DD">
              <w:t>70</w:t>
            </w:r>
          </w:p>
        </w:tc>
        <w:tc>
          <w:tcPr>
            <w:tcW w:w="3780" w:type="dxa"/>
            <w:vAlign w:val="center"/>
          </w:tcPr>
          <w:p w14:paraId="7BC0A74A" w14:textId="77777777" w:rsidR="009E246E" w:rsidRPr="00C023DD" w:rsidRDefault="009E246E" w:rsidP="0067469D">
            <w:r w:rsidRPr="00C023DD">
              <w:t>Cares for self, unable to carry on normal activity or to do active work.</w:t>
            </w:r>
          </w:p>
        </w:tc>
      </w:tr>
      <w:tr w:rsidR="009E246E" w:rsidRPr="00C023DD" w14:paraId="5EF3EE15" w14:textId="77777777" w:rsidTr="0067469D">
        <w:tc>
          <w:tcPr>
            <w:tcW w:w="1170" w:type="dxa"/>
            <w:vMerge w:val="restart"/>
            <w:vAlign w:val="center"/>
          </w:tcPr>
          <w:p w14:paraId="01789DD2" w14:textId="77777777" w:rsidR="009E246E" w:rsidRPr="00C023DD" w:rsidRDefault="009E246E" w:rsidP="0067469D">
            <w:pPr>
              <w:jc w:val="center"/>
            </w:pPr>
            <w:r w:rsidRPr="00C023DD">
              <w:t>2</w:t>
            </w:r>
          </w:p>
        </w:tc>
        <w:tc>
          <w:tcPr>
            <w:tcW w:w="3600" w:type="dxa"/>
            <w:vMerge w:val="restart"/>
            <w:vAlign w:val="center"/>
          </w:tcPr>
          <w:p w14:paraId="0B4B2868" w14:textId="77777777" w:rsidR="009E246E" w:rsidRPr="00C023DD" w:rsidRDefault="009E246E" w:rsidP="0067469D">
            <w:r w:rsidRPr="00C023DD">
              <w:t>In bed &lt;50% of the time.  Ambulatory and capable of all self-care, but unable to carry out any work activities.  Up and about more than 50% of waking hours.</w:t>
            </w:r>
          </w:p>
        </w:tc>
        <w:tc>
          <w:tcPr>
            <w:tcW w:w="990" w:type="dxa"/>
            <w:vAlign w:val="center"/>
          </w:tcPr>
          <w:p w14:paraId="5D59CA37" w14:textId="77777777" w:rsidR="009E246E" w:rsidRPr="00C023DD" w:rsidRDefault="009E246E" w:rsidP="0067469D">
            <w:pPr>
              <w:jc w:val="center"/>
            </w:pPr>
            <w:r w:rsidRPr="00C023DD">
              <w:t>60</w:t>
            </w:r>
          </w:p>
        </w:tc>
        <w:tc>
          <w:tcPr>
            <w:tcW w:w="3780" w:type="dxa"/>
          </w:tcPr>
          <w:p w14:paraId="58AF7A4E" w14:textId="77777777" w:rsidR="009E246E" w:rsidRPr="00C023DD" w:rsidRDefault="009E246E" w:rsidP="0067469D">
            <w:r w:rsidRPr="00C023DD">
              <w:t xml:space="preserve">Requires occasional </w:t>
            </w:r>
            <w:proofErr w:type="gramStart"/>
            <w:r w:rsidRPr="00C023DD">
              <w:t>assistance, but</w:t>
            </w:r>
            <w:proofErr w:type="gramEnd"/>
            <w:r w:rsidRPr="00C023DD">
              <w:t xml:space="preserve"> is able to care for most of his/her needs.</w:t>
            </w:r>
          </w:p>
        </w:tc>
      </w:tr>
      <w:tr w:rsidR="009E246E" w:rsidRPr="00C023DD" w14:paraId="05DE4D4F" w14:textId="77777777" w:rsidTr="0067469D">
        <w:tc>
          <w:tcPr>
            <w:tcW w:w="1170" w:type="dxa"/>
            <w:vMerge/>
            <w:vAlign w:val="center"/>
          </w:tcPr>
          <w:p w14:paraId="4F017D1C" w14:textId="77777777" w:rsidR="009E246E" w:rsidRPr="00C023DD" w:rsidRDefault="009E246E" w:rsidP="0067469D">
            <w:pPr>
              <w:jc w:val="center"/>
            </w:pPr>
          </w:p>
        </w:tc>
        <w:tc>
          <w:tcPr>
            <w:tcW w:w="3600" w:type="dxa"/>
            <w:vMerge/>
            <w:vAlign w:val="center"/>
          </w:tcPr>
          <w:p w14:paraId="07298114" w14:textId="77777777" w:rsidR="009E246E" w:rsidRPr="00C023DD" w:rsidRDefault="009E246E" w:rsidP="0067469D"/>
        </w:tc>
        <w:tc>
          <w:tcPr>
            <w:tcW w:w="990" w:type="dxa"/>
            <w:vAlign w:val="center"/>
          </w:tcPr>
          <w:p w14:paraId="5E4990F0" w14:textId="77777777" w:rsidR="009E246E" w:rsidRPr="00C023DD" w:rsidRDefault="009E246E" w:rsidP="0067469D">
            <w:pPr>
              <w:jc w:val="center"/>
            </w:pPr>
            <w:r w:rsidRPr="00C023DD">
              <w:t>50</w:t>
            </w:r>
          </w:p>
        </w:tc>
        <w:tc>
          <w:tcPr>
            <w:tcW w:w="3780" w:type="dxa"/>
          </w:tcPr>
          <w:p w14:paraId="474A3BA0" w14:textId="77777777" w:rsidR="009E246E" w:rsidRPr="00C023DD" w:rsidRDefault="009E246E" w:rsidP="0067469D">
            <w:r w:rsidRPr="00C023DD">
              <w:t>Requires considerable assistance and frequent medical care.</w:t>
            </w:r>
          </w:p>
        </w:tc>
      </w:tr>
      <w:tr w:rsidR="009E246E" w:rsidRPr="00C023DD" w14:paraId="474F68C3" w14:textId="77777777" w:rsidTr="0067469D">
        <w:tc>
          <w:tcPr>
            <w:tcW w:w="1170" w:type="dxa"/>
            <w:vMerge w:val="restart"/>
            <w:vAlign w:val="center"/>
          </w:tcPr>
          <w:p w14:paraId="3C487D8E" w14:textId="77777777" w:rsidR="009E246E" w:rsidRPr="00C023DD" w:rsidRDefault="009E246E" w:rsidP="0067469D">
            <w:pPr>
              <w:jc w:val="center"/>
            </w:pPr>
            <w:r w:rsidRPr="00C023DD">
              <w:t>3</w:t>
            </w:r>
          </w:p>
        </w:tc>
        <w:tc>
          <w:tcPr>
            <w:tcW w:w="3600" w:type="dxa"/>
            <w:vMerge w:val="restart"/>
            <w:vAlign w:val="center"/>
          </w:tcPr>
          <w:p w14:paraId="440590B8" w14:textId="77777777" w:rsidR="009E246E" w:rsidRPr="00C023DD" w:rsidRDefault="009E246E" w:rsidP="0067469D">
            <w:r w:rsidRPr="00C023DD">
              <w:t>In bed &gt;50% of the time.  Capable of only limited self-care, confined to bed or chair more than 50% of waking hours.</w:t>
            </w:r>
          </w:p>
        </w:tc>
        <w:tc>
          <w:tcPr>
            <w:tcW w:w="990" w:type="dxa"/>
            <w:vAlign w:val="center"/>
          </w:tcPr>
          <w:p w14:paraId="248DBE68" w14:textId="77777777" w:rsidR="009E246E" w:rsidRPr="00C023DD" w:rsidRDefault="009E246E" w:rsidP="0067469D">
            <w:pPr>
              <w:jc w:val="center"/>
            </w:pPr>
            <w:r w:rsidRPr="00C023DD">
              <w:t>40</w:t>
            </w:r>
          </w:p>
        </w:tc>
        <w:tc>
          <w:tcPr>
            <w:tcW w:w="3780" w:type="dxa"/>
          </w:tcPr>
          <w:p w14:paraId="6CCE7445" w14:textId="77777777" w:rsidR="009E246E" w:rsidRPr="00C023DD" w:rsidRDefault="009E246E" w:rsidP="0067469D">
            <w:r w:rsidRPr="00C023DD">
              <w:t>Disabled, requires special care and assistance.</w:t>
            </w:r>
          </w:p>
        </w:tc>
      </w:tr>
      <w:tr w:rsidR="009E246E" w:rsidRPr="00C023DD" w14:paraId="33B611F0" w14:textId="77777777" w:rsidTr="0067469D">
        <w:tc>
          <w:tcPr>
            <w:tcW w:w="1170" w:type="dxa"/>
            <w:vMerge/>
            <w:vAlign w:val="center"/>
          </w:tcPr>
          <w:p w14:paraId="4C72D7AE" w14:textId="77777777" w:rsidR="009E246E" w:rsidRPr="00C023DD" w:rsidRDefault="009E246E" w:rsidP="0067469D">
            <w:pPr>
              <w:jc w:val="center"/>
            </w:pPr>
          </w:p>
        </w:tc>
        <w:tc>
          <w:tcPr>
            <w:tcW w:w="3600" w:type="dxa"/>
            <w:vMerge/>
            <w:vAlign w:val="center"/>
          </w:tcPr>
          <w:p w14:paraId="6CC91C0E" w14:textId="77777777" w:rsidR="009E246E" w:rsidRPr="00C023DD" w:rsidRDefault="009E246E" w:rsidP="0067469D"/>
        </w:tc>
        <w:tc>
          <w:tcPr>
            <w:tcW w:w="990" w:type="dxa"/>
            <w:vAlign w:val="center"/>
          </w:tcPr>
          <w:p w14:paraId="7A4629DC" w14:textId="77777777" w:rsidR="009E246E" w:rsidRPr="00C023DD" w:rsidRDefault="009E246E" w:rsidP="0067469D">
            <w:pPr>
              <w:jc w:val="center"/>
            </w:pPr>
            <w:r w:rsidRPr="00C023DD">
              <w:t>30</w:t>
            </w:r>
          </w:p>
        </w:tc>
        <w:tc>
          <w:tcPr>
            <w:tcW w:w="3780" w:type="dxa"/>
          </w:tcPr>
          <w:p w14:paraId="70C0E8F6" w14:textId="77777777" w:rsidR="009E246E" w:rsidRPr="00C023DD" w:rsidRDefault="009E246E" w:rsidP="0067469D">
            <w:r w:rsidRPr="00C023DD">
              <w:t>Severely disabled, hospitalization indicated.  Death not imminent.</w:t>
            </w:r>
          </w:p>
        </w:tc>
      </w:tr>
      <w:tr w:rsidR="009E246E" w:rsidRPr="00C023DD" w14:paraId="09CB32ED" w14:textId="77777777" w:rsidTr="0067469D">
        <w:tc>
          <w:tcPr>
            <w:tcW w:w="1170" w:type="dxa"/>
            <w:vMerge w:val="restart"/>
            <w:vAlign w:val="center"/>
          </w:tcPr>
          <w:p w14:paraId="6ADB05AB" w14:textId="77777777" w:rsidR="009E246E" w:rsidRPr="00C023DD" w:rsidRDefault="009E246E" w:rsidP="0067469D">
            <w:pPr>
              <w:jc w:val="center"/>
            </w:pPr>
            <w:r w:rsidRPr="00C023DD">
              <w:t>4</w:t>
            </w:r>
          </w:p>
        </w:tc>
        <w:tc>
          <w:tcPr>
            <w:tcW w:w="3600" w:type="dxa"/>
            <w:vMerge w:val="restart"/>
            <w:vAlign w:val="center"/>
          </w:tcPr>
          <w:p w14:paraId="6F755705" w14:textId="77777777" w:rsidR="009E246E" w:rsidRPr="00C023DD" w:rsidRDefault="009E246E" w:rsidP="0067469D">
            <w:r w:rsidRPr="00C023DD">
              <w:t>100% bedridden.  Completely disabled.  Cannot carry on any self-care.  Totally confined to bed or chair.</w:t>
            </w:r>
          </w:p>
        </w:tc>
        <w:tc>
          <w:tcPr>
            <w:tcW w:w="990" w:type="dxa"/>
            <w:vAlign w:val="center"/>
          </w:tcPr>
          <w:p w14:paraId="03985C39" w14:textId="77777777" w:rsidR="009E246E" w:rsidRPr="00C023DD" w:rsidRDefault="009E246E" w:rsidP="0067469D">
            <w:pPr>
              <w:jc w:val="center"/>
            </w:pPr>
            <w:r w:rsidRPr="00C023DD">
              <w:t>20</w:t>
            </w:r>
          </w:p>
        </w:tc>
        <w:tc>
          <w:tcPr>
            <w:tcW w:w="3780" w:type="dxa"/>
          </w:tcPr>
          <w:p w14:paraId="07169E7F" w14:textId="77777777" w:rsidR="009E246E" w:rsidRPr="00C023DD" w:rsidRDefault="009E246E" w:rsidP="0067469D">
            <w:r w:rsidRPr="00C023DD">
              <w:t>Very sick, hospitalization indicated. Death not imminent.</w:t>
            </w:r>
          </w:p>
        </w:tc>
      </w:tr>
      <w:tr w:rsidR="009E246E" w:rsidRPr="00C023DD" w14:paraId="2515BEBE" w14:textId="77777777" w:rsidTr="0067469D">
        <w:tc>
          <w:tcPr>
            <w:tcW w:w="1170" w:type="dxa"/>
            <w:vMerge/>
            <w:vAlign w:val="center"/>
          </w:tcPr>
          <w:p w14:paraId="536D57D5" w14:textId="77777777" w:rsidR="009E246E" w:rsidRPr="00C023DD" w:rsidRDefault="009E246E" w:rsidP="0067469D">
            <w:pPr>
              <w:jc w:val="center"/>
            </w:pPr>
          </w:p>
        </w:tc>
        <w:tc>
          <w:tcPr>
            <w:tcW w:w="3600" w:type="dxa"/>
            <w:vMerge/>
            <w:vAlign w:val="center"/>
          </w:tcPr>
          <w:p w14:paraId="24CF66E3" w14:textId="77777777" w:rsidR="009E246E" w:rsidRPr="00C023DD" w:rsidRDefault="009E246E" w:rsidP="0067469D"/>
        </w:tc>
        <w:tc>
          <w:tcPr>
            <w:tcW w:w="990" w:type="dxa"/>
            <w:vAlign w:val="center"/>
          </w:tcPr>
          <w:p w14:paraId="43AAEA81" w14:textId="77777777" w:rsidR="009E246E" w:rsidRPr="00C023DD" w:rsidRDefault="009E246E" w:rsidP="0067469D">
            <w:pPr>
              <w:jc w:val="center"/>
            </w:pPr>
            <w:r w:rsidRPr="00C023DD">
              <w:t>10</w:t>
            </w:r>
          </w:p>
        </w:tc>
        <w:tc>
          <w:tcPr>
            <w:tcW w:w="3780" w:type="dxa"/>
          </w:tcPr>
          <w:p w14:paraId="0EF3411D" w14:textId="77777777" w:rsidR="009E246E" w:rsidRPr="00C023DD" w:rsidRDefault="009E246E" w:rsidP="0067469D">
            <w:r w:rsidRPr="00C023DD">
              <w:t>Moribund, fatal processes progressing rapidly.</w:t>
            </w:r>
          </w:p>
        </w:tc>
      </w:tr>
      <w:tr w:rsidR="009E246E" w:rsidRPr="00C023DD" w14:paraId="41696BA6" w14:textId="77777777" w:rsidTr="0067469D">
        <w:tc>
          <w:tcPr>
            <w:tcW w:w="1170" w:type="dxa"/>
            <w:vAlign w:val="center"/>
          </w:tcPr>
          <w:p w14:paraId="4E434442" w14:textId="77777777" w:rsidR="009E246E" w:rsidRPr="00C023DD" w:rsidRDefault="009E246E" w:rsidP="0067469D">
            <w:pPr>
              <w:jc w:val="center"/>
            </w:pPr>
            <w:r w:rsidRPr="00C023DD">
              <w:t>5</w:t>
            </w:r>
          </w:p>
        </w:tc>
        <w:tc>
          <w:tcPr>
            <w:tcW w:w="3600" w:type="dxa"/>
            <w:vAlign w:val="center"/>
          </w:tcPr>
          <w:p w14:paraId="059E6B87" w14:textId="77777777" w:rsidR="009E246E" w:rsidRPr="00C023DD" w:rsidRDefault="009E246E" w:rsidP="0067469D">
            <w:r w:rsidRPr="00C023DD">
              <w:t>Dead.</w:t>
            </w:r>
          </w:p>
        </w:tc>
        <w:tc>
          <w:tcPr>
            <w:tcW w:w="990" w:type="dxa"/>
            <w:vAlign w:val="center"/>
          </w:tcPr>
          <w:p w14:paraId="298FBB76" w14:textId="77777777" w:rsidR="009E246E" w:rsidRPr="00C023DD" w:rsidRDefault="009E246E" w:rsidP="0067469D">
            <w:pPr>
              <w:jc w:val="center"/>
            </w:pPr>
            <w:r w:rsidRPr="00C023DD">
              <w:t>0</w:t>
            </w:r>
          </w:p>
        </w:tc>
        <w:tc>
          <w:tcPr>
            <w:tcW w:w="3780" w:type="dxa"/>
          </w:tcPr>
          <w:p w14:paraId="0A177829" w14:textId="77777777" w:rsidR="009E246E" w:rsidRPr="00C023DD" w:rsidRDefault="009E246E" w:rsidP="0067469D">
            <w:r w:rsidRPr="00C023DD">
              <w:t>Dead.</w:t>
            </w:r>
          </w:p>
        </w:tc>
      </w:tr>
    </w:tbl>
    <w:p w14:paraId="0453A656" w14:textId="77777777" w:rsidR="009E246E" w:rsidRPr="007300F3" w:rsidRDefault="009E246E" w:rsidP="009E246E"/>
    <w:p w14:paraId="1820DB5B" w14:textId="77777777" w:rsidR="00375D82" w:rsidRDefault="00375D82">
      <w:pPr>
        <w:widowControl/>
      </w:pPr>
      <w:r>
        <w:br w:type="page"/>
      </w:r>
    </w:p>
    <w:p w14:paraId="3F8BE8AF" w14:textId="77777777" w:rsidR="00375D82" w:rsidRDefault="00375D82" w:rsidP="00026EBB">
      <w:pPr>
        <w:sectPr w:rsidR="00375D82" w:rsidSect="00F155A2">
          <w:endnotePr>
            <w:numFmt w:val="decimal"/>
          </w:endnotePr>
          <w:pgSz w:w="12240" w:h="15840" w:code="1"/>
          <w:pgMar w:top="1127" w:right="1440" w:bottom="1440" w:left="1440" w:header="720" w:footer="720" w:gutter="0"/>
          <w:cols w:space="720"/>
          <w:noEndnote/>
          <w:docGrid w:linePitch="360"/>
        </w:sectPr>
      </w:pPr>
    </w:p>
    <w:p w14:paraId="756A4502" w14:textId="77777777" w:rsidR="00EC54E5" w:rsidRDefault="00EC54E5" w:rsidP="00FE2096">
      <w:pPr>
        <w:pStyle w:val="Heading1"/>
        <w:numPr>
          <w:ilvl w:val="0"/>
          <w:numId w:val="0"/>
        </w:numPr>
        <w:ind w:left="180"/>
      </w:pPr>
      <w:bookmarkStart w:id="393" w:name="_APPENDIX_B_FORMULA"/>
      <w:bookmarkStart w:id="394" w:name="_Toc176419947"/>
      <w:bookmarkEnd w:id="393"/>
      <w:r>
        <w:lastRenderedPageBreak/>
        <w:t>A</w:t>
      </w:r>
      <w:r w:rsidR="00B0122D">
        <w:t>PPENDIX</w:t>
      </w:r>
      <w:r>
        <w:t xml:space="preserve"> B</w:t>
      </w:r>
      <w:r w:rsidR="001D0AAF">
        <w:tab/>
      </w:r>
      <w:r>
        <w:t>F</w:t>
      </w:r>
      <w:r w:rsidR="00B0122D">
        <w:t>ORMULA</w:t>
      </w:r>
      <w:r>
        <w:t xml:space="preserve"> </w:t>
      </w:r>
      <w:r w:rsidR="00B0122D">
        <w:t>TO</w:t>
      </w:r>
      <w:r>
        <w:t xml:space="preserve"> </w:t>
      </w:r>
      <w:r w:rsidR="00B0122D">
        <w:t>ESTIMATE</w:t>
      </w:r>
      <w:r>
        <w:t xml:space="preserve"> </w:t>
      </w:r>
      <w:r w:rsidR="00B0122D">
        <w:t>RENAL</w:t>
      </w:r>
      <w:r>
        <w:t xml:space="preserve"> </w:t>
      </w:r>
      <w:r w:rsidR="00B0122D">
        <w:t>FUNCTION</w:t>
      </w:r>
      <w:r>
        <w:t xml:space="preserve"> </w:t>
      </w:r>
      <w:r w:rsidR="00B1674C">
        <w:t>USING</w:t>
      </w:r>
      <w:r>
        <w:t xml:space="preserve"> </w:t>
      </w:r>
      <w:r w:rsidR="00B1674C">
        <w:t>SERUM</w:t>
      </w:r>
      <w:r>
        <w:t xml:space="preserve"> </w:t>
      </w:r>
      <w:r w:rsidR="00B1674C">
        <w:t>CREATININE</w:t>
      </w:r>
      <w:bookmarkEnd w:id="394"/>
    </w:p>
    <w:p w14:paraId="08E649DA" w14:textId="77777777" w:rsidR="00100EA1" w:rsidRDefault="00100EA1" w:rsidP="00100EA1"/>
    <w:p w14:paraId="05ABE7DF" w14:textId="77777777" w:rsidR="00100EA1" w:rsidRPr="00100EA1" w:rsidRDefault="00100EA1" w:rsidP="00026EBB">
      <w:r>
        <w:t>Formulas to estimate renal function using serum creatinine provided by the NCI’s Investigational Drug Steering Committee (IDSC</w:t>
      </w:r>
      <w:r w:rsidR="00DF107C">
        <w:t>)</w:t>
      </w:r>
      <w:r>
        <w:t xml:space="preserve"> Pharmacological Task Force in table below.</w:t>
      </w:r>
    </w:p>
    <w:p w14:paraId="2EEB07EA" w14:textId="77777777" w:rsidR="00062DD5" w:rsidRPr="002D53F0" w:rsidRDefault="00062DD5" w:rsidP="00680639"/>
    <w:tbl>
      <w:tblPr>
        <w:tblStyle w:val="TableGrid"/>
        <w:tblW w:w="9360" w:type="dxa"/>
        <w:tblInd w:w="144" w:type="dxa"/>
        <w:tblLook w:val="04A0" w:firstRow="1" w:lastRow="0" w:firstColumn="1" w:lastColumn="0" w:noHBand="0" w:noVBand="1"/>
      </w:tblPr>
      <w:tblGrid>
        <w:gridCol w:w="9360"/>
      </w:tblGrid>
      <w:tr w:rsidR="00EC54E5" w:rsidRPr="00062DD5" w14:paraId="485D8180" w14:textId="77777777" w:rsidTr="2E2E21C3">
        <w:trPr>
          <w:cantSplit/>
          <w:trHeight w:val="4549"/>
        </w:trPr>
        <w:tc>
          <w:tcPr>
            <w:tcW w:w="11709" w:type="dxa"/>
          </w:tcPr>
          <w:p w14:paraId="099B74CD" w14:textId="77777777" w:rsidR="00EC54E5" w:rsidRPr="00680639" w:rsidRDefault="00EC54E5" w:rsidP="00562B10">
            <w:pPr>
              <w:pStyle w:val="ListParagraph"/>
              <w:widowControl/>
              <w:numPr>
                <w:ilvl w:val="0"/>
                <w:numId w:val="35"/>
              </w:numPr>
              <w:rPr>
                <w:sz w:val="22"/>
                <w:szCs w:val="22"/>
                <w:u w:val="single"/>
              </w:rPr>
            </w:pPr>
            <w:r w:rsidRPr="00680639">
              <w:rPr>
                <w:sz w:val="22"/>
                <w:szCs w:val="22"/>
                <w:u w:val="single"/>
              </w:rPr>
              <w:t>Estimated glomerular filtration rate (eGFR) using the Chronic Kidney Disease Epidemiology Collaboration (CKD-EPI) (</w:t>
            </w:r>
            <w:r w:rsidR="003D1F68">
              <w:rPr>
                <w:sz w:val="22"/>
                <w:szCs w:val="22"/>
                <w:u w:val="single"/>
              </w:rPr>
              <w:t xml:space="preserve">Levey </w:t>
            </w:r>
            <w:r w:rsidR="003D1F68" w:rsidRPr="003D1F68">
              <w:rPr>
                <w:i/>
                <w:sz w:val="22"/>
                <w:szCs w:val="22"/>
                <w:u w:val="single"/>
              </w:rPr>
              <w:t>et al</w:t>
            </w:r>
            <w:r w:rsidR="003D1F68">
              <w:rPr>
                <w:i/>
                <w:sz w:val="22"/>
                <w:szCs w:val="22"/>
                <w:u w:val="single"/>
              </w:rPr>
              <w:t>.</w:t>
            </w:r>
            <w:r w:rsidR="003D1F68">
              <w:rPr>
                <w:sz w:val="22"/>
                <w:szCs w:val="22"/>
                <w:u w:val="single"/>
              </w:rPr>
              <w:t>, 2009</w:t>
            </w:r>
            <w:r w:rsidRPr="00680639">
              <w:rPr>
                <w:sz w:val="22"/>
                <w:szCs w:val="22"/>
                <w:u w:val="single"/>
              </w:rPr>
              <w:t>).</w:t>
            </w:r>
          </w:p>
          <w:p w14:paraId="2BDC9951" w14:textId="77777777" w:rsidR="00575857" w:rsidRPr="00062DD5" w:rsidRDefault="00575857" w:rsidP="00BE29BE">
            <w:pPr>
              <w:pStyle w:val="ListParagraph"/>
              <w:widowControl/>
            </w:pPr>
          </w:p>
          <w:p w14:paraId="48F27EC9" w14:textId="77777777" w:rsidR="00EC54E5" w:rsidRPr="00062DD5" w:rsidRDefault="00EC54E5" w:rsidP="00BE29BE">
            <w:pPr>
              <w:pStyle w:val="TableParagraph"/>
              <w:ind w:left="462"/>
              <w:jc w:val="both"/>
              <w:rPr>
                <w:rFonts w:ascii="Times New Roman" w:hAnsi="Times New Roman" w:cs="Times New Roman"/>
                <w:spacing w:val="-1"/>
              </w:rPr>
            </w:pPr>
            <w:r w:rsidRPr="00062DD5">
              <w:rPr>
                <w:rFonts w:ascii="Times New Roman" w:hAnsi="Times New Roman" w:cs="Times New Roman"/>
                <w:spacing w:val="-1"/>
              </w:rPr>
              <w:t>Formulae:</w:t>
            </w:r>
          </w:p>
          <w:p w14:paraId="19F6AE01" w14:textId="77777777" w:rsidR="00EC54E5" w:rsidRPr="00062DD5" w:rsidRDefault="00EC54E5" w:rsidP="00BE29BE">
            <w:pPr>
              <w:pStyle w:val="TableParagraph"/>
              <w:ind w:left="462"/>
              <w:jc w:val="both"/>
              <w:rPr>
                <w:rFonts w:ascii="Times New Roman" w:hAnsi="Times New Roman" w:cs="Times New Roman"/>
                <w:spacing w:val="-1"/>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99"/>
              <w:gridCol w:w="2503"/>
              <w:gridCol w:w="3247"/>
            </w:tblGrid>
            <w:tr w:rsidR="00EC54E5" w:rsidRPr="003D1F68" w14:paraId="2FB35A49" w14:textId="77777777" w:rsidTr="00BE29BE">
              <w:trPr>
                <w:trHeight w:val="184"/>
                <w:jc w:val="center"/>
              </w:trPr>
              <w:tc>
                <w:tcPr>
                  <w:tcW w:w="1099" w:type="dxa"/>
                </w:tcPr>
                <w:p w14:paraId="277E0CB2" w14:textId="77777777" w:rsidR="00EC54E5" w:rsidRPr="003D1F68" w:rsidRDefault="00EC54E5" w:rsidP="00BE29BE">
                  <w:pPr>
                    <w:tabs>
                      <w:tab w:val="left" w:pos="176"/>
                      <w:tab w:val="left" w:pos="356"/>
                    </w:tabs>
                    <w:rPr>
                      <w:b/>
                      <w:sz w:val="18"/>
                      <w:szCs w:val="16"/>
                    </w:rPr>
                  </w:pPr>
                  <w:r w:rsidRPr="003D1F68">
                    <w:rPr>
                      <w:b/>
                      <w:sz w:val="18"/>
                      <w:szCs w:val="16"/>
                    </w:rPr>
                    <w:t>Race and Sex</w:t>
                  </w:r>
                </w:p>
              </w:tc>
              <w:tc>
                <w:tcPr>
                  <w:tcW w:w="2503" w:type="dxa"/>
                </w:tcPr>
                <w:p w14:paraId="29B9C236" w14:textId="77777777" w:rsidR="00EC54E5" w:rsidRPr="003D1F68" w:rsidRDefault="00EC54E5" w:rsidP="00863D08">
                  <w:pPr>
                    <w:rPr>
                      <w:b/>
                      <w:sz w:val="18"/>
                      <w:szCs w:val="16"/>
                    </w:rPr>
                  </w:pPr>
                  <w:r w:rsidRPr="003D1F68">
                    <w:rPr>
                      <w:b/>
                      <w:sz w:val="18"/>
                      <w:szCs w:val="16"/>
                    </w:rPr>
                    <w:t>Serum Creatinine</w:t>
                  </w:r>
                  <w:r w:rsidR="00575857" w:rsidRPr="003D1F68">
                    <w:rPr>
                      <w:b/>
                      <w:sz w:val="18"/>
                      <w:szCs w:val="16"/>
                    </w:rPr>
                    <w:t xml:space="preserve"> (</w:t>
                  </w:r>
                  <w:proofErr w:type="spellStart"/>
                  <w:r w:rsidR="00575857" w:rsidRPr="003D1F68">
                    <w:rPr>
                      <w:b/>
                      <w:sz w:val="18"/>
                      <w:szCs w:val="16"/>
                    </w:rPr>
                    <w:t>S</w:t>
                  </w:r>
                  <w:r w:rsidR="00C93C6C">
                    <w:rPr>
                      <w:b/>
                      <w:sz w:val="18"/>
                      <w:szCs w:val="16"/>
                    </w:rPr>
                    <w:t>C</w:t>
                  </w:r>
                  <w:r w:rsidR="00575857" w:rsidRPr="003D1F68">
                    <w:rPr>
                      <w:b/>
                      <w:sz w:val="18"/>
                      <w:szCs w:val="16"/>
                    </w:rPr>
                    <w:t>r</w:t>
                  </w:r>
                  <w:proofErr w:type="spellEnd"/>
                  <w:r w:rsidR="00575857" w:rsidRPr="003D1F68">
                    <w:rPr>
                      <w:b/>
                      <w:sz w:val="18"/>
                      <w:szCs w:val="16"/>
                    </w:rPr>
                    <w:t>)</w:t>
                  </w:r>
                  <w:r w:rsidRPr="003D1F68">
                    <w:rPr>
                      <w:b/>
                      <w:sz w:val="18"/>
                      <w:szCs w:val="16"/>
                    </w:rPr>
                    <w:t xml:space="preserve">, </w:t>
                  </w:r>
                  <w:r w:rsidRPr="003D1F68">
                    <w:rPr>
                      <w:b/>
                      <w:i/>
                      <w:sz w:val="18"/>
                      <w:szCs w:val="16"/>
                    </w:rPr>
                    <w:t>µmol/L (mg/dL)</w:t>
                  </w:r>
                </w:p>
              </w:tc>
              <w:tc>
                <w:tcPr>
                  <w:tcW w:w="3247" w:type="dxa"/>
                </w:tcPr>
                <w:p w14:paraId="565C5846" w14:textId="77777777" w:rsidR="00EC54E5" w:rsidRPr="003D1F68" w:rsidRDefault="00EC54E5">
                  <w:pPr>
                    <w:rPr>
                      <w:b/>
                      <w:sz w:val="18"/>
                      <w:szCs w:val="16"/>
                    </w:rPr>
                  </w:pPr>
                  <w:r w:rsidRPr="003D1F68">
                    <w:rPr>
                      <w:b/>
                      <w:sz w:val="18"/>
                      <w:szCs w:val="16"/>
                    </w:rPr>
                    <w:t>Equation</w:t>
                  </w:r>
                </w:p>
              </w:tc>
            </w:tr>
            <w:tr w:rsidR="00EC54E5" w:rsidRPr="003D1F68" w14:paraId="0818745A" w14:textId="77777777" w:rsidTr="00BE29BE">
              <w:trPr>
                <w:trHeight w:val="184"/>
                <w:jc w:val="center"/>
              </w:trPr>
              <w:tc>
                <w:tcPr>
                  <w:tcW w:w="1099" w:type="dxa"/>
                </w:tcPr>
                <w:p w14:paraId="0E9B68BB" w14:textId="77777777" w:rsidR="00EC54E5" w:rsidRPr="003D1F68" w:rsidRDefault="00EC54E5" w:rsidP="00BE29BE">
                  <w:pPr>
                    <w:tabs>
                      <w:tab w:val="left" w:pos="176"/>
                      <w:tab w:val="left" w:pos="356"/>
                    </w:tabs>
                    <w:rPr>
                      <w:b/>
                      <w:sz w:val="18"/>
                      <w:szCs w:val="16"/>
                    </w:rPr>
                  </w:pPr>
                  <w:r w:rsidRPr="003D1F68">
                    <w:rPr>
                      <w:b/>
                      <w:sz w:val="18"/>
                      <w:szCs w:val="16"/>
                    </w:rPr>
                    <w:t>Black</w:t>
                  </w:r>
                </w:p>
              </w:tc>
              <w:tc>
                <w:tcPr>
                  <w:tcW w:w="2503" w:type="dxa"/>
                </w:tcPr>
                <w:p w14:paraId="7B0D88F9" w14:textId="77777777" w:rsidR="00EC54E5" w:rsidRPr="003D1F68" w:rsidRDefault="00EC54E5" w:rsidP="00BE29BE">
                  <w:pPr>
                    <w:rPr>
                      <w:sz w:val="18"/>
                      <w:szCs w:val="16"/>
                    </w:rPr>
                  </w:pPr>
                </w:p>
              </w:tc>
              <w:tc>
                <w:tcPr>
                  <w:tcW w:w="3247" w:type="dxa"/>
                </w:tcPr>
                <w:p w14:paraId="514CBDC1" w14:textId="77777777" w:rsidR="00EC54E5" w:rsidRPr="003D1F68" w:rsidRDefault="00EC54E5" w:rsidP="00BE29BE">
                  <w:pPr>
                    <w:rPr>
                      <w:sz w:val="18"/>
                      <w:szCs w:val="16"/>
                    </w:rPr>
                  </w:pPr>
                </w:p>
              </w:tc>
            </w:tr>
            <w:tr w:rsidR="00EC54E5" w:rsidRPr="003D1F68" w14:paraId="26A7A278" w14:textId="77777777" w:rsidTr="00BE29BE">
              <w:trPr>
                <w:trHeight w:val="184"/>
                <w:jc w:val="center"/>
              </w:trPr>
              <w:tc>
                <w:tcPr>
                  <w:tcW w:w="1099" w:type="dxa"/>
                  <w:shd w:val="clear" w:color="auto" w:fill="D9D9D9"/>
                </w:tcPr>
                <w:p w14:paraId="2D344F01" w14:textId="77777777" w:rsidR="00EC54E5" w:rsidRPr="003D1F68" w:rsidRDefault="00EC54E5" w:rsidP="00BE29BE">
                  <w:pPr>
                    <w:tabs>
                      <w:tab w:val="left" w:pos="176"/>
                      <w:tab w:val="left" w:pos="356"/>
                    </w:tabs>
                    <w:ind w:left="176"/>
                    <w:rPr>
                      <w:sz w:val="18"/>
                      <w:szCs w:val="16"/>
                    </w:rPr>
                  </w:pPr>
                  <w:r w:rsidRPr="003D1F68">
                    <w:rPr>
                      <w:sz w:val="18"/>
                      <w:szCs w:val="16"/>
                    </w:rPr>
                    <w:t>Female</w:t>
                  </w:r>
                </w:p>
              </w:tc>
              <w:tc>
                <w:tcPr>
                  <w:tcW w:w="2503" w:type="dxa"/>
                  <w:shd w:val="clear" w:color="auto" w:fill="D9D9D9"/>
                </w:tcPr>
                <w:p w14:paraId="4AC79694" w14:textId="77777777" w:rsidR="00EC54E5" w:rsidRPr="003D1F68" w:rsidRDefault="00EC54E5" w:rsidP="00BE29BE">
                  <w:pPr>
                    <w:rPr>
                      <w:rFonts w:eastAsia="Batang"/>
                      <w:sz w:val="18"/>
                      <w:szCs w:val="16"/>
                    </w:rPr>
                  </w:pPr>
                  <w:r w:rsidRPr="003D1F68">
                    <w:rPr>
                      <w:sz w:val="18"/>
                      <w:szCs w:val="16"/>
                    </w:rPr>
                    <w:t>≤62 (≤0.7)</w:t>
                  </w:r>
                </w:p>
              </w:tc>
              <w:tc>
                <w:tcPr>
                  <w:tcW w:w="3247" w:type="dxa"/>
                  <w:shd w:val="clear" w:color="auto" w:fill="D9D9D9"/>
                </w:tcPr>
                <w:p w14:paraId="65E894F7" w14:textId="77777777" w:rsidR="00EC54E5" w:rsidRPr="003D1F68" w:rsidRDefault="00EC54E5" w:rsidP="00BE29BE">
                  <w:pPr>
                    <w:rPr>
                      <w:rFonts w:eastAsia="Batang"/>
                      <w:sz w:val="18"/>
                      <w:szCs w:val="16"/>
                    </w:rPr>
                  </w:pPr>
                  <w:r w:rsidRPr="003D1F68">
                    <w:rPr>
                      <w:sz w:val="18"/>
                      <w:szCs w:val="16"/>
                    </w:rPr>
                    <w:t>GFR = 166 × (</w:t>
                  </w:r>
                  <w:proofErr w:type="spellStart"/>
                  <w:r w:rsidRPr="003D1F68">
                    <w:rPr>
                      <w:sz w:val="18"/>
                      <w:szCs w:val="16"/>
                    </w:rPr>
                    <w:t>S</w:t>
                  </w:r>
                  <w:r w:rsidR="00C93C6C">
                    <w:rPr>
                      <w:sz w:val="18"/>
                      <w:szCs w:val="16"/>
                    </w:rPr>
                    <w:t>C</w:t>
                  </w:r>
                  <w:r w:rsidRPr="003D1F68">
                    <w:rPr>
                      <w:sz w:val="18"/>
                      <w:szCs w:val="16"/>
                    </w:rPr>
                    <w:t>r</w:t>
                  </w:r>
                  <w:proofErr w:type="spellEnd"/>
                  <w:r w:rsidRPr="003D1F68">
                    <w:rPr>
                      <w:sz w:val="18"/>
                      <w:szCs w:val="16"/>
                    </w:rPr>
                    <w:t>/0.7)</w:t>
                  </w:r>
                  <w:r w:rsidRPr="003D1F68">
                    <w:rPr>
                      <w:sz w:val="18"/>
                      <w:szCs w:val="16"/>
                      <w:vertAlign w:val="superscript"/>
                    </w:rPr>
                    <w:t>−0.329</w:t>
                  </w:r>
                  <w:r w:rsidRPr="003D1F68">
                    <w:rPr>
                      <w:sz w:val="18"/>
                      <w:szCs w:val="16"/>
                    </w:rPr>
                    <w:t xml:space="preserve"> × (0.993)</w:t>
                  </w:r>
                  <w:r w:rsidRPr="003D1F68">
                    <w:rPr>
                      <w:sz w:val="18"/>
                      <w:szCs w:val="16"/>
                      <w:vertAlign w:val="superscript"/>
                    </w:rPr>
                    <w:t>Age</w:t>
                  </w:r>
                </w:p>
              </w:tc>
            </w:tr>
            <w:tr w:rsidR="00EC54E5" w:rsidRPr="003D1F68" w14:paraId="1BFB0D53" w14:textId="77777777" w:rsidTr="00BE29BE">
              <w:trPr>
                <w:trHeight w:val="184"/>
                <w:jc w:val="center"/>
              </w:trPr>
              <w:tc>
                <w:tcPr>
                  <w:tcW w:w="1099" w:type="dxa"/>
                  <w:shd w:val="clear" w:color="auto" w:fill="D9D9D9"/>
                </w:tcPr>
                <w:p w14:paraId="0810AE2A" w14:textId="77777777" w:rsidR="00EC54E5" w:rsidRPr="003D1F68" w:rsidRDefault="00EC54E5" w:rsidP="00BE29BE">
                  <w:pPr>
                    <w:tabs>
                      <w:tab w:val="left" w:pos="176"/>
                      <w:tab w:val="left" w:pos="356"/>
                    </w:tabs>
                    <w:rPr>
                      <w:sz w:val="18"/>
                      <w:szCs w:val="16"/>
                    </w:rPr>
                  </w:pPr>
                </w:p>
              </w:tc>
              <w:tc>
                <w:tcPr>
                  <w:tcW w:w="2503" w:type="dxa"/>
                  <w:shd w:val="clear" w:color="auto" w:fill="D9D9D9"/>
                </w:tcPr>
                <w:p w14:paraId="02F62933" w14:textId="77777777" w:rsidR="00EC54E5" w:rsidRPr="003D1F68" w:rsidRDefault="00EC54E5" w:rsidP="00BE29BE">
                  <w:pPr>
                    <w:rPr>
                      <w:sz w:val="18"/>
                      <w:szCs w:val="16"/>
                    </w:rPr>
                  </w:pPr>
                  <w:r w:rsidRPr="003D1F68">
                    <w:rPr>
                      <w:sz w:val="18"/>
                      <w:szCs w:val="16"/>
                    </w:rPr>
                    <w:t>&gt;62 (&gt;0.7)</w:t>
                  </w:r>
                </w:p>
              </w:tc>
              <w:tc>
                <w:tcPr>
                  <w:tcW w:w="3247" w:type="dxa"/>
                  <w:shd w:val="clear" w:color="auto" w:fill="D9D9D9"/>
                </w:tcPr>
                <w:p w14:paraId="389735E3" w14:textId="77777777" w:rsidR="00EC54E5" w:rsidRPr="003D1F68" w:rsidRDefault="00EC54E5" w:rsidP="00BE29BE">
                  <w:pPr>
                    <w:rPr>
                      <w:rFonts w:eastAsia="Batang"/>
                      <w:sz w:val="18"/>
                      <w:szCs w:val="16"/>
                    </w:rPr>
                  </w:pPr>
                  <w:r w:rsidRPr="003D1F68">
                    <w:rPr>
                      <w:sz w:val="18"/>
                      <w:szCs w:val="16"/>
                    </w:rPr>
                    <w:t>GFR = 166 × (</w:t>
                  </w:r>
                  <w:proofErr w:type="spellStart"/>
                  <w:r w:rsidRPr="003D1F68">
                    <w:rPr>
                      <w:sz w:val="18"/>
                      <w:szCs w:val="16"/>
                    </w:rPr>
                    <w:t>S</w:t>
                  </w:r>
                  <w:r w:rsidR="00C93C6C">
                    <w:rPr>
                      <w:sz w:val="18"/>
                      <w:szCs w:val="16"/>
                    </w:rPr>
                    <w:t>C</w:t>
                  </w:r>
                  <w:r w:rsidRPr="003D1F68">
                    <w:rPr>
                      <w:sz w:val="18"/>
                      <w:szCs w:val="16"/>
                    </w:rPr>
                    <w:t>r</w:t>
                  </w:r>
                  <w:proofErr w:type="spellEnd"/>
                  <w:r w:rsidRPr="003D1F68">
                    <w:rPr>
                      <w:sz w:val="18"/>
                      <w:szCs w:val="16"/>
                    </w:rPr>
                    <w:t>/0.7)</w:t>
                  </w:r>
                  <w:r w:rsidRPr="003D1F68">
                    <w:rPr>
                      <w:sz w:val="18"/>
                      <w:szCs w:val="16"/>
                      <w:vertAlign w:val="superscript"/>
                    </w:rPr>
                    <w:t>−1.209</w:t>
                  </w:r>
                  <w:r w:rsidRPr="003D1F68">
                    <w:rPr>
                      <w:sz w:val="18"/>
                      <w:szCs w:val="16"/>
                    </w:rPr>
                    <w:t xml:space="preserve"> × (0.993)</w:t>
                  </w:r>
                  <w:r w:rsidRPr="003D1F68">
                    <w:rPr>
                      <w:sz w:val="18"/>
                      <w:szCs w:val="16"/>
                      <w:vertAlign w:val="superscript"/>
                    </w:rPr>
                    <w:t>Age</w:t>
                  </w:r>
                </w:p>
              </w:tc>
            </w:tr>
            <w:tr w:rsidR="00EC54E5" w:rsidRPr="003D1F68" w14:paraId="206B8512" w14:textId="77777777" w:rsidTr="00BE29BE">
              <w:trPr>
                <w:trHeight w:val="184"/>
                <w:jc w:val="center"/>
              </w:trPr>
              <w:tc>
                <w:tcPr>
                  <w:tcW w:w="1099" w:type="dxa"/>
                </w:tcPr>
                <w:p w14:paraId="093AFB0D" w14:textId="77777777" w:rsidR="00EC54E5" w:rsidRPr="003D1F68" w:rsidRDefault="00EC54E5" w:rsidP="00BE29BE">
                  <w:pPr>
                    <w:tabs>
                      <w:tab w:val="left" w:pos="176"/>
                      <w:tab w:val="left" w:pos="356"/>
                    </w:tabs>
                    <w:ind w:left="176"/>
                    <w:rPr>
                      <w:sz w:val="18"/>
                      <w:szCs w:val="16"/>
                    </w:rPr>
                  </w:pPr>
                  <w:r w:rsidRPr="003D1F68">
                    <w:rPr>
                      <w:sz w:val="18"/>
                      <w:szCs w:val="16"/>
                    </w:rPr>
                    <w:t>Male</w:t>
                  </w:r>
                </w:p>
              </w:tc>
              <w:tc>
                <w:tcPr>
                  <w:tcW w:w="2503" w:type="dxa"/>
                </w:tcPr>
                <w:p w14:paraId="36BDE9A8" w14:textId="77777777" w:rsidR="00EC54E5" w:rsidRPr="003D1F68" w:rsidRDefault="00EC54E5" w:rsidP="00BE29BE">
                  <w:pPr>
                    <w:rPr>
                      <w:rFonts w:eastAsia="Batang"/>
                      <w:sz w:val="18"/>
                      <w:szCs w:val="16"/>
                    </w:rPr>
                  </w:pPr>
                  <w:r w:rsidRPr="003D1F68">
                    <w:rPr>
                      <w:sz w:val="18"/>
                      <w:szCs w:val="16"/>
                    </w:rPr>
                    <w:t>≤80 (≤0.9)</w:t>
                  </w:r>
                </w:p>
              </w:tc>
              <w:tc>
                <w:tcPr>
                  <w:tcW w:w="3247" w:type="dxa"/>
                </w:tcPr>
                <w:p w14:paraId="2EB993E5" w14:textId="77777777" w:rsidR="00EC54E5" w:rsidRPr="003D1F68" w:rsidRDefault="00EC54E5" w:rsidP="00BE29BE">
                  <w:pPr>
                    <w:rPr>
                      <w:rFonts w:eastAsia="Batang"/>
                      <w:sz w:val="18"/>
                      <w:szCs w:val="16"/>
                    </w:rPr>
                  </w:pPr>
                  <w:r w:rsidRPr="003D1F68">
                    <w:rPr>
                      <w:sz w:val="18"/>
                      <w:szCs w:val="16"/>
                    </w:rPr>
                    <w:t>GFR = 163 × (</w:t>
                  </w:r>
                  <w:proofErr w:type="spellStart"/>
                  <w:r w:rsidRPr="003D1F68">
                    <w:rPr>
                      <w:sz w:val="18"/>
                      <w:szCs w:val="16"/>
                    </w:rPr>
                    <w:t>S</w:t>
                  </w:r>
                  <w:r w:rsidR="00C93C6C">
                    <w:rPr>
                      <w:sz w:val="18"/>
                      <w:szCs w:val="16"/>
                    </w:rPr>
                    <w:t>C</w:t>
                  </w:r>
                  <w:r w:rsidRPr="003D1F68">
                    <w:rPr>
                      <w:sz w:val="18"/>
                      <w:szCs w:val="16"/>
                    </w:rPr>
                    <w:t>r</w:t>
                  </w:r>
                  <w:proofErr w:type="spellEnd"/>
                  <w:r w:rsidRPr="003D1F68">
                    <w:rPr>
                      <w:sz w:val="18"/>
                      <w:szCs w:val="16"/>
                    </w:rPr>
                    <w:t>/0.9)</w:t>
                  </w:r>
                  <w:r w:rsidRPr="003D1F68">
                    <w:rPr>
                      <w:sz w:val="18"/>
                      <w:szCs w:val="16"/>
                      <w:vertAlign w:val="superscript"/>
                    </w:rPr>
                    <w:t>−0.411</w:t>
                  </w:r>
                  <w:r w:rsidRPr="003D1F68">
                    <w:rPr>
                      <w:sz w:val="18"/>
                      <w:szCs w:val="16"/>
                    </w:rPr>
                    <w:t xml:space="preserve"> × (0.993)</w:t>
                  </w:r>
                  <w:r w:rsidRPr="003D1F68">
                    <w:rPr>
                      <w:sz w:val="18"/>
                      <w:szCs w:val="16"/>
                      <w:vertAlign w:val="superscript"/>
                    </w:rPr>
                    <w:t>Age</w:t>
                  </w:r>
                </w:p>
              </w:tc>
            </w:tr>
            <w:tr w:rsidR="00EC54E5" w:rsidRPr="003D1F68" w14:paraId="6A363464" w14:textId="77777777" w:rsidTr="00BE29BE">
              <w:trPr>
                <w:trHeight w:val="184"/>
                <w:jc w:val="center"/>
              </w:trPr>
              <w:tc>
                <w:tcPr>
                  <w:tcW w:w="1099" w:type="dxa"/>
                </w:tcPr>
                <w:p w14:paraId="57DCC4F3" w14:textId="77777777" w:rsidR="00EC54E5" w:rsidRPr="003D1F68" w:rsidRDefault="00EC54E5" w:rsidP="00BE29BE">
                  <w:pPr>
                    <w:tabs>
                      <w:tab w:val="left" w:pos="176"/>
                      <w:tab w:val="left" w:pos="356"/>
                    </w:tabs>
                    <w:rPr>
                      <w:sz w:val="18"/>
                      <w:szCs w:val="16"/>
                    </w:rPr>
                  </w:pPr>
                </w:p>
              </w:tc>
              <w:tc>
                <w:tcPr>
                  <w:tcW w:w="2503" w:type="dxa"/>
                </w:tcPr>
                <w:p w14:paraId="4B7C8E12" w14:textId="77777777" w:rsidR="00EC54E5" w:rsidRPr="003D1F68" w:rsidRDefault="00EC54E5" w:rsidP="00BE29BE">
                  <w:pPr>
                    <w:rPr>
                      <w:sz w:val="18"/>
                      <w:szCs w:val="16"/>
                    </w:rPr>
                  </w:pPr>
                  <w:r w:rsidRPr="003D1F68">
                    <w:rPr>
                      <w:sz w:val="18"/>
                      <w:szCs w:val="16"/>
                    </w:rPr>
                    <w:t>&gt;80 (&gt;0.9)</w:t>
                  </w:r>
                </w:p>
              </w:tc>
              <w:tc>
                <w:tcPr>
                  <w:tcW w:w="3247" w:type="dxa"/>
                </w:tcPr>
                <w:p w14:paraId="046322AF" w14:textId="77777777" w:rsidR="00EC54E5" w:rsidRPr="003D1F68" w:rsidRDefault="00EC54E5" w:rsidP="00BE29BE">
                  <w:pPr>
                    <w:rPr>
                      <w:rFonts w:eastAsia="Batang"/>
                      <w:sz w:val="18"/>
                      <w:szCs w:val="16"/>
                    </w:rPr>
                  </w:pPr>
                  <w:r w:rsidRPr="003D1F68">
                    <w:rPr>
                      <w:sz w:val="18"/>
                      <w:szCs w:val="16"/>
                    </w:rPr>
                    <w:t>GFR = 163 × (</w:t>
                  </w:r>
                  <w:proofErr w:type="spellStart"/>
                  <w:r w:rsidRPr="003D1F68">
                    <w:rPr>
                      <w:sz w:val="18"/>
                      <w:szCs w:val="16"/>
                    </w:rPr>
                    <w:t>S</w:t>
                  </w:r>
                  <w:r w:rsidR="00C93C6C">
                    <w:rPr>
                      <w:sz w:val="18"/>
                      <w:szCs w:val="16"/>
                    </w:rPr>
                    <w:t>C</w:t>
                  </w:r>
                  <w:r w:rsidRPr="003D1F68">
                    <w:rPr>
                      <w:sz w:val="18"/>
                      <w:szCs w:val="16"/>
                    </w:rPr>
                    <w:t>r</w:t>
                  </w:r>
                  <w:proofErr w:type="spellEnd"/>
                  <w:r w:rsidRPr="003D1F68">
                    <w:rPr>
                      <w:sz w:val="18"/>
                      <w:szCs w:val="16"/>
                    </w:rPr>
                    <w:t>/0.9)</w:t>
                  </w:r>
                  <w:r w:rsidRPr="003D1F68">
                    <w:rPr>
                      <w:sz w:val="18"/>
                      <w:szCs w:val="16"/>
                      <w:vertAlign w:val="superscript"/>
                    </w:rPr>
                    <w:t>−1.209</w:t>
                  </w:r>
                  <w:r w:rsidRPr="003D1F68">
                    <w:rPr>
                      <w:sz w:val="18"/>
                      <w:szCs w:val="16"/>
                    </w:rPr>
                    <w:t xml:space="preserve"> × (0.993)</w:t>
                  </w:r>
                  <w:r w:rsidRPr="003D1F68">
                    <w:rPr>
                      <w:sz w:val="18"/>
                      <w:szCs w:val="16"/>
                      <w:vertAlign w:val="superscript"/>
                    </w:rPr>
                    <w:t>Age</w:t>
                  </w:r>
                </w:p>
              </w:tc>
            </w:tr>
            <w:tr w:rsidR="00EC54E5" w:rsidRPr="003D1F68" w14:paraId="5AE9106E" w14:textId="77777777" w:rsidTr="00BE29BE">
              <w:trPr>
                <w:trHeight w:val="184"/>
                <w:jc w:val="center"/>
              </w:trPr>
              <w:tc>
                <w:tcPr>
                  <w:tcW w:w="1099" w:type="dxa"/>
                </w:tcPr>
                <w:p w14:paraId="3C84CF99" w14:textId="77777777" w:rsidR="00EC54E5" w:rsidRPr="003D1F68" w:rsidRDefault="00EC54E5" w:rsidP="00BE29BE">
                  <w:pPr>
                    <w:tabs>
                      <w:tab w:val="left" w:pos="176"/>
                      <w:tab w:val="left" w:pos="356"/>
                    </w:tabs>
                    <w:rPr>
                      <w:sz w:val="18"/>
                      <w:szCs w:val="16"/>
                    </w:rPr>
                  </w:pPr>
                </w:p>
              </w:tc>
              <w:tc>
                <w:tcPr>
                  <w:tcW w:w="2503" w:type="dxa"/>
                </w:tcPr>
                <w:p w14:paraId="4E1CF04E" w14:textId="77777777" w:rsidR="00EC54E5" w:rsidRPr="003D1F68" w:rsidRDefault="00EC54E5" w:rsidP="00BE29BE">
                  <w:pPr>
                    <w:rPr>
                      <w:sz w:val="18"/>
                      <w:szCs w:val="16"/>
                    </w:rPr>
                  </w:pPr>
                </w:p>
              </w:tc>
              <w:tc>
                <w:tcPr>
                  <w:tcW w:w="3247" w:type="dxa"/>
                </w:tcPr>
                <w:p w14:paraId="473BC45D" w14:textId="77777777" w:rsidR="00EC54E5" w:rsidRPr="003D1F68" w:rsidRDefault="00EC54E5" w:rsidP="00BE29BE">
                  <w:pPr>
                    <w:rPr>
                      <w:sz w:val="18"/>
                      <w:szCs w:val="16"/>
                    </w:rPr>
                  </w:pPr>
                </w:p>
              </w:tc>
            </w:tr>
            <w:tr w:rsidR="00EC54E5" w:rsidRPr="003D1F68" w14:paraId="1A49E7F1" w14:textId="77777777" w:rsidTr="00BE29BE">
              <w:trPr>
                <w:trHeight w:val="184"/>
                <w:jc w:val="center"/>
              </w:trPr>
              <w:tc>
                <w:tcPr>
                  <w:tcW w:w="1099" w:type="dxa"/>
                </w:tcPr>
                <w:p w14:paraId="3A283456" w14:textId="77777777" w:rsidR="00EC54E5" w:rsidRPr="003D1F68" w:rsidRDefault="00EC54E5" w:rsidP="00BE29BE">
                  <w:pPr>
                    <w:tabs>
                      <w:tab w:val="left" w:pos="176"/>
                      <w:tab w:val="left" w:pos="356"/>
                    </w:tabs>
                    <w:rPr>
                      <w:b/>
                      <w:sz w:val="18"/>
                      <w:szCs w:val="16"/>
                    </w:rPr>
                  </w:pPr>
                  <w:r w:rsidRPr="003D1F68">
                    <w:rPr>
                      <w:b/>
                      <w:sz w:val="18"/>
                      <w:szCs w:val="16"/>
                    </w:rPr>
                    <w:t>White or other</w:t>
                  </w:r>
                </w:p>
              </w:tc>
              <w:tc>
                <w:tcPr>
                  <w:tcW w:w="2503" w:type="dxa"/>
                </w:tcPr>
                <w:p w14:paraId="336CA20E" w14:textId="77777777" w:rsidR="00EC54E5" w:rsidRPr="003D1F68" w:rsidRDefault="00EC54E5" w:rsidP="00BE29BE">
                  <w:pPr>
                    <w:rPr>
                      <w:sz w:val="18"/>
                      <w:szCs w:val="16"/>
                    </w:rPr>
                  </w:pPr>
                </w:p>
              </w:tc>
              <w:tc>
                <w:tcPr>
                  <w:tcW w:w="3247" w:type="dxa"/>
                </w:tcPr>
                <w:p w14:paraId="6991D29E" w14:textId="77777777" w:rsidR="00EC54E5" w:rsidRPr="003D1F68" w:rsidRDefault="00EC54E5" w:rsidP="00BE29BE">
                  <w:pPr>
                    <w:rPr>
                      <w:sz w:val="18"/>
                      <w:szCs w:val="16"/>
                    </w:rPr>
                  </w:pPr>
                </w:p>
              </w:tc>
            </w:tr>
            <w:tr w:rsidR="00EC54E5" w:rsidRPr="003D1F68" w14:paraId="2046954E" w14:textId="77777777" w:rsidTr="00BE29BE">
              <w:trPr>
                <w:trHeight w:val="184"/>
                <w:jc w:val="center"/>
              </w:trPr>
              <w:tc>
                <w:tcPr>
                  <w:tcW w:w="1099" w:type="dxa"/>
                  <w:shd w:val="clear" w:color="auto" w:fill="D9D9D9"/>
                </w:tcPr>
                <w:p w14:paraId="2053DBA6" w14:textId="77777777" w:rsidR="00EC54E5" w:rsidRPr="003D1F68" w:rsidRDefault="00EC54E5" w:rsidP="00BE29BE">
                  <w:pPr>
                    <w:tabs>
                      <w:tab w:val="left" w:pos="176"/>
                      <w:tab w:val="left" w:pos="356"/>
                    </w:tabs>
                    <w:ind w:left="176"/>
                    <w:rPr>
                      <w:sz w:val="18"/>
                      <w:szCs w:val="16"/>
                    </w:rPr>
                  </w:pPr>
                  <w:r w:rsidRPr="003D1F68">
                    <w:rPr>
                      <w:sz w:val="18"/>
                      <w:szCs w:val="16"/>
                    </w:rPr>
                    <w:t>Female</w:t>
                  </w:r>
                </w:p>
              </w:tc>
              <w:tc>
                <w:tcPr>
                  <w:tcW w:w="2503" w:type="dxa"/>
                  <w:shd w:val="clear" w:color="auto" w:fill="D9D9D9"/>
                </w:tcPr>
                <w:p w14:paraId="4C1E33A4" w14:textId="77777777" w:rsidR="00EC54E5" w:rsidRPr="003D1F68" w:rsidRDefault="00EC54E5" w:rsidP="00BE29BE">
                  <w:pPr>
                    <w:rPr>
                      <w:rFonts w:eastAsia="Batang"/>
                      <w:sz w:val="18"/>
                      <w:szCs w:val="16"/>
                    </w:rPr>
                  </w:pPr>
                  <w:r w:rsidRPr="003D1F68">
                    <w:rPr>
                      <w:sz w:val="18"/>
                      <w:szCs w:val="16"/>
                    </w:rPr>
                    <w:t>≤62 (≤0.7)</w:t>
                  </w:r>
                </w:p>
              </w:tc>
              <w:tc>
                <w:tcPr>
                  <w:tcW w:w="3247" w:type="dxa"/>
                  <w:shd w:val="clear" w:color="auto" w:fill="D9D9D9"/>
                </w:tcPr>
                <w:p w14:paraId="3DAFE73B" w14:textId="77777777" w:rsidR="00EC54E5" w:rsidRPr="003D1F68" w:rsidRDefault="00EC54E5" w:rsidP="00BE29BE">
                  <w:pPr>
                    <w:rPr>
                      <w:rFonts w:eastAsia="Batang"/>
                      <w:sz w:val="18"/>
                      <w:szCs w:val="16"/>
                    </w:rPr>
                  </w:pPr>
                  <w:r w:rsidRPr="003D1F68">
                    <w:rPr>
                      <w:sz w:val="18"/>
                      <w:szCs w:val="16"/>
                    </w:rPr>
                    <w:t>GFR = 144 × (</w:t>
                  </w:r>
                  <w:proofErr w:type="spellStart"/>
                  <w:r w:rsidRPr="003D1F68">
                    <w:rPr>
                      <w:sz w:val="18"/>
                      <w:szCs w:val="16"/>
                    </w:rPr>
                    <w:t>S</w:t>
                  </w:r>
                  <w:r w:rsidR="00C93C6C">
                    <w:rPr>
                      <w:sz w:val="18"/>
                      <w:szCs w:val="16"/>
                    </w:rPr>
                    <w:t>C</w:t>
                  </w:r>
                  <w:r w:rsidRPr="003D1F68">
                    <w:rPr>
                      <w:sz w:val="18"/>
                      <w:szCs w:val="16"/>
                    </w:rPr>
                    <w:t>r</w:t>
                  </w:r>
                  <w:proofErr w:type="spellEnd"/>
                  <w:r w:rsidRPr="003D1F68">
                    <w:rPr>
                      <w:sz w:val="18"/>
                      <w:szCs w:val="16"/>
                    </w:rPr>
                    <w:t>/0.7)</w:t>
                  </w:r>
                  <w:r w:rsidRPr="003D1F68">
                    <w:rPr>
                      <w:sz w:val="18"/>
                      <w:szCs w:val="16"/>
                      <w:vertAlign w:val="superscript"/>
                    </w:rPr>
                    <w:t>−0.329</w:t>
                  </w:r>
                  <w:r w:rsidRPr="003D1F68">
                    <w:rPr>
                      <w:sz w:val="18"/>
                      <w:szCs w:val="16"/>
                    </w:rPr>
                    <w:t xml:space="preserve"> × (0.993)</w:t>
                  </w:r>
                  <w:r w:rsidRPr="003D1F68">
                    <w:rPr>
                      <w:sz w:val="18"/>
                      <w:szCs w:val="16"/>
                      <w:vertAlign w:val="superscript"/>
                    </w:rPr>
                    <w:t>Age</w:t>
                  </w:r>
                </w:p>
              </w:tc>
            </w:tr>
            <w:tr w:rsidR="00EC54E5" w:rsidRPr="003D1F68" w14:paraId="362BD088" w14:textId="77777777" w:rsidTr="00BE29BE">
              <w:trPr>
                <w:trHeight w:val="184"/>
                <w:jc w:val="center"/>
              </w:trPr>
              <w:tc>
                <w:tcPr>
                  <w:tcW w:w="1099" w:type="dxa"/>
                  <w:shd w:val="clear" w:color="auto" w:fill="D9D9D9"/>
                </w:tcPr>
                <w:p w14:paraId="4EDAA721" w14:textId="77777777" w:rsidR="00EC54E5" w:rsidRPr="003D1F68" w:rsidRDefault="00EC54E5" w:rsidP="00BE29BE">
                  <w:pPr>
                    <w:tabs>
                      <w:tab w:val="left" w:pos="176"/>
                      <w:tab w:val="left" w:pos="356"/>
                    </w:tabs>
                    <w:rPr>
                      <w:sz w:val="18"/>
                      <w:szCs w:val="16"/>
                    </w:rPr>
                  </w:pPr>
                </w:p>
              </w:tc>
              <w:tc>
                <w:tcPr>
                  <w:tcW w:w="2503" w:type="dxa"/>
                  <w:shd w:val="clear" w:color="auto" w:fill="D9D9D9"/>
                </w:tcPr>
                <w:p w14:paraId="354A7601" w14:textId="77777777" w:rsidR="00EC54E5" w:rsidRPr="003D1F68" w:rsidRDefault="00EC54E5" w:rsidP="00BE29BE">
                  <w:pPr>
                    <w:rPr>
                      <w:sz w:val="18"/>
                      <w:szCs w:val="16"/>
                    </w:rPr>
                  </w:pPr>
                  <w:r w:rsidRPr="003D1F68">
                    <w:rPr>
                      <w:sz w:val="18"/>
                      <w:szCs w:val="16"/>
                    </w:rPr>
                    <w:t>&gt;62 (&gt;0.7)</w:t>
                  </w:r>
                </w:p>
              </w:tc>
              <w:tc>
                <w:tcPr>
                  <w:tcW w:w="3247" w:type="dxa"/>
                  <w:shd w:val="clear" w:color="auto" w:fill="D9D9D9"/>
                </w:tcPr>
                <w:p w14:paraId="049DD61D" w14:textId="77777777" w:rsidR="00EC54E5" w:rsidRPr="003D1F68" w:rsidRDefault="00EC54E5" w:rsidP="00BE29BE">
                  <w:pPr>
                    <w:rPr>
                      <w:rFonts w:eastAsia="Batang"/>
                      <w:sz w:val="18"/>
                      <w:szCs w:val="16"/>
                    </w:rPr>
                  </w:pPr>
                  <w:r w:rsidRPr="003D1F68">
                    <w:rPr>
                      <w:sz w:val="18"/>
                      <w:szCs w:val="16"/>
                    </w:rPr>
                    <w:t>GFR = 144 × (</w:t>
                  </w:r>
                  <w:proofErr w:type="spellStart"/>
                  <w:r w:rsidRPr="003D1F68">
                    <w:rPr>
                      <w:sz w:val="18"/>
                      <w:szCs w:val="16"/>
                    </w:rPr>
                    <w:t>S</w:t>
                  </w:r>
                  <w:r w:rsidR="00C93C6C">
                    <w:rPr>
                      <w:sz w:val="18"/>
                      <w:szCs w:val="16"/>
                    </w:rPr>
                    <w:t>C</w:t>
                  </w:r>
                  <w:r w:rsidRPr="003D1F68">
                    <w:rPr>
                      <w:sz w:val="18"/>
                      <w:szCs w:val="16"/>
                    </w:rPr>
                    <w:t>r</w:t>
                  </w:r>
                  <w:proofErr w:type="spellEnd"/>
                  <w:r w:rsidRPr="003D1F68">
                    <w:rPr>
                      <w:sz w:val="18"/>
                      <w:szCs w:val="16"/>
                    </w:rPr>
                    <w:t>/0.7)</w:t>
                  </w:r>
                  <w:r w:rsidRPr="003D1F68">
                    <w:rPr>
                      <w:sz w:val="18"/>
                      <w:szCs w:val="16"/>
                      <w:vertAlign w:val="superscript"/>
                    </w:rPr>
                    <w:t>−1.209</w:t>
                  </w:r>
                  <w:r w:rsidRPr="003D1F68">
                    <w:rPr>
                      <w:sz w:val="18"/>
                      <w:szCs w:val="16"/>
                    </w:rPr>
                    <w:t xml:space="preserve"> × (0.993)</w:t>
                  </w:r>
                  <w:r w:rsidRPr="003D1F68">
                    <w:rPr>
                      <w:sz w:val="18"/>
                      <w:szCs w:val="16"/>
                      <w:vertAlign w:val="superscript"/>
                    </w:rPr>
                    <w:t>Age</w:t>
                  </w:r>
                </w:p>
              </w:tc>
            </w:tr>
            <w:tr w:rsidR="00EC54E5" w:rsidRPr="003D1F68" w14:paraId="42E4A153" w14:textId="77777777" w:rsidTr="00BE29BE">
              <w:trPr>
                <w:trHeight w:val="184"/>
                <w:jc w:val="center"/>
              </w:trPr>
              <w:tc>
                <w:tcPr>
                  <w:tcW w:w="1099" w:type="dxa"/>
                </w:tcPr>
                <w:p w14:paraId="49EBBB83" w14:textId="77777777" w:rsidR="00EC54E5" w:rsidRPr="003D1F68" w:rsidRDefault="00EC54E5" w:rsidP="00BE29BE">
                  <w:pPr>
                    <w:tabs>
                      <w:tab w:val="left" w:pos="176"/>
                      <w:tab w:val="left" w:pos="356"/>
                    </w:tabs>
                    <w:ind w:left="176"/>
                    <w:rPr>
                      <w:sz w:val="18"/>
                      <w:szCs w:val="16"/>
                    </w:rPr>
                  </w:pPr>
                  <w:r w:rsidRPr="003D1F68">
                    <w:rPr>
                      <w:sz w:val="18"/>
                      <w:szCs w:val="16"/>
                    </w:rPr>
                    <w:t>Male</w:t>
                  </w:r>
                </w:p>
              </w:tc>
              <w:tc>
                <w:tcPr>
                  <w:tcW w:w="2503" w:type="dxa"/>
                </w:tcPr>
                <w:p w14:paraId="73855CB7" w14:textId="77777777" w:rsidR="00EC54E5" w:rsidRPr="003D1F68" w:rsidRDefault="00EC54E5" w:rsidP="00BE29BE">
                  <w:pPr>
                    <w:rPr>
                      <w:rFonts w:eastAsia="Batang"/>
                      <w:sz w:val="18"/>
                      <w:szCs w:val="16"/>
                    </w:rPr>
                  </w:pPr>
                  <w:r w:rsidRPr="003D1F68">
                    <w:rPr>
                      <w:sz w:val="18"/>
                      <w:szCs w:val="16"/>
                    </w:rPr>
                    <w:t>≤80 (≤0.9)</w:t>
                  </w:r>
                </w:p>
              </w:tc>
              <w:tc>
                <w:tcPr>
                  <w:tcW w:w="3247" w:type="dxa"/>
                </w:tcPr>
                <w:p w14:paraId="5E42C74C" w14:textId="77777777" w:rsidR="00EC54E5" w:rsidRPr="003D1F68" w:rsidRDefault="00EC54E5" w:rsidP="00BE29BE">
                  <w:pPr>
                    <w:rPr>
                      <w:rFonts w:eastAsia="Batang"/>
                      <w:sz w:val="18"/>
                      <w:szCs w:val="16"/>
                    </w:rPr>
                  </w:pPr>
                  <w:r w:rsidRPr="003D1F68">
                    <w:rPr>
                      <w:sz w:val="18"/>
                      <w:szCs w:val="16"/>
                    </w:rPr>
                    <w:t>GFR = 141 × (</w:t>
                  </w:r>
                  <w:proofErr w:type="spellStart"/>
                  <w:r w:rsidRPr="003D1F68">
                    <w:rPr>
                      <w:sz w:val="18"/>
                      <w:szCs w:val="16"/>
                    </w:rPr>
                    <w:t>S</w:t>
                  </w:r>
                  <w:r w:rsidR="00C93C6C">
                    <w:rPr>
                      <w:sz w:val="18"/>
                      <w:szCs w:val="16"/>
                    </w:rPr>
                    <w:t>C</w:t>
                  </w:r>
                  <w:r w:rsidRPr="003D1F68">
                    <w:rPr>
                      <w:sz w:val="18"/>
                      <w:szCs w:val="16"/>
                    </w:rPr>
                    <w:t>r</w:t>
                  </w:r>
                  <w:proofErr w:type="spellEnd"/>
                  <w:r w:rsidRPr="003D1F68">
                    <w:rPr>
                      <w:sz w:val="18"/>
                      <w:szCs w:val="16"/>
                    </w:rPr>
                    <w:t>/0.9)</w:t>
                  </w:r>
                  <w:r w:rsidRPr="003D1F68">
                    <w:rPr>
                      <w:sz w:val="18"/>
                      <w:szCs w:val="16"/>
                      <w:vertAlign w:val="superscript"/>
                    </w:rPr>
                    <w:t>−0.411</w:t>
                  </w:r>
                  <w:r w:rsidRPr="003D1F68">
                    <w:rPr>
                      <w:sz w:val="18"/>
                      <w:szCs w:val="16"/>
                    </w:rPr>
                    <w:t xml:space="preserve"> × (0.993)</w:t>
                  </w:r>
                  <w:r w:rsidRPr="003D1F68">
                    <w:rPr>
                      <w:sz w:val="18"/>
                      <w:szCs w:val="16"/>
                      <w:vertAlign w:val="superscript"/>
                    </w:rPr>
                    <w:t>Age</w:t>
                  </w:r>
                </w:p>
              </w:tc>
            </w:tr>
            <w:tr w:rsidR="00EC54E5" w:rsidRPr="003D1F68" w14:paraId="58454817" w14:textId="77777777" w:rsidTr="00BE29BE">
              <w:trPr>
                <w:trHeight w:val="184"/>
                <w:jc w:val="center"/>
              </w:trPr>
              <w:tc>
                <w:tcPr>
                  <w:tcW w:w="1099" w:type="dxa"/>
                </w:tcPr>
                <w:p w14:paraId="580DCA83" w14:textId="77777777" w:rsidR="00EC54E5" w:rsidRPr="003D1F68" w:rsidRDefault="00EC54E5" w:rsidP="00BE29BE">
                  <w:pPr>
                    <w:tabs>
                      <w:tab w:val="left" w:pos="176"/>
                      <w:tab w:val="left" w:pos="356"/>
                    </w:tabs>
                    <w:rPr>
                      <w:sz w:val="18"/>
                      <w:szCs w:val="16"/>
                    </w:rPr>
                  </w:pPr>
                </w:p>
              </w:tc>
              <w:tc>
                <w:tcPr>
                  <w:tcW w:w="2503" w:type="dxa"/>
                </w:tcPr>
                <w:p w14:paraId="241EE9DE" w14:textId="77777777" w:rsidR="00EC54E5" w:rsidRPr="003D1F68" w:rsidRDefault="00EC54E5" w:rsidP="00BE29BE">
                  <w:pPr>
                    <w:rPr>
                      <w:sz w:val="18"/>
                      <w:szCs w:val="16"/>
                    </w:rPr>
                  </w:pPr>
                  <w:r w:rsidRPr="003D1F68">
                    <w:rPr>
                      <w:sz w:val="18"/>
                      <w:szCs w:val="16"/>
                    </w:rPr>
                    <w:t>&gt;80 (&gt;0.9)</w:t>
                  </w:r>
                </w:p>
              </w:tc>
              <w:tc>
                <w:tcPr>
                  <w:tcW w:w="3247" w:type="dxa"/>
                </w:tcPr>
                <w:p w14:paraId="50FEC12A" w14:textId="77777777" w:rsidR="00EC54E5" w:rsidRPr="003D1F68" w:rsidRDefault="00EC54E5" w:rsidP="00BE29BE">
                  <w:pPr>
                    <w:rPr>
                      <w:rFonts w:eastAsia="Batang"/>
                      <w:sz w:val="18"/>
                      <w:szCs w:val="16"/>
                    </w:rPr>
                  </w:pPr>
                  <w:r w:rsidRPr="003D1F68">
                    <w:rPr>
                      <w:sz w:val="18"/>
                      <w:szCs w:val="16"/>
                    </w:rPr>
                    <w:t>GFR = 141 × (</w:t>
                  </w:r>
                  <w:proofErr w:type="spellStart"/>
                  <w:r w:rsidRPr="003D1F68">
                    <w:rPr>
                      <w:sz w:val="18"/>
                      <w:szCs w:val="16"/>
                    </w:rPr>
                    <w:t>S</w:t>
                  </w:r>
                  <w:r w:rsidR="00C93C6C">
                    <w:rPr>
                      <w:sz w:val="18"/>
                      <w:szCs w:val="16"/>
                    </w:rPr>
                    <w:t>C</w:t>
                  </w:r>
                  <w:r w:rsidRPr="003D1F68">
                    <w:rPr>
                      <w:sz w:val="18"/>
                      <w:szCs w:val="16"/>
                    </w:rPr>
                    <w:t>r</w:t>
                  </w:r>
                  <w:proofErr w:type="spellEnd"/>
                  <w:r w:rsidRPr="003D1F68">
                    <w:rPr>
                      <w:sz w:val="18"/>
                      <w:szCs w:val="16"/>
                    </w:rPr>
                    <w:t>/0.9)</w:t>
                  </w:r>
                  <w:r w:rsidRPr="003D1F68">
                    <w:rPr>
                      <w:sz w:val="18"/>
                      <w:szCs w:val="16"/>
                      <w:vertAlign w:val="superscript"/>
                    </w:rPr>
                    <w:t>−1.209</w:t>
                  </w:r>
                  <w:r w:rsidRPr="003D1F68">
                    <w:rPr>
                      <w:sz w:val="18"/>
                      <w:szCs w:val="16"/>
                    </w:rPr>
                    <w:t xml:space="preserve"> × (0.993)</w:t>
                  </w:r>
                  <w:r w:rsidRPr="003D1F68">
                    <w:rPr>
                      <w:sz w:val="18"/>
                      <w:szCs w:val="16"/>
                      <w:vertAlign w:val="superscript"/>
                    </w:rPr>
                    <w:t>Age</w:t>
                  </w:r>
                </w:p>
              </w:tc>
            </w:tr>
          </w:tbl>
          <w:p w14:paraId="74EB8068" w14:textId="77777777" w:rsidR="00EC54E5" w:rsidRPr="00062DD5" w:rsidRDefault="00EC54E5" w:rsidP="00BE29BE">
            <w:pPr>
              <w:pStyle w:val="TableParagraph"/>
              <w:ind w:left="462"/>
              <w:jc w:val="both"/>
              <w:rPr>
                <w:rFonts w:ascii="Times New Roman" w:hAnsi="Times New Roman" w:cs="Times New Roman"/>
                <w:spacing w:val="-1"/>
              </w:rPr>
            </w:pPr>
          </w:p>
          <w:p w14:paraId="09A9FEC2" w14:textId="77777777" w:rsidR="00762A2B" w:rsidRPr="00062DD5" w:rsidRDefault="00EC54E5" w:rsidP="00BE29BE">
            <w:pPr>
              <w:pStyle w:val="TableParagraph"/>
              <w:ind w:left="462"/>
              <w:jc w:val="both"/>
              <w:rPr>
                <w:rFonts w:ascii="Times New Roman" w:hAnsi="Times New Roman" w:cs="Times New Roman"/>
                <w:spacing w:val="-1"/>
              </w:rPr>
            </w:pPr>
            <w:proofErr w:type="spellStart"/>
            <w:r w:rsidRPr="00062DD5">
              <w:rPr>
                <w:rFonts w:ascii="Times New Roman" w:hAnsi="Times New Roman" w:cs="Times New Roman"/>
                <w:spacing w:val="-1"/>
              </w:rPr>
              <w:t>S</w:t>
            </w:r>
            <w:r w:rsidR="00C93C6C">
              <w:rPr>
                <w:rFonts w:ascii="Times New Roman" w:hAnsi="Times New Roman" w:cs="Times New Roman"/>
                <w:spacing w:val="-1"/>
              </w:rPr>
              <w:t>C</w:t>
            </w:r>
            <w:r w:rsidRPr="00062DD5">
              <w:rPr>
                <w:rFonts w:ascii="Times New Roman" w:hAnsi="Times New Roman" w:cs="Times New Roman"/>
                <w:spacing w:val="-1"/>
              </w:rPr>
              <w:t>r</w:t>
            </w:r>
            <w:proofErr w:type="spellEnd"/>
            <w:r w:rsidRPr="00062DD5">
              <w:rPr>
                <w:rFonts w:ascii="Times New Roman" w:hAnsi="Times New Roman" w:cs="Times New Roman"/>
                <w:spacing w:val="-1"/>
              </w:rPr>
              <w:t xml:space="preserve"> in mg/dL; Output is in mL/min/1.73</w:t>
            </w:r>
            <w:r w:rsidR="000C3F1E">
              <w:rPr>
                <w:rFonts w:ascii="Times New Roman" w:hAnsi="Times New Roman" w:cs="Times New Roman"/>
                <w:spacing w:val="-1"/>
              </w:rPr>
              <w:t xml:space="preserve"> </w:t>
            </w:r>
            <w:r w:rsidRPr="00062DD5">
              <w:rPr>
                <w:rFonts w:ascii="Times New Roman" w:hAnsi="Times New Roman" w:cs="Times New Roman"/>
                <w:spacing w:val="-1"/>
              </w:rPr>
              <w:t>m</w:t>
            </w:r>
            <w:r w:rsidRPr="00062DD5">
              <w:rPr>
                <w:rFonts w:ascii="Times New Roman" w:hAnsi="Times New Roman" w:cs="Times New Roman"/>
                <w:spacing w:val="-1"/>
                <w:vertAlign w:val="superscript"/>
              </w:rPr>
              <w:t>2</w:t>
            </w:r>
            <w:r w:rsidRPr="00062DD5">
              <w:rPr>
                <w:rFonts w:ascii="Times New Roman" w:hAnsi="Times New Roman" w:cs="Times New Roman"/>
                <w:spacing w:val="-1"/>
              </w:rPr>
              <w:t xml:space="preserve"> and needs no further conversions.</w:t>
            </w:r>
          </w:p>
          <w:p w14:paraId="599F1E62" w14:textId="77777777" w:rsidR="00EC54E5" w:rsidRPr="00062DD5" w:rsidRDefault="00EC54E5" w:rsidP="00BE29BE">
            <w:pPr>
              <w:pStyle w:val="TableParagraph"/>
              <w:ind w:left="462"/>
              <w:jc w:val="both"/>
            </w:pPr>
          </w:p>
        </w:tc>
      </w:tr>
      <w:tr w:rsidR="00EC54E5" w:rsidRPr="00062DD5" w14:paraId="11C61913" w14:textId="77777777" w:rsidTr="2E2E21C3">
        <w:trPr>
          <w:cantSplit/>
          <w:trHeight w:val="1374"/>
        </w:trPr>
        <w:tc>
          <w:tcPr>
            <w:tcW w:w="11709" w:type="dxa"/>
          </w:tcPr>
          <w:p w14:paraId="463DD48E" w14:textId="77777777" w:rsidR="00EC54E5" w:rsidRPr="00680639" w:rsidRDefault="00EC54E5" w:rsidP="00562B10">
            <w:pPr>
              <w:pStyle w:val="TableParagraph"/>
              <w:numPr>
                <w:ilvl w:val="0"/>
                <w:numId w:val="35"/>
              </w:numPr>
              <w:jc w:val="both"/>
              <w:rPr>
                <w:rFonts w:ascii="Times New Roman" w:hAnsi="Times New Roman" w:cs="Times New Roman"/>
                <w:spacing w:val="-1"/>
                <w:u w:val="single"/>
              </w:rPr>
            </w:pPr>
            <w:r w:rsidRPr="00680639">
              <w:rPr>
                <w:rFonts w:ascii="Times New Roman" w:hAnsi="Times New Roman" w:cs="Times New Roman"/>
                <w:spacing w:val="-1"/>
                <w:u w:val="single"/>
              </w:rPr>
              <w:t>eGFR using the Modification of Diet in Renal Disease (MDRD) Study (</w:t>
            </w:r>
            <w:r w:rsidR="00F45878">
              <w:rPr>
                <w:rFonts w:ascii="Times New Roman" w:hAnsi="Times New Roman" w:cs="Times New Roman"/>
                <w:spacing w:val="-1"/>
                <w:u w:val="single"/>
              </w:rPr>
              <w:t xml:space="preserve">Levey </w:t>
            </w:r>
            <w:r w:rsidR="00F45878" w:rsidRPr="00F45878">
              <w:rPr>
                <w:rFonts w:ascii="Times New Roman" w:hAnsi="Times New Roman" w:cs="Times New Roman"/>
                <w:i/>
                <w:spacing w:val="-1"/>
                <w:u w:val="single"/>
              </w:rPr>
              <w:t>et al</w:t>
            </w:r>
            <w:r w:rsidR="00F45878">
              <w:rPr>
                <w:rFonts w:ascii="Times New Roman" w:hAnsi="Times New Roman" w:cs="Times New Roman"/>
                <w:spacing w:val="-1"/>
                <w:u w:val="single"/>
              </w:rPr>
              <w:t>., 2006</w:t>
            </w:r>
            <w:r w:rsidRPr="00680639">
              <w:rPr>
                <w:rFonts w:ascii="Times New Roman" w:hAnsi="Times New Roman" w:cs="Times New Roman"/>
                <w:spacing w:val="-1"/>
                <w:u w:val="single"/>
              </w:rPr>
              <w:t>).</w:t>
            </w:r>
          </w:p>
          <w:p w14:paraId="4D10293F" w14:textId="77777777" w:rsidR="00575857" w:rsidRPr="00680639" w:rsidRDefault="00575857" w:rsidP="00BE29BE">
            <w:pPr>
              <w:pStyle w:val="TableParagraph"/>
              <w:ind w:left="720"/>
              <w:jc w:val="both"/>
              <w:rPr>
                <w:rFonts w:ascii="Times New Roman" w:hAnsi="Times New Roman" w:cs="Times New Roman"/>
                <w:spacing w:val="-1"/>
                <w:u w:val="single"/>
              </w:rPr>
            </w:pPr>
          </w:p>
          <w:p w14:paraId="000B31AE" w14:textId="77777777" w:rsidR="00EC54E5" w:rsidRPr="00062DD5" w:rsidRDefault="00EC54E5" w:rsidP="00BE29BE">
            <w:pPr>
              <w:pStyle w:val="TableParagraph"/>
              <w:ind w:left="462"/>
              <w:jc w:val="both"/>
              <w:rPr>
                <w:rFonts w:ascii="Times New Roman" w:hAnsi="Times New Roman" w:cs="Times New Roman"/>
                <w:spacing w:val="-1"/>
              </w:rPr>
            </w:pPr>
            <w:r w:rsidRPr="00062DD5">
              <w:rPr>
                <w:rFonts w:ascii="Times New Roman" w:hAnsi="Times New Roman" w:cs="Times New Roman"/>
                <w:spacing w:val="-1"/>
              </w:rPr>
              <w:t xml:space="preserve">175 x </w:t>
            </w:r>
            <w:proofErr w:type="spellStart"/>
            <w:r w:rsidRPr="00062DD5">
              <w:rPr>
                <w:rFonts w:ascii="Times New Roman" w:hAnsi="Times New Roman" w:cs="Times New Roman"/>
                <w:spacing w:val="-1"/>
              </w:rPr>
              <w:t>SCr</w:t>
            </w:r>
            <w:proofErr w:type="spellEnd"/>
            <w:r w:rsidRPr="00062DD5">
              <w:rPr>
                <w:rFonts w:ascii="Times New Roman" w:hAnsi="Times New Roman" w:cs="Times New Roman"/>
                <w:spacing w:val="-1"/>
                <w:vertAlign w:val="superscript"/>
              </w:rPr>
              <w:t>–1.154</w:t>
            </w:r>
            <w:r w:rsidRPr="00062DD5">
              <w:rPr>
                <w:rFonts w:ascii="Times New Roman" w:hAnsi="Times New Roman" w:cs="Times New Roman"/>
                <w:spacing w:val="-1"/>
              </w:rPr>
              <w:t xml:space="preserve"> </w:t>
            </w:r>
            <w:r w:rsidR="00135238">
              <w:rPr>
                <w:rFonts w:ascii="Times New Roman" w:hAnsi="Times New Roman" w:cs="Times New Roman"/>
                <w:spacing w:val="-1"/>
              </w:rPr>
              <w:t>×</w:t>
            </w:r>
            <w:r w:rsidRPr="00062DD5">
              <w:rPr>
                <w:rFonts w:ascii="Times New Roman" w:hAnsi="Times New Roman" w:cs="Times New Roman"/>
                <w:spacing w:val="-1"/>
              </w:rPr>
              <w:t xml:space="preserve"> age</w:t>
            </w:r>
            <w:r w:rsidRPr="00062DD5">
              <w:rPr>
                <w:rFonts w:ascii="Times New Roman" w:hAnsi="Times New Roman" w:cs="Times New Roman"/>
                <w:spacing w:val="-1"/>
                <w:vertAlign w:val="superscript"/>
              </w:rPr>
              <w:t>–0.203</w:t>
            </w:r>
            <w:r w:rsidRPr="00062DD5">
              <w:rPr>
                <w:rFonts w:ascii="Times New Roman" w:hAnsi="Times New Roman" w:cs="Times New Roman"/>
                <w:spacing w:val="-1"/>
              </w:rPr>
              <w:t xml:space="preserve"> </w:t>
            </w:r>
            <w:r w:rsidR="00135238">
              <w:rPr>
                <w:rFonts w:ascii="Times New Roman" w:hAnsi="Times New Roman" w:cs="Times New Roman"/>
                <w:spacing w:val="-1"/>
              </w:rPr>
              <w:t>×</w:t>
            </w:r>
            <w:r w:rsidRPr="00062DD5">
              <w:rPr>
                <w:rFonts w:ascii="Times New Roman" w:hAnsi="Times New Roman" w:cs="Times New Roman"/>
                <w:spacing w:val="-1"/>
              </w:rPr>
              <w:t xml:space="preserve"> 0.742 (if female) </w:t>
            </w:r>
            <w:r w:rsidR="00135238">
              <w:rPr>
                <w:rFonts w:ascii="Times New Roman" w:hAnsi="Times New Roman" w:cs="Times New Roman"/>
                <w:spacing w:val="-1"/>
              </w:rPr>
              <w:t>×</w:t>
            </w:r>
            <w:r w:rsidRPr="00062DD5">
              <w:rPr>
                <w:rFonts w:ascii="Times New Roman" w:hAnsi="Times New Roman" w:cs="Times New Roman"/>
                <w:spacing w:val="-1"/>
              </w:rPr>
              <w:t xml:space="preserve"> 1.212 (if black)</w:t>
            </w:r>
          </w:p>
          <w:p w14:paraId="487D80E1" w14:textId="77777777" w:rsidR="00EC54E5" w:rsidRPr="00062DD5" w:rsidRDefault="00EC54E5" w:rsidP="00BE29BE">
            <w:pPr>
              <w:pStyle w:val="TableParagraph"/>
              <w:ind w:left="462"/>
              <w:jc w:val="both"/>
            </w:pPr>
            <w:r w:rsidRPr="00062DD5">
              <w:rPr>
                <w:rFonts w:ascii="Times New Roman" w:hAnsi="Times New Roman" w:cs="Times New Roman"/>
                <w:spacing w:val="-1"/>
              </w:rPr>
              <w:t>Output is in mL/min/1.73</w:t>
            </w:r>
            <w:r w:rsidR="000C3F1E">
              <w:rPr>
                <w:rFonts w:ascii="Times New Roman" w:hAnsi="Times New Roman" w:cs="Times New Roman"/>
                <w:spacing w:val="-1"/>
              </w:rPr>
              <w:t xml:space="preserve"> </w:t>
            </w:r>
            <w:r w:rsidRPr="00062DD5">
              <w:rPr>
                <w:rFonts w:ascii="Times New Roman" w:hAnsi="Times New Roman" w:cs="Times New Roman"/>
                <w:spacing w:val="-1"/>
              </w:rPr>
              <w:t>m</w:t>
            </w:r>
            <w:r w:rsidRPr="00062DD5">
              <w:rPr>
                <w:rFonts w:ascii="Times New Roman" w:hAnsi="Times New Roman" w:cs="Times New Roman"/>
                <w:spacing w:val="-1"/>
                <w:vertAlign w:val="superscript"/>
              </w:rPr>
              <w:t>2</w:t>
            </w:r>
            <w:r w:rsidRPr="00062DD5">
              <w:rPr>
                <w:rFonts w:ascii="Times New Roman" w:hAnsi="Times New Roman" w:cs="Times New Roman"/>
                <w:spacing w:val="-1"/>
              </w:rPr>
              <w:t xml:space="preserve"> and needs no further conversions.</w:t>
            </w:r>
          </w:p>
        </w:tc>
      </w:tr>
      <w:tr w:rsidR="00EC54E5" w:rsidRPr="00062DD5" w14:paraId="39CC94B7" w14:textId="77777777" w:rsidTr="2E2E21C3">
        <w:trPr>
          <w:cantSplit/>
          <w:trHeight w:val="1571"/>
        </w:trPr>
        <w:tc>
          <w:tcPr>
            <w:tcW w:w="11709" w:type="dxa"/>
          </w:tcPr>
          <w:p w14:paraId="77BCAD24" w14:textId="77777777" w:rsidR="00EC54E5" w:rsidRPr="00680639" w:rsidRDefault="00EC54E5" w:rsidP="00562B10">
            <w:pPr>
              <w:pStyle w:val="TableParagraph"/>
              <w:numPr>
                <w:ilvl w:val="0"/>
                <w:numId w:val="35"/>
              </w:numPr>
              <w:jc w:val="both"/>
              <w:rPr>
                <w:rFonts w:ascii="Times New Roman" w:hAnsi="Times New Roman" w:cs="Times New Roman"/>
                <w:spacing w:val="-1"/>
                <w:u w:val="single"/>
              </w:rPr>
            </w:pPr>
            <w:r w:rsidRPr="00680639">
              <w:rPr>
                <w:rFonts w:ascii="Times New Roman" w:hAnsi="Times New Roman" w:cs="Times New Roman"/>
                <w:spacing w:val="-1"/>
                <w:u w:val="single"/>
              </w:rPr>
              <w:t>Estimated creatinine clearance (</w:t>
            </w:r>
            <w:proofErr w:type="spellStart"/>
            <w:r w:rsidRPr="00680639">
              <w:rPr>
                <w:rFonts w:ascii="Times New Roman" w:hAnsi="Times New Roman" w:cs="Times New Roman"/>
                <w:spacing w:val="-1"/>
                <w:u w:val="single"/>
              </w:rPr>
              <w:t>Cl</w:t>
            </w:r>
            <w:r w:rsidR="00C93C6C">
              <w:rPr>
                <w:rFonts w:ascii="Times New Roman" w:hAnsi="Times New Roman" w:cs="Times New Roman"/>
                <w:spacing w:val="-1"/>
                <w:u w:val="single"/>
              </w:rPr>
              <w:t>C</w:t>
            </w:r>
            <w:r w:rsidRPr="00680639">
              <w:rPr>
                <w:rFonts w:ascii="Times New Roman" w:hAnsi="Times New Roman" w:cs="Times New Roman"/>
                <w:spacing w:val="-1"/>
                <w:u w:val="single"/>
              </w:rPr>
              <w:t>r</w:t>
            </w:r>
            <w:proofErr w:type="spellEnd"/>
            <w:r w:rsidRPr="00680639">
              <w:rPr>
                <w:rFonts w:ascii="Times New Roman" w:hAnsi="Times New Roman" w:cs="Times New Roman"/>
                <w:spacing w:val="-1"/>
                <w:u w:val="single"/>
              </w:rPr>
              <w:t>) by the Cockcroft-Gault (C-G) equation (</w:t>
            </w:r>
            <w:r w:rsidR="00F45878">
              <w:rPr>
                <w:rFonts w:ascii="Times New Roman" w:hAnsi="Times New Roman" w:cs="Times New Roman"/>
                <w:spacing w:val="-1"/>
                <w:u w:val="single"/>
              </w:rPr>
              <w:t>Cockcroft and Gault, 1976</w:t>
            </w:r>
            <w:r w:rsidRPr="00680639">
              <w:rPr>
                <w:rFonts w:ascii="Times New Roman" w:hAnsi="Times New Roman" w:cs="Times New Roman"/>
                <w:spacing w:val="-1"/>
                <w:u w:val="single"/>
              </w:rPr>
              <w:t>).</w:t>
            </w:r>
          </w:p>
          <w:p w14:paraId="1C4B239C" w14:textId="77777777" w:rsidR="00EC54E5" w:rsidRPr="00680639" w:rsidRDefault="00EC54E5" w:rsidP="00BE29BE">
            <w:pPr>
              <w:pStyle w:val="TableParagraph"/>
              <w:ind w:left="462"/>
              <w:jc w:val="both"/>
              <w:rPr>
                <w:rFonts w:ascii="Times New Roman" w:hAnsi="Times New Roman" w:cs="Times New Roman"/>
                <w:spacing w:val="-1"/>
              </w:rPr>
            </w:pPr>
          </w:p>
          <w:p w14:paraId="09A1CFF2" w14:textId="77777777" w:rsidR="00EC54E5" w:rsidRPr="00680639" w:rsidRDefault="00EC54E5" w:rsidP="00BE29BE">
            <w:pPr>
              <w:pStyle w:val="TableParagraph"/>
              <w:ind w:left="462"/>
              <w:jc w:val="both"/>
              <w:rPr>
                <w:rFonts w:ascii="Times New Roman" w:hAnsi="Times New Roman" w:cs="Times New Roman"/>
                <w:spacing w:val="-1"/>
              </w:rPr>
            </w:pPr>
            <w:r w:rsidRPr="00680639">
              <w:rPr>
                <w:rFonts w:ascii="Times New Roman" w:hAnsi="Times New Roman" w:cs="Times New Roman"/>
                <w:noProof/>
                <w:spacing w:val="-1"/>
              </w:rPr>
              <w:drawing>
                <wp:inline distT="0" distB="0" distL="0" distR="0" wp14:anchorId="6FED368F" wp14:editId="7A5311D8">
                  <wp:extent cx="4512023" cy="42269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617014" cy="432531"/>
                          </a:xfrm>
                          <a:prstGeom prst="rect">
                            <a:avLst/>
                          </a:prstGeom>
                          <a:noFill/>
                          <a:ln>
                            <a:noFill/>
                          </a:ln>
                        </pic:spPr>
                      </pic:pic>
                    </a:graphicData>
                  </a:graphic>
                </wp:inline>
              </w:drawing>
            </w:r>
          </w:p>
          <w:p w14:paraId="1FB33A34" w14:textId="77777777" w:rsidR="00EC54E5" w:rsidRPr="00062DD5" w:rsidRDefault="00EC54E5" w:rsidP="00863D08">
            <w:pPr>
              <w:ind w:left="517"/>
            </w:pPr>
            <w:r w:rsidRPr="002D53F0">
              <w:rPr>
                <w:spacing w:val="-1"/>
                <w:sz w:val="22"/>
              </w:rPr>
              <w:t>Followed by conversion to a value normalized to 1.73</w:t>
            </w:r>
            <w:r w:rsidR="000C3F1E">
              <w:rPr>
                <w:spacing w:val="-1"/>
                <w:sz w:val="22"/>
              </w:rPr>
              <w:t xml:space="preserve"> </w:t>
            </w:r>
            <w:r w:rsidRPr="002D53F0">
              <w:rPr>
                <w:spacing w:val="-1"/>
                <w:sz w:val="22"/>
              </w:rPr>
              <w:t>m</w:t>
            </w:r>
            <w:r w:rsidRPr="002D53F0">
              <w:rPr>
                <w:spacing w:val="-1"/>
                <w:sz w:val="22"/>
                <w:vertAlign w:val="superscript"/>
              </w:rPr>
              <w:t>2</w:t>
            </w:r>
            <w:r w:rsidRPr="001F01AB">
              <w:rPr>
                <w:spacing w:val="-1"/>
                <w:sz w:val="22"/>
              </w:rPr>
              <w:t xml:space="preserve"> with the patient’s </w:t>
            </w:r>
            <w:r w:rsidR="00F45878">
              <w:rPr>
                <w:spacing w:val="-1"/>
                <w:sz w:val="22"/>
              </w:rPr>
              <w:t>body surface area (</w:t>
            </w:r>
            <w:r w:rsidRPr="001F01AB">
              <w:rPr>
                <w:spacing w:val="-1"/>
                <w:sz w:val="22"/>
              </w:rPr>
              <w:t>BSA</w:t>
            </w:r>
            <w:r w:rsidR="00F45878">
              <w:rPr>
                <w:spacing w:val="-1"/>
                <w:sz w:val="22"/>
              </w:rPr>
              <w:t>)</w:t>
            </w:r>
            <w:r w:rsidRPr="001F01AB">
              <w:rPr>
                <w:spacing w:val="-1"/>
                <w:sz w:val="22"/>
              </w:rPr>
              <w:t>.</w:t>
            </w:r>
          </w:p>
        </w:tc>
      </w:tr>
    </w:tbl>
    <w:p w14:paraId="7871F051" w14:textId="77777777" w:rsidR="003D1F68" w:rsidRDefault="003D1F68" w:rsidP="009E246E">
      <w:pPr>
        <w:jc w:val="center"/>
      </w:pPr>
    </w:p>
    <w:p w14:paraId="461D4A56" w14:textId="77777777" w:rsidR="00AD145C" w:rsidRPr="00492315" w:rsidRDefault="00AD145C" w:rsidP="000C3F1E">
      <w:pPr>
        <w:pStyle w:val="ListParagraph"/>
        <w:ind w:left="180"/>
      </w:pPr>
      <w:r w:rsidRPr="00492315">
        <w:rPr>
          <w:u w:val="single"/>
        </w:rPr>
        <w:t>References</w:t>
      </w:r>
    </w:p>
    <w:p w14:paraId="6CB9A945" w14:textId="77777777" w:rsidR="00EC54E5" w:rsidRPr="00492315" w:rsidRDefault="003D1F68" w:rsidP="00562B10">
      <w:pPr>
        <w:pStyle w:val="ListParagraph"/>
        <w:numPr>
          <w:ilvl w:val="0"/>
          <w:numId w:val="36"/>
        </w:numPr>
      </w:pPr>
      <w:r w:rsidRPr="00492315">
        <w:t xml:space="preserve">Levey, A.S., L.A. Stevens, C.H. Schmid, </w:t>
      </w:r>
      <w:r w:rsidRPr="00492315">
        <w:rPr>
          <w:i/>
        </w:rPr>
        <w:t>et al</w:t>
      </w:r>
      <w:r w:rsidRPr="00492315">
        <w:t>.  (2009).  A new equation to estimate glomerular filtration rate.</w:t>
      </w:r>
      <w:r w:rsidR="00BE29BE" w:rsidRPr="00492315">
        <w:t xml:space="preserve"> </w:t>
      </w:r>
      <w:r w:rsidRPr="00492315">
        <w:t xml:space="preserve"> </w:t>
      </w:r>
      <w:r w:rsidRPr="00492315">
        <w:rPr>
          <w:i/>
        </w:rPr>
        <w:t>Ann Inter Med</w:t>
      </w:r>
      <w:r w:rsidRPr="00492315">
        <w:t>.  150:604-612.</w:t>
      </w:r>
    </w:p>
    <w:p w14:paraId="299FA8B7" w14:textId="77777777" w:rsidR="003D1F68" w:rsidRPr="00492315" w:rsidRDefault="00AD145C" w:rsidP="00562B10">
      <w:pPr>
        <w:pStyle w:val="ListParagraph"/>
        <w:numPr>
          <w:ilvl w:val="0"/>
          <w:numId w:val="36"/>
        </w:numPr>
      </w:pPr>
      <w:r w:rsidRPr="00492315">
        <w:t xml:space="preserve">Levey, A.S., J. Coresh, </w:t>
      </w:r>
      <w:r w:rsidR="00BE29BE" w:rsidRPr="00492315">
        <w:t>T</w:t>
      </w:r>
      <w:r w:rsidRPr="00492315">
        <w:t xml:space="preserve">. Greene, </w:t>
      </w:r>
      <w:r w:rsidRPr="00492315">
        <w:rPr>
          <w:i/>
        </w:rPr>
        <w:t>et al</w:t>
      </w:r>
      <w:r w:rsidRPr="00492315">
        <w:t xml:space="preserve">.  (2006).  Using standardized serum creatinine values in the modification of diet in renal disease study equation for estimating glomerular filtration rate.  </w:t>
      </w:r>
      <w:r w:rsidRPr="00492315">
        <w:rPr>
          <w:i/>
        </w:rPr>
        <w:t>Ann Intern Med</w:t>
      </w:r>
      <w:r w:rsidRPr="00492315">
        <w:t>.  145:247-254.</w:t>
      </w:r>
    </w:p>
    <w:p w14:paraId="6D1836A4" w14:textId="77777777" w:rsidR="00F45878" w:rsidRDefault="00F45878" w:rsidP="00562B10">
      <w:pPr>
        <w:pStyle w:val="ListParagraph"/>
        <w:widowControl/>
        <w:numPr>
          <w:ilvl w:val="0"/>
          <w:numId w:val="36"/>
        </w:numPr>
      </w:pPr>
      <w:r w:rsidRPr="00492315">
        <w:t xml:space="preserve">Cockcroft, D.W. and M.H. Gault.  (1976).  Prediction of creatinine clearance from serum creatinine.  </w:t>
      </w:r>
      <w:r w:rsidRPr="00C1155F">
        <w:rPr>
          <w:i/>
        </w:rPr>
        <w:t>Nephron</w:t>
      </w:r>
      <w:r w:rsidRPr="00492315">
        <w:t>.  16:31-41.</w:t>
      </w:r>
      <w:r>
        <w:br w:type="page"/>
      </w:r>
    </w:p>
    <w:p w14:paraId="79AD362D" w14:textId="7B56188B" w:rsidR="009E246E" w:rsidRPr="00FA665B" w:rsidRDefault="009E246E" w:rsidP="00FE2096">
      <w:pPr>
        <w:pStyle w:val="Heading1"/>
        <w:numPr>
          <w:ilvl w:val="0"/>
          <w:numId w:val="0"/>
        </w:numPr>
        <w:ind w:left="180"/>
      </w:pPr>
      <w:bookmarkStart w:id="395" w:name="_APPENDIX_C_PATIENT"/>
      <w:bookmarkStart w:id="396" w:name="_Toc318813054"/>
      <w:bookmarkStart w:id="397" w:name="_Toc176419948"/>
      <w:bookmarkEnd w:id="395"/>
      <w:r w:rsidRPr="00FA665B">
        <w:lastRenderedPageBreak/>
        <w:t xml:space="preserve">APPENDIX </w:t>
      </w:r>
      <w:bookmarkEnd w:id="396"/>
      <w:r w:rsidR="00C16E40" w:rsidRPr="00FA665B">
        <w:t>C</w:t>
      </w:r>
      <w:r w:rsidRPr="00FA665B">
        <w:tab/>
      </w:r>
      <w:r w:rsidR="0099211F" w:rsidRPr="00FA665B">
        <w:t>P</w:t>
      </w:r>
      <w:r w:rsidR="00DC2EAC" w:rsidRPr="00FA665B">
        <w:t>ATIENT CLINICAL TRIAL WALLET CARD</w:t>
      </w:r>
      <w:bookmarkEnd w:id="397"/>
    </w:p>
    <w:p w14:paraId="05044720" w14:textId="77777777" w:rsidR="009E246E" w:rsidRPr="00EC0DCA" w:rsidRDefault="009E246E" w:rsidP="009E246E">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rPr>
          <w:b/>
        </w:rPr>
      </w:pPr>
      <w:bookmarkStart w:id="398" w:name="_Hlk4502542"/>
    </w:p>
    <w:p w14:paraId="0326FE8C" w14:textId="14ECFDF4" w:rsidR="00FE0FB4" w:rsidRPr="000F42DE" w:rsidRDefault="00FE0FB4" w:rsidP="00FE0FB4">
      <w:pPr>
        <w:tabs>
          <w:tab w:val="left" w:pos="0"/>
          <w:tab w:val="left" w:pos="552"/>
          <w:tab w:val="left" w:pos="1080"/>
          <w:tab w:val="left" w:pos="2160"/>
          <w:tab w:val="left" w:pos="2880"/>
          <w:tab w:val="left" w:pos="3600"/>
          <w:tab w:val="left" w:pos="4320"/>
          <w:tab w:val="left" w:pos="5040"/>
          <w:tab w:val="left" w:pos="5760"/>
          <w:tab w:val="left" w:pos="6300"/>
          <w:tab w:val="left" w:pos="6480"/>
        </w:tabs>
        <w:suppressAutoHyphens/>
      </w:pPr>
      <w:bookmarkStart w:id="399" w:name="_Hlk531702779"/>
      <w:bookmarkStart w:id="400" w:name="_Hlk531702780"/>
    </w:p>
    <w:p w14:paraId="6FA95C30" w14:textId="77777777" w:rsidR="00946A3F" w:rsidRDefault="00946A3F" w:rsidP="007465BE">
      <w:pPr>
        <w:ind w:left="2160"/>
        <w:rPr>
          <w:i/>
        </w:rPr>
      </w:pPr>
      <w:r>
        <w:rPr>
          <w:rFonts w:cs="Calibri"/>
          <w:b/>
          <w:caps/>
          <w:noProof/>
          <w:color w:val="365F91" w:themeColor="accent1" w:themeShade="BF"/>
          <w:sz w:val="18"/>
        </w:rPr>
        <w:drawing>
          <wp:inline distT="0" distB="0" distL="0" distR="0" wp14:anchorId="3ED4280B" wp14:editId="6C10FE04">
            <wp:extent cx="386080" cy="30289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issor.png"/>
                    <pic:cNvPicPr/>
                  </pic:nvPicPr>
                  <pic:blipFill rotWithShape="1">
                    <a:blip r:embed="rId95" cstate="print">
                      <a:extLst>
                        <a:ext uri="{28A0092B-C50C-407E-A947-70E740481C1C}">
                          <a14:useLocalDpi xmlns:a14="http://schemas.microsoft.com/office/drawing/2010/main" val="0"/>
                        </a:ext>
                      </a:extLst>
                    </a:blip>
                    <a:srcRect b="21474"/>
                    <a:stretch/>
                  </pic:blipFill>
                  <pic:spPr bwMode="auto">
                    <a:xfrm>
                      <a:off x="0" y="0"/>
                      <a:ext cx="386080" cy="302895"/>
                    </a:xfrm>
                    <a:prstGeom prst="rect">
                      <a:avLst/>
                    </a:prstGeom>
                    <a:ln>
                      <a:noFill/>
                    </a:ln>
                    <a:extLst>
                      <a:ext uri="{53640926-AAD7-44D8-BBD7-CCE9431645EC}">
                        <a14:shadowObscured xmlns:a14="http://schemas.microsoft.com/office/drawing/2010/main"/>
                      </a:ext>
                    </a:extLst>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tblGrid>
      <w:tr w:rsidR="00946A3F" w:rsidRPr="00E95FD9" w14:paraId="47C0A441" w14:textId="77777777" w:rsidTr="2E2E21C3">
        <w:trPr>
          <w:trHeight w:val="341"/>
        </w:trPr>
        <w:tc>
          <w:tcPr>
            <w:tcW w:w="2754" w:type="dxa"/>
            <w:tcBorders>
              <w:top w:val="single" w:sz="24" w:space="0" w:color="D9D9D9" w:themeColor="background1" w:themeShade="D9"/>
              <w:left w:val="single" w:sz="24" w:space="0" w:color="D9D9D9" w:themeColor="background1" w:themeShade="D9"/>
              <w:bottom w:val="nil"/>
              <w:right w:val="single" w:sz="24" w:space="0" w:color="D9D9D9" w:themeColor="background1" w:themeShade="D9"/>
            </w:tcBorders>
            <w:shd w:val="clear" w:color="auto" w:fill="auto"/>
            <w:vAlign w:val="center"/>
          </w:tcPr>
          <w:p w14:paraId="4F4290FA" w14:textId="77777777" w:rsidR="00946A3F" w:rsidRPr="00E95FD9" w:rsidRDefault="00946A3F" w:rsidP="000D060B">
            <w:pPr>
              <w:keepNext/>
              <w:keepLines/>
              <w:jc w:val="center"/>
              <w:rPr>
                <w:rFonts w:asciiTheme="minorHAnsi" w:hAnsiTheme="minorHAnsi" w:cs="Calibri"/>
                <w:b/>
                <w:caps/>
                <w:sz w:val="18"/>
              </w:rPr>
            </w:pPr>
            <w:bookmarkStart w:id="401" w:name="_Hlk535421445"/>
            <w:r>
              <w:rPr>
                <w:noProof/>
              </w:rPr>
              <w:drawing>
                <wp:inline distT="0" distB="0" distL="0" distR="0" wp14:anchorId="62EDDF5B" wp14:editId="3658BF69">
                  <wp:extent cx="1600200" cy="152019"/>
                  <wp:effectExtent l="0" t="0" r="0" b="635"/>
                  <wp:docPr id="1685727441" name="Picture 1685727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96">
                            <a:extLst>
                              <a:ext uri="{28A0092B-C50C-407E-A947-70E740481C1C}">
                                <a14:useLocalDpi xmlns:a14="http://schemas.microsoft.com/office/drawing/2010/main" val="0"/>
                              </a:ext>
                            </a:extLst>
                          </a:blip>
                          <a:stretch>
                            <a:fillRect/>
                          </a:stretch>
                        </pic:blipFill>
                        <pic:spPr>
                          <a:xfrm>
                            <a:off x="0" y="0"/>
                            <a:ext cx="1600200" cy="152019"/>
                          </a:xfrm>
                          <a:prstGeom prst="rect">
                            <a:avLst/>
                          </a:prstGeom>
                        </pic:spPr>
                      </pic:pic>
                    </a:graphicData>
                  </a:graphic>
                </wp:inline>
              </w:drawing>
            </w:r>
          </w:p>
        </w:tc>
      </w:tr>
      <w:tr w:rsidR="00946A3F" w:rsidRPr="00E95FD9" w14:paraId="3AFA5151" w14:textId="77777777" w:rsidTr="2E2E21C3">
        <w:tc>
          <w:tcPr>
            <w:tcW w:w="2754" w:type="dxa"/>
            <w:tcBorders>
              <w:top w:val="nil"/>
              <w:left w:val="single" w:sz="24" w:space="0" w:color="D9D9D9" w:themeColor="background1" w:themeShade="D9"/>
              <w:bottom w:val="single" w:sz="18" w:space="0" w:color="7F7F7F" w:themeColor="text1" w:themeTint="80"/>
              <w:right w:val="single" w:sz="24" w:space="0" w:color="D9D9D9" w:themeColor="background1" w:themeShade="D9"/>
            </w:tcBorders>
            <w:shd w:val="clear" w:color="auto" w:fill="auto"/>
            <w:vAlign w:val="center"/>
          </w:tcPr>
          <w:p w14:paraId="446A3EDC" w14:textId="3099384A" w:rsidR="00946A3F" w:rsidRPr="00E95FD9" w:rsidRDefault="00946A3F" w:rsidP="000D060B">
            <w:pPr>
              <w:keepNext/>
              <w:keepLines/>
              <w:jc w:val="center"/>
              <w:rPr>
                <w:rFonts w:asciiTheme="minorHAnsi" w:hAnsiTheme="minorHAnsi" w:cs="Calibri"/>
                <w:b/>
                <w:caps/>
                <w:color w:val="365F91" w:themeColor="accent1" w:themeShade="BF"/>
                <w:sz w:val="18"/>
              </w:rPr>
            </w:pPr>
            <w:r w:rsidRPr="00E95FD9">
              <w:rPr>
                <w:rFonts w:asciiTheme="minorHAnsi" w:hAnsiTheme="minorHAnsi" w:cs="Calibri"/>
                <w:b/>
                <w:caps/>
                <w:color w:val="365F91" w:themeColor="accent1" w:themeShade="BF"/>
                <w:sz w:val="18"/>
              </w:rPr>
              <w:t>clini</w:t>
            </w:r>
            <w:r w:rsidR="00482373" w:rsidRPr="00E95FD9">
              <w:rPr>
                <w:rFonts w:asciiTheme="minorHAnsi" w:hAnsiTheme="minorHAnsi" w:cs="Calibri"/>
                <w:b/>
                <w:caps/>
                <w:color w:val="365F91" w:themeColor="accent1" w:themeShade="BF"/>
                <w:sz w:val="18"/>
              </w:rPr>
              <w:t>C</w:t>
            </w:r>
            <w:r w:rsidRPr="00E95FD9">
              <w:rPr>
                <w:rFonts w:asciiTheme="minorHAnsi" w:hAnsiTheme="minorHAnsi" w:cs="Calibri"/>
                <w:b/>
                <w:caps/>
                <w:color w:val="365F91" w:themeColor="accent1" w:themeShade="BF"/>
                <w:sz w:val="18"/>
              </w:rPr>
              <w:t>al trial wallet card</w:t>
            </w:r>
          </w:p>
        </w:tc>
      </w:tr>
      <w:tr w:rsidR="00946A3F" w:rsidRPr="00E95FD9" w14:paraId="3503D962" w14:textId="77777777" w:rsidTr="2E2E21C3">
        <w:trPr>
          <w:trHeight w:val="1295"/>
        </w:trPr>
        <w:tc>
          <w:tcPr>
            <w:tcW w:w="2754" w:type="dxa"/>
            <w:tcBorders>
              <w:top w:val="single" w:sz="18" w:space="0" w:color="7F7F7F" w:themeColor="text1" w:themeTint="80"/>
              <w:left w:val="single" w:sz="24" w:space="0" w:color="D9D9D9" w:themeColor="background1" w:themeShade="D9"/>
              <w:bottom w:val="single" w:sz="18" w:space="0" w:color="7F7F7F" w:themeColor="text1" w:themeTint="80"/>
              <w:right w:val="single" w:sz="24" w:space="0" w:color="D9D9D9" w:themeColor="background1" w:themeShade="D9"/>
            </w:tcBorders>
            <w:shd w:val="clear" w:color="auto" w:fill="F2F2F2" w:themeFill="background1" w:themeFillShade="F2"/>
          </w:tcPr>
          <w:p w14:paraId="300E70A3" w14:textId="77777777" w:rsidR="00946A3F" w:rsidRPr="00E95FD9" w:rsidRDefault="00946A3F" w:rsidP="007465BE">
            <w:pPr>
              <w:keepNext/>
              <w:keepLines/>
              <w:spacing w:before="140"/>
              <w:jc w:val="center"/>
              <w:rPr>
                <w:rFonts w:asciiTheme="minorHAnsi" w:hAnsiTheme="minorHAnsi" w:cs="Calibri"/>
                <w:b/>
                <w:caps/>
                <w:sz w:val="20"/>
              </w:rPr>
            </w:pPr>
            <w:r w:rsidRPr="00E95FD9">
              <w:rPr>
                <w:rFonts w:asciiTheme="minorHAnsi" w:hAnsiTheme="minorHAnsi" w:cs="Calibri"/>
                <w:b/>
                <w:sz w:val="20"/>
              </w:rPr>
              <w:t>Show this card to all of your healthcare providers and keep it with you in case you go to the emergency room.</w:t>
            </w:r>
          </w:p>
        </w:tc>
      </w:tr>
      <w:tr w:rsidR="00946A3F" w:rsidRPr="00E95FD9" w14:paraId="67DD1029" w14:textId="77777777" w:rsidTr="2E2E21C3">
        <w:trPr>
          <w:trHeight w:val="288"/>
        </w:trPr>
        <w:tc>
          <w:tcPr>
            <w:tcW w:w="2754" w:type="dxa"/>
            <w:tcBorders>
              <w:top w:val="single" w:sz="18" w:space="0" w:color="7F7F7F" w:themeColor="text1" w:themeTint="80"/>
              <w:left w:val="single" w:sz="24" w:space="0" w:color="D9D9D9" w:themeColor="background1" w:themeShade="D9"/>
              <w:right w:val="single" w:sz="24" w:space="0" w:color="D9D9D9" w:themeColor="background1" w:themeShade="D9"/>
            </w:tcBorders>
            <w:shd w:val="clear" w:color="auto" w:fill="F2F2F2" w:themeFill="background1" w:themeFillShade="F2"/>
            <w:vAlign w:val="center"/>
          </w:tcPr>
          <w:p w14:paraId="6FB758F8" w14:textId="0C8CDA7B" w:rsidR="00946A3F" w:rsidRPr="00E95FD9" w:rsidRDefault="00946A3F" w:rsidP="007465BE">
            <w:pPr>
              <w:keepNext/>
              <w:keepLines/>
              <w:rPr>
                <w:rFonts w:asciiTheme="minorHAnsi" w:hAnsiTheme="minorHAnsi" w:cs="Calibri"/>
                <w:b/>
                <w:caps/>
                <w:sz w:val="14"/>
              </w:rPr>
            </w:pPr>
            <w:r w:rsidRPr="00E95FD9">
              <w:rPr>
                <w:rFonts w:asciiTheme="minorHAnsi" w:hAnsiTheme="minorHAnsi" w:cs="Calibri"/>
                <w:b/>
                <w:sz w:val="14"/>
              </w:rPr>
              <w:t xml:space="preserve">Patient Name:  </w:t>
            </w:r>
            <w:r w:rsidRPr="00E95FD9">
              <w:rPr>
                <w:rFonts w:asciiTheme="minorHAnsi" w:hAnsiTheme="minorHAnsi" w:cs="Calibri"/>
                <w:color w:val="1F497D" w:themeColor="text2"/>
                <w:sz w:val="14"/>
              </w:rPr>
              <w:fldChar w:fldCharType="begin">
                <w:ffData>
                  <w:name w:val="Text7"/>
                  <w:enabled/>
                  <w:calcOnExit w:val="0"/>
                  <w:textInput/>
                </w:ffData>
              </w:fldChar>
            </w:r>
            <w:r w:rsidRPr="00E95FD9">
              <w:rPr>
                <w:rFonts w:asciiTheme="minorHAnsi" w:hAnsiTheme="minorHAnsi" w:cs="Calibri"/>
                <w:color w:val="1F497D" w:themeColor="text2"/>
                <w:sz w:val="14"/>
              </w:rPr>
              <w:instrText xml:space="preserve"> FORMTEXT </w:instrText>
            </w:r>
            <w:r w:rsidRPr="00E95FD9">
              <w:rPr>
                <w:rFonts w:asciiTheme="minorHAnsi" w:hAnsiTheme="minorHAnsi" w:cs="Calibri"/>
                <w:color w:val="1F497D" w:themeColor="text2"/>
                <w:sz w:val="14"/>
              </w:rPr>
            </w:r>
            <w:r w:rsidRPr="00E95FD9">
              <w:rPr>
                <w:rFonts w:asciiTheme="minorHAnsi" w:hAnsiTheme="minorHAnsi" w:cs="Calibri"/>
                <w:color w:val="1F497D" w:themeColor="text2"/>
                <w:sz w:val="14"/>
              </w:rPr>
              <w:fldChar w:fldCharType="separate"/>
            </w:r>
            <w:r w:rsidR="009C0D42">
              <w:rPr>
                <w:rFonts w:asciiTheme="minorHAnsi" w:hAnsiTheme="minorHAnsi" w:cs="Calibri"/>
                <w:noProof/>
                <w:color w:val="1F497D" w:themeColor="text2"/>
                <w:sz w:val="14"/>
              </w:rPr>
              <w:t> </w:t>
            </w:r>
            <w:r w:rsidR="009C0D42">
              <w:rPr>
                <w:rFonts w:asciiTheme="minorHAnsi" w:hAnsiTheme="minorHAnsi" w:cs="Calibri"/>
                <w:noProof/>
                <w:color w:val="1F497D" w:themeColor="text2"/>
                <w:sz w:val="14"/>
              </w:rPr>
              <w:t> </w:t>
            </w:r>
            <w:r w:rsidR="009C0D42">
              <w:rPr>
                <w:rFonts w:asciiTheme="minorHAnsi" w:hAnsiTheme="minorHAnsi" w:cs="Calibri"/>
                <w:noProof/>
                <w:color w:val="1F497D" w:themeColor="text2"/>
                <w:sz w:val="14"/>
              </w:rPr>
              <w:t> </w:t>
            </w:r>
            <w:r w:rsidR="009C0D42">
              <w:rPr>
                <w:rFonts w:asciiTheme="minorHAnsi" w:hAnsiTheme="minorHAnsi" w:cs="Calibri"/>
                <w:noProof/>
                <w:color w:val="1F497D" w:themeColor="text2"/>
                <w:sz w:val="14"/>
              </w:rPr>
              <w:t> </w:t>
            </w:r>
            <w:r w:rsidR="009C0D42">
              <w:rPr>
                <w:rFonts w:asciiTheme="minorHAnsi" w:hAnsiTheme="minorHAnsi" w:cs="Calibri"/>
                <w:noProof/>
                <w:color w:val="1F497D" w:themeColor="text2"/>
                <w:sz w:val="14"/>
              </w:rPr>
              <w:t> </w:t>
            </w:r>
            <w:r w:rsidRPr="00E95FD9">
              <w:rPr>
                <w:rFonts w:asciiTheme="minorHAnsi" w:hAnsiTheme="minorHAnsi" w:cs="Calibri"/>
                <w:color w:val="1F497D" w:themeColor="text2"/>
                <w:sz w:val="14"/>
              </w:rPr>
              <w:fldChar w:fldCharType="end"/>
            </w:r>
          </w:p>
        </w:tc>
      </w:tr>
      <w:tr w:rsidR="00946A3F" w:rsidRPr="00E95FD9" w14:paraId="78ED5CDF" w14:textId="77777777" w:rsidTr="2E2E21C3">
        <w:trPr>
          <w:trHeight w:val="288"/>
        </w:trPr>
        <w:tc>
          <w:tcPr>
            <w:tcW w:w="2754" w:type="dxa"/>
            <w:tcBorders>
              <w:left w:val="single" w:sz="24" w:space="0" w:color="D9D9D9" w:themeColor="background1" w:themeShade="D9"/>
              <w:right w:val="single" w:sz="24" w:space="0" w:color="D9D9D9" w:themeColor="background1" w:themeShade="D9"/>
            </w:tcBorders>
            <w:shd w:val="clear" w:color="auto" w:fill="auto"/>
            <w:vAlign w:val="center"/>
          </w:tcPr>
          <w:p w14:paraId="26C1EEA8" w14:textId="14C33A5E" w:rsidR="00946A3F" w:rsidRPr="00E95FD9" w:rsidRDefault="00946A3F" w:rsidP="007465BE">
            <w:pPr>
              <w:keepNext/>
              <w:keepLines/>
              <w:rPr>
                <w:rFonts w:asciiTheme="minorHAnsi" w:hAnsiTheme="minorHAnsi" w:cs="Calibri"/>
                <w:b/>
                <w:caps/>
                <w:sz w:val="14"/>
              </w:rPr>
            </w:pPr>
            <w:r w:rsidRPr="00E95FD9">
              <w:rPr>
                <w:rFonts w:asciiTheme="minorHAnsi" w:hAnsiTheme="minorHAnsi" w:cs="Calibri"/>
                <w:b/>
                <w:sz w:val="14"/>
              </w:rPr>
              <w:t xml:space="preserve">Diagnosis:  </w:t>
            </w:r>
            <w:r w:rsidRPr="00E95FD9">
              <w:rPr>
                <w:rFonts w:asciiTheme="minorHAnsi" w:hAnsiTheme="minorHAnsi" w:cs="Calibri"/>
                <w:color w:val="1F497D" w:themeColor="text2"/>
                <w:sz w:val="14"/>
              </w:rPr>
              <w:fldChar w:fldCharType="begin">
                <w:ffData>
                  <w:name w:val="Text8"/>
                  <w:enabled/>
                  <w:calcOnExit w:val="0"/>
                  <w:textInput/>
                </w:ffData>
              </w:fldChar>
            </w:r>
            <w:r w:rsidRPr="00E95FD9">
              <w:rPr>
                <w:rFonts w:asciiTheme="minorHAnsi" w:hAnsiTheme="minorHAnsi" w:cs="Calibri"/>
                <w:color w:val="1F497D" w:themeColor="text2"/>
                <w:sz w:val="14"/>
              </w:rPr>
              <w:instrText xml:space="preserve"> FORMTEXT </w:instrText>
            </w:r>
            <w:r w:rsidRPr="00E95FD9">
              <w:rPr>
                <w:rFonts w:asciiTheme="minorHAnsi" w:hAnsiTheme="minorHAnsi" w:cs="Calibri"/>
                <w:color w:val="1F497D" w:themeColor="text2"/>
                <w:sz w:val="14"/>
              </w:rPr>
            </w:r>
            <w:r w:rsidRPr="00E95FD9">
              <w:rPr>
                <w:rFonts w:asciiTheme="minorHAnsi" w:hAnsiTheme="minorHAnsi" w:cs="Calibri"/>
                <w:color w:val="1F497D" w:themeColor="text2"/>
                <w:sz w:val="14"/>
              </w:rPr>
              <w:fldChar w:fldCharType="separate"/>
            </w:r>
            <w:r w:rsidR="009C0D42">
              <w:rPr>
                <w:rFonts w:asciiTheme="minorHAnsi" w:hAnsiTheme="minorHAnsi" w:cs="Calibri"/>
                <w:noProof/>
                <w:color w:val="1F497D" w:themeColor="text2"/>
                <w:sz w:val="14"/>
              </w:rPr>
              <w:t> </w:t>
            </w:r>
            <w:r w:rsidR="009C0D42">
              <w:rPr>
                <w:rFonts w:asciiTheme="minorHAnsi" w:hAnsiTheme="minorHAnsi" w:cs="Calibri"/>
                <w:noProof/>
                <w:color w:val="1F497D" w:themeColor="text2"/>
                <w:sz w:val="14"/>
              </w:rPr>
              <w:t> </w:t>
            </w:r>
            <w:r w:rsidR="009C0D42">
              <w:rPr>
                <w:rFonts w:asciiTheme="minorHAnsi" w:hAnsiTheme="minorHAnsi" w:cs="Calibri"/>
                <w:noProof/>
                <w:color w:val="1F497D" w:themeColor="text2"/>
                <w:sz w:val="14"/>
              </w:rPr>
              <w:t> </w:t>
            </w:r>
            <w:r w:rsidR="009C0D42">
              <w:rPr>
                <w:rFonts w:asciiTheme="minorHAnsi" w:hAnsiTheme="minorHAnsi" w:cs="Calibri"/>
                <w:noProof/>
                <w:color w:val="1F497D" w:themeColor="text2"/>
                <w:sz w:val="14"/>
              </w:rPr>
              <w:t> </w:t>
            </w:r>
            <w:r w:rsidR="009C0D42">
              <w:rPr>
                <w:rFonts w:asciiTheme="minorHAnsi" w:hAnsiTheme="minorHAnsi" w:cs="Calibri"/>
                <w:noProof/>
                <w:color w:val="1F497D" w:themeColor="text2"/>
                <w:sz w:val="14"/>
              </w:rPr>
              <w:t> </w:t>
            </w:r>
            <w:r w:rsidRPr="00E95FD9">
              <w:rPr>
                <w:rFonts w:asciiTheme="minorHAnsi" w:hAnsiTheme="minorHAnsi" w:cs="Calibri"/>
                <w:color w:val="1F497D" w:themeColor="text2"/>
                <w:sz w:val="14"/>
              </w:rPr>
              <w:fldChar w:fldCharType="end"/>
            </w:r>
          </w:p>
        </w:tc>
      </w:tr>
      <w:tr w:rsidR="00946A3F" w:rsidRPr="00E95FD9" w14:paraId="336A9BBA" w14:textId="77777777" w:rsidTr="2E2E21C3">
        <w:trPr>
          <w:trHeight w:val="288"/>
        </w:trPr>
        <w:tc>
          <w:tcPr>
            <w:tcW w:w="2754" w:type="dxa"/>
            <w:tcBorders>
              <w:left w:val="single" w:sz="24" w:space="0" w:color="D9D9D9" w:themeColor="background1" w:themeShade="D9"/>
              <w:right w:val="single" w:sz="24" w:space="0" w:color="D9D9D9" w:themeColor="background1" w:themeShade="D9"/>
            </w:tcBorders>
            <w:shd w:val="clear" w:color="auto" w:fill="F2F2F2" w:themeFill="background1" w:themeFillShade="F2"/>
            <w:vAlign w:val="center"/>
          </w:tcPr>
          <w:p w14:paraId="4510DFE8" w14:textId="2431EAE4" w:rsidR="00946A3F" w:rsidRPr="00E95FD9" w:rsidRDefault="00946A3F" w:rsidP="007465BE">
            <w:pPr>
              <w:keepNext/>
              <w:keepLines/>
              <w:rPr>
                <w:rFonts w:asciiTheme="minorHAnsi" w:hAnsiTheme="minorHAnsi" w:cs="Calibri"/>
                <w:b/>
                <w:caps/>
                <w:sz w:val="14"/>
              </w:rPr>
            </w:pPr>
            <w:r w:rsidRPr="00E95FD9">
              <w:rPr>
                <w:rFonts w:asciiTheme="minorHAnsi" w:hAnsiTheme="minorHAnsi" w:cs="Calibri"/>
                <w:b/>
                <w:sz w:val="14"/>
              </w:rPr>
              <w:t xml:space="preserve">Study Doctor: </w:t>
            </w:r>
            <w:r w:rsidRPr="00E95FD9">
              <w:rPr>
                <w:rFonts w:asciiTheme="minorHAnsi" w:hAnsiTheme="minorHAnsi" w:cs="Calibri"/>
                <w:color w:val="1F497D" w:themeColor="text2"/>
                <w:sz w:val="14"/>
              </w:rPr>
              <w:fldChar w:fldCharType="begin">
                <w:ffData>
                  <w:name w:val="Text9"/>
                  <w:enabled/>
                  <w:calcOnExit w:val="0"/>
                  <w:textInput/>
                </w:ffData>
              </w:fldChar>
            </w:r>
            <w:r w:rsidRPr="00E95FD9">
              <w:rPr>
                <w:rFonts w:asciiTheme="minorHAnsi" w:hAnsiTheme="minorHAnsi" w:cs="Calibri"/>
                <w:color w:val="1F497D" w:themeColor="text2"/>
                <w:sz w:val="14"/>
              </w:rPr>
              <w:instrText xml:space="preserve"> FORMTEXT </w:instrText>
            </w:r>
            <w:r w:rsidRPr="00E95FD9">
              <w:rPr>
                <w:rFonts w:asciiTheme="minorHAnsi" w:hAnsiTheme="minorHAnsi" w:cs="Calibri"/>
                <w:color w:val="1F497D" w:themeColor="text2"/>
                <w:sz w:val="14"/>
              </w:rPr>
            </w:r>
            <w:r w:rsidRPr="00E95FD9">
              <w:rPr>
                <w:rFonts w:asciiTheme="minorHAnsi" w:hAnsiTheme="minorHAnsi" w:cs="Calibri"/>
                <w:color w:val="1F497D" w:themeColor="text2"/>
                <w:sz w:val="14"/>
              </w:rPr>
              <w:fldChar w:fldCharType="separate"/>
            </w:r>
            <w:r w:rsidR="009C0D42">
              <w:rPr>
                <w:rFonts w:asciiTheme="minorHAnsi" w:hAnsiTheme="minorHAnsi" w:cs="Calibri"/>
                <w:noProof/>
                <w:color w:val="1F497D" w:themeColor="text2"/>
                <w:sz w:val="14"/>
              </w:rPr>
              <w:t> </w:t>
            </w:r>
            <w:r w:rsidR="009C0D42">
              <w:rPr>
                <w:rFonts w:asciiTheme="minorHAnsi" w:hAnsiTheme="minorHAnsi" w:cs="Calibri"/>
                <w:noProof/>
                <w:color w:val="1F497D" w:themeColor="text2"/>
                <w:sz w:val="14"/>
              </w:rPr>
              <w:t> </w:t>
            </w:r>
            <w:r w:rsidR="009C0D42">
              <w:rPr>
                <w:rFonts w:asciiTheme="minorHAnsi" w:hAnsiTheme="minorHAnsi" w:cs="Calibri"/>
                <w:noProof/>
                <w:color w:val="1F497D" w:themeColor="text2"/>
                <w:sz w:val="14"/>
              </w:rPr>
              <w:t> </w:t>
            </w:r>
            <w:r w:rsidR="009C0D42">
              <w:rPr>
                <w:rFonts w:asciiTheme="minorHAnsi" w:hAnsiTheme="minorHAnsi" w:cs="Calibri"/>
                <w:noProof/>
                <w:color w:val="1F497D" w:themeColor="text2"/>
                <w:sz w:val="14"/>
              </w:rPr>
              <w:t> </w:t>
            </w:r>
            <w:r w:rsidR="009C0D42">
              <w:rPr>
                <w:rFonts w:asciiTheme="minorHAnsi" w:hAnsiTheme="minorHAnsi" w:cs="Calibri"/>
                <w:noProof/>
                <w:color w:val="1F497D" w:themeColor="text2"/>
                <w:sz w:val="14"/>
              </w:rPr>
              <w:t> </w:t>
            </w:r>
            <w:r w:rsidRPr="00E95FD9">
              <w:rPr>
                <w:rFonts w:asciiTheme="minorHAnsi" w:hAnsiTheme="minorHAnsi" w:cs="Calibri"/>
                <w:color w:val="1F497D" w:themeColor="text2"/>
                <w:sz w:val="14"/>
              </w:rPr>
              <w:fldChar w:fldCharType="end"/>
            </w:r>
          </w:p>
        </w:tc>
      </w:tr>
      <w:tr w:rsidR="00946A3F" w:rsidRPr="00E95FD9" w14:paraId="3AD42916" w14:textId="77777777" w:rsidTr="2E2E21C3">
        <w:trPr>
          <w:trHeight w:val="288"/>
        </w:trPr>
        <w:tc>
          <w:tcPr>
            <w:tcW w:w="2754" w:type="dxa"/>
            <w:tcBorders>
              <w:left w:val="single" w:sz="24" w:space="0" w:color="D9D9D9" w:themeColor="background1" w:themeShade="D9"/>
              <w:right w:val="single" w:sz="24" w:space="0" w:color="D9D9D9" w:themeColor="background1" w:themeShade="D9"/>
            </w:tcBorders>
            <w:shd w:val="clear" w:color="auto" w:fill="auto"/>
            <w:vAlign w:val="center"/>
          </w:tcPr>
          <w:p w14:paraId="1BE4FD3F" w14:textId="4F7B0EAA" w:rsidR="00946A3F" w:rsidRPr="00E95FD9" w:rsidRDefault="00946A3F" w:rsidP="007465BE">
            <w:pPr>
              <w:keepNext/>
              <w:keepLines/>
              <w:rPr>
                <w:rFonts w:asciiTheme="minorHAnsi" w:hAnsiTheme="minorHAnsi" w:cs="Calibri"/>
                <w:b/>
                <w:caps/>
                <w:sz w:val="14"/>
              </w:rPr>
            </w:pPr>
            <w:r w:rsidRPr="00E95FD9">
              <w:rPr>
                <w:rFonts w:asciiTheme="minorHAnsi" w:hAnsiTheme="minorHAnsi" w:cs="Calibri"/>
                <w:b/>
                <w:sz w:val="14"/>
              </w:rPr>
              <w:t xml:space="preserve">Study Doctor Phone #: </w:t>
            </w:r>
            <w:r w:rsidRPr="00E95FD9">
              <w:rPr>
                <w:rFonts w:asciiTheme="minorHAnsi" w:hAnsiTheme="minorHAnsi" w:cs="Calibri"/>
                <w:color w:val="1F497D" w:themeColor="text2"/>
                <w:sz w:val="14"/>
              </w:rPr>
              <w:fldChar w:fldCharType="begin">
                <w:ffData>
                  <w:name w:val="Text10"/>
                  <w:enabled/>
                  <w:calcOnExit w:val="0"/>
                  <w:textInput/>
                </w:ffData>
              </w:fldChar>
            </w:r>
            <w:r w:rsidRPr="00E95FD9">
              <w:rPr>
                <w:rFonts w:asciiTheme="minorHAnsi" w:hAnsiTheme="minorHAnsi" w:cs="Calibri"/>
                <w:color w:val="1F497D" w:themeColor="text2"/>
                <w:sz w:val="14"/>
              </w:rPr>
              <w:instrText xml:space="preserve"> FORMTEXT </w:instrText>
            </w:r>
            <w:r w:rsidRPr="00E95FD9">
              <w:rPr>
                <w:rFonts w:asciiTheme="minorHAnsi" w:hAnsiTheme="minorHAnsi" w:cs="Calibri"/>
                <w:color w:val="1F497D" w:themeColor="text2"/>
                <w:sz w:val="14"/>
              </w:rPr>
            </w:r>
            <w:r w:rsidRPr="00E95FD9">
              <w:rPr>
                <w:rFonts w:asciiTheme="minorHAnsi" w:hAnsiTheme="minorHAnsi" w:cs="Calibri"/>
                <w:color w:val="1F497D" w:themeColor="text2"/>
                <w:sz w:val="14"/>
              </w:rPr>
              <w:fldChar w:fldCharType="separate"/>
            </w:r>
            <w:r w:rsidR="009C0D42">
              <w:rPr>
                <w:rFonts w:asciiTheme="minorHAnsi" w:hAnsiTheme="minorHAnsi" w:cs="Calibri"/>
                <w:noProof/>
                <w:color w:val="1F497D" w:themeColor="text2"/>
                <w:sz w:val="14"/>
              </w:rPr>
              <w:t> </w:t>
            </w:r>
            <w:r w:rsidR="009C0D42">
              <w:rPr>
                <w:rFonts w:asciiTheme="minorHAnsi" w:hAnsiTheme="minorHAnsi" w:cs="Calibri"/>
                <w:noProof/>
                <w:color w:val="1F497D" w:themeColor="text2"/>
                <w:sz w:val="14"/>
              </w:rPr>
              <w:t> </w:t>
            </w:r>
            <w:r w:rsidR="009C0D42">
              <w:rPr>
                <w:rFonts w:asciiTheme="minorHAnsi" w:hAnsiTheme="minorHAnsi" w:cs="Calibri"/>
                <w:noProof/>
                <w:color w:val="1F497D" w:themeColor="text2"/>
                <w:sz w:val="14"/>
              </w:rPr>
              <w:t> </w:t>
            </w:r>
            <w:r w:rsidR="009C0D42">
              <w:rPr>
                <w:rFonts w:asciiTheme="minorHAnsi" w:hAnsiTheme="minorHAnsi" w:cs="Calibri"/>
                <w:noProof/>
                <w:color w:val="1F497D" w:themeColor="text2"/>
                <w:sz w:val="14"/>
              </w:rPr>
              <w:t> </w:t>
            </w:r>
            <w:r w:rsidR="009C0D42">
              <w:rPr>
                <w:rFonts w:asciiTheme="minorHAnsi" w:hAnsiTheme="minorHAnsi" w:cs="Calibri"/>
                <w:noProof/>
                <w:color w:val="1F497D" w:themeColor="text2"/>
                <w:sz w:val="14"/>
              </w:rPr>
              <w:t> </w:t>
            </w:r>
            <w:r w:rsidRPr="00E95FD9">
              <w:rPr>
                <w:rFonts w:asciiTheme="minorHAnsi" w:hAnsiTheme="minorHAnsi" w:cs="Calibri"/>
                <w:color w:val="1F497D" w:themeColor="text2"/>
                <w:sz w:val="14"/>
              </w:rPr>
              <w:fldChar w:fldCharType="end"/>
            </w:r>
          </w:p>
        </w:tc>
      </w:tr>
      <w:tr w:rsidR="00946A3F" w:rsidRPr="00E95FD9" w14:paraId="3F58BF70" w14:textId="77777777" w:rsidTr="2E2E21C3">
        <w:trPr>
          <w:trHeight w:val="242"/>
        </w:trPr>
        <w:tc>
          <w:tcPr>
            <w:tcW w:w="2754" w:type="dxa"/>
            <w:tcBorders>
              <w:left w:val="single" w:sz="24" w:space="0" w:color="D9D9D9" w:themeColor="background1" w:themeShade="D9"/>
              <w:right w:val="single" w:sz="24" w:space="0" w:color="D9D9D9" w:themeColor="background1" w:themeShade="D9"/>
            </w:tcBorders>
            <w:shd w:val="clear" w:color="auto" w:fill="F2F2F2" w:themeFill="background1" w:themeFillShade="F2"/>
            <w:vAlign w:val="center"/>
          </w:tcPr>
          <w:p w14:paraId="78390A9A" w14:textId="5D4CED9F" w:rsidR="00946A3F" w:rsidRPr="00E95FD9" w:rsidRDefault="00946A3F" w:rsidP="007465BE">
            <w:pPr>
              <w:keepNext/>
              <w:keepLines/>
              <w:rPr>
                <w:rFonts w:asciiTheme="minorHAnsi" w:hAnsiTheme="minorHAnsi" w:cs="Calibri"/>
                <w:b/>
                <w:caps/>
                <w:sz w:val="14"/>
              </w:rPr>
            </w:pPr>
            <w:r w:rsidRPr="00E95FD9">
              <w:rPr>
                <w:rFonts w:asciiTheme="minorHAnsi" w:hAnsiTheme="minorHAnsi" w:cs="Calibri"/>
                <w:b/>
                <w:sz w:val="14"/>
              </w:rPr>
              <w:t xml:space="preserve">NCI Trial #:  </w:t>
            </w:r>
            <w:r w:rsidRPr="00E95FD9">
              <w:rPr>
                <w:rFonts w:asciiTheme="minorHAnsi" w:hAnsiTheme="minorHAnsi" w:cs="Calibri"/>
                <w:color w:val="1F497D" w:themeColor="text2"/>
                <w:sz w:val="14"/>
              </w:rPr>
              <w:fldChar w:fldCharType="begin">
                <w:ffData>
                  <w:name w:val="Text11"/>
                  <w:enabled/>
                  <w:calcOnExit w:val="0"/>
                  <w:textInput/>
                </w:ffData>
              </w:fldChar>
            </w:r>
            <w:r w:rsidRPr="00E95FD9">
              <w:rPr>
                <w:rFonts w:asciiTheme="minorHAnsi" w:hAnsiTheme="minorHAnsi" w:cs="Calibri"/>
                <w:color w:val="1F497D" w:themeColor="text2"/>
                <w:sz w:val="14"/>
              </w:rPr>
              <w:instrText xml:space="preserve"> FORMTEXT </w:instrText>
            </w:r>
            <w:r w:rsidRPr="00E95FD9">
              <w:rPr>
                <w:rFonts w:asciiTheme="minorHAnsi" w:hAnsiTheme="minorHAnsi" w:cs="Calibri"/>
                <w:color w:val="1F497D" w:themeColor="text2"/>
                <w:sz w:val="14"/>
              </w:rPr>
            </w:r>
            <w:r w:rsidRPr="00E95FD9">
              <w:rPr>
                <w:rFonts w:asciiTheme="minorHAnsi" w:hAnsiTheme="minorHAnsi" w:cs="Calibri"/>
                <w:color w:val="1F497D" w:themeColor="text2"/>
                <w:sz w:val="14"/>
              </w:rPr>
              <w:fldChar w:fldCharType="separate"/>
            </w:r>
            <w:r w:rsidR="009C0D42">
              <w:rPr>
                <w:rFonts w:asciiTheme="minorHAnsi" w:hAnsiTheme="minorHAnsi" w:cs="Calibri"/>
                <w:noProof/>
                <w:color w:val="1F497D" w:themeColor="text2"/>
                <w:sz w:val="14"/>
              </w:rPr>
              <w:t> </w:t>
            </w:r>
            <w:r w:rsidR="009C0D42">
              <w:rPr>
                <w:rFonts w:asciiTheme="minorHAnsi" w:hAnsiTheme="minorHAnsi" w:cs="Calibri"/>
                <w:noProof/>
                <w:color w:val="1F497D" w:themeColor="text2"/>
                <w:sz w:val="14"/>
              </w:rPr>
              <w:t> </w:t>
            </w:r>
            <w:r w:rsidR="009C0D42">
              <w:rPr>
                <w:rFonts w:asciiTheme="minorHAnsi" w:hAnsiTheme="minorHAnsi" w:cs="Calibri"/>
                <w:noProof/>
                <w:color w:val="1F497D" w:themeColor="text2"/>
                <w:sz w:val="14"/>
              </w:rPr>
              <w:t> </w:t>
            </w:r>
            <w:r w:rsidR="009C0D42">
              <w:rPr>
                <w:rFonts w:asciiTheme="minorHAnsi" w:hAnsiTheme="minorHAnsi" w:cs="Calibri"/>
                <w:noProof/>
                <w:color w:val="1F497D" w:themeColor="text2"/>
                <w:sz w:val="14"/>
              </w:rPr>
              <w:t> </w:t>
            </w:r>
            <w:r w:rsidR="009C0D42">
              <w:rPr>
                <w:rFonts w:asciiTheme="minorHAnsi" w:hAnsiTheme="minorHAnsi" w:cs="Calibri"/>
                <w:noProof/>
                <w:color w:val="1F497D" w:themeColor="text2"/>
                <w:sz w:val="14"/>
              </w:rPr>
              <w:t> </w:t>
            </w:r>
            <w:r w:rsidRPr="00E95FD9">
              <w:rPr>
                <w:rFonts w:asciiTheme="minorHAnsi" w:hAnsiTheme="minorHAnsi" w:cs="Calibri"/>
                <w:color w:val="1F497D" w:themeColor="text2"/>
                <w:sz w:val="14"/>
              </w:rPr>
              <w:fldChar w:fldCharType="end"/>
            </w:r>
          </w:p>
        </w:tc>
      </w:tr>
      <w:tr w:rsidR="00946A3F" w:rsidRPr="00E95FD9" w14:paraId="3FAD0804" w14:textId="77777777" w:rsidTr="2E2E21C3">
        <w:trPr>
          <w:trHeight w:val="438"/>
        </w:trPr>
        <w:tc>
          <w:tcPr>
            <w:tcW w:w="2754" w:type="dxa"/>
            <w:vMerge w:val="restart"/>
            <w:tcBorders>
              <w:left w:val="single" w:sz="24" w:space="0" w:color="D9D9D9" w:themeColor="background1" w:themeShade="D9"/>
              <w:right w:val="single" w:sz="24" w:space="0" w:color="D9D9D9" w:themeColor="background1" w:themeShade="D9"/>
            </w:tcBorders>
            <w:shd w:val="clear" w:color="auto" w:fill="auto"/>
          </w:tcPr>
          <w:p w14:paraId="4AB51184" w14:textId="499AA713" w:rsidR="00946A3F" w:rsidRPr="00E95FD9" w:rsidRDefault="00946A3F" w:rsidP="007465BE">
            <w:pPr>
              <w:keepNext/>
              <w:keepLines/>
              <w:rPr>
                <w:rFonts w:asciiTheme="minorHAnsi" w:hAnsiTheme="minorHAnsi" w:cs="Calibri"/>
                <w:b/>
                <w:sz w:val="14"/>
              </w:rPr>
            </w:pPr>
            <w:r w:rsidRPr="00E95FD9">
              <w:rPr>
                <w:rFonts w:asciiTheme="minorHAnsi" w:hAnsiTheme="minorHAnsi" w:cs="Calibri"/>
                <w:b/>
                <w:sz w:val="14"/>
              </w:rPr>
              <w:t xml:space="preserve">Study Drug:  </w:t>
            </w:r>
            <w:r w:rsidR="0099211F">
              <w:rPr>
                <w:rFonts w:asciiTheme="minorHAnsi" w:hAnsiTheme="minorHAnsi" w:cs="Calibri"/>
                <w:color w:val="1F497D" w:themeColor="text2"/>
                <w:sz w:val="14"/>
              </w:rPr>
              <w:fldChar w:fldCharType="begin">
                <w:ffData>
                  <w:name w:val="Text12"/>
                  <w:enabled/>
                  <w:calcOnExit w:val="0"/>
                  <w:textInput>
                    <w:default w:val="Triapine"/>
                  </w:textInput>
                </w:ffData>
              </w:fldChar>
            </w:r>
            <w:bookmarkStart w:id="402" w:name="Text12"/>
            <w:r w:rsidR="0099211F">
              <w:rPr>
                <w:rFonts w:asciiTheme="minorHAnsi" w:hAnsiTheme="minorHAnsi" w:cs="Calibri"/>
                <w:color w:val="1F497D" w:themeColor="text2"/>
                <w:sz w:val="14"/>
              </w:rPr>
              <w:instrText xml:space="preserve"> FORMTEXT </w:instrText>
            </w:r>
            <w:r w:rsidR="0099211F">
              <w:rPr>
                <w:rFonts w:asciiTheme="minorHAnsi" w:hAnsiTheme="minorHAnsi" w:cs="Calibri"/>
                <w:color w:val="1F497D" w:themeColor="text2"/>
                <w:sz w:val="14"/>
              </w:rPr>
            </w:r>
            <w:r w:rsidR="0099211F">
              <w:rPr>
                <w:rFonts w:asciiTheme="minorHAnsi" w:hAnsiTheme="minorHAnsi" w:cs="Calibri"/>
                <w:color w:val="1F497D" w:themeColor="text2"/>
                <w:sz w:val="14"/>
              </w:rPr>
              <w:fldChar w:fldCharType="separate"/>
            </w:r>
            <w:r w:rsidR="009C0D42">
              <w:rPr>
                <w:rFonts w:asciiTheme="minorHAnsi" w:hAnsiTheme="minorHAnsi" w:cs="Calibri"/>
                <w:noProof/>
                <w:color w:val="1F497D" w:themeColor="text2"/>
                <w:sz w:val="14"/>
              </w:rPr>
              <w:t>Triapine</w:t>
            </w:r>
            <w:r w:rsidR="0099211F">
              <w:rPr>
                <w:rFonts w:asciiTheme="minorHAnsi" w:hAnsiTheme="minorHAnsi" w:cs="Calibri"/>
                <w:color w:val="1F497D" w:themeColor="text2"/>
                <w:sz w:val="14"/>
              </w:rPr>
              <w:fldChar w:fldCharType="end"/>
            </w:r>
            <w:bookmarkEnd w:id="402"/>
          </w:p>
          <w:p w14:paraId="1F6DC906" w14:textId="77777777" w:rsidR="00946A3F" w:rsidRPr="00E95FD9" w:rsidRDefault="00946A3F" w:rsidP="007465BE">
            <w:pPr>
              <w:keepNext/>
              <w:keepLines/>
              <w:rPr>
                <w:rFonts w:asciiTheme="minorHAnsi" w:hAnsiTheme="minorHAnsi" w:cs="Calibri"/>
                <w:b/>
                <w:sz w:val="14"/>
              </w:rPr>
            </w:pPr>
          </w:p>
          <w:p w14:paraId="51C5BD60" w14:textId="77777777" w:rsidR="00946A3F" w:rsidRPr="00E95FD9" w:rsidRDefault="00946A3F" w:rsidP="007465BE">
            <w:pPr>
              <w:keepNext/>
              <w:keepLines/>
              <w:rPr>
                <w:rFonts w:asciiTheme="minorHAnsi" w:hAnsiTheme="minorHAnsi" w:cs="Calibri"/>
                <w:b/>
                <w:sz w:val="14"/>
              </w:rPr>
            </w:pPr>
          </w:p>
          <w:p w14:paraId="29FEEFAE" w14:textId="77777777" w:rsidR="00946A3F" w:rsidRPr="00E95FD9" w:rsidRDefault="00946A3F" w:rsidP="007465BE">
            <w:pPr>
              <w:keepNext/>
              <w:keepLines/>
              <w:rPr>
                <w:rFonts w:asciiTheme="minorHAnsi" w:hAnsiTheme="minorHAnsi" w:cs="Calibri"/>
                <w:b/>
                <w:sz w:val="14"/>
              </w:rPr>
            </w:pPr>
          </w:p>
          <w:p w14:paraId="343DBDF4" w14:textId="77777777" w:rsidR="00946A3F" w:rsidRPr="00E95FD9" w:rsidRDefault="00946A3F" w:rsidP="007465BE">
            <w:pPr>
              <w:keepNext/>
              <w:keepLines/>
              <w:rPr>
                <w:rFonts w:asciiTheme="minorHAnsi" w:hAnsiTheme="minorHAnsi" w:cs="Calibri"/>
                <w:b/>
                <w:sz w:val="14"/>
              </w:rPr>
            </w:pPr>
          </w:p>
        </w:tc>
      </w:tr>
      <w:tr w:rsidR="00946A3F" w:rsidRPr="00E95FD9" w14:paraId="23CA5E2E" w14:textId="77777777" w:rsidTr="2E2E21C3">
        <w:trPr>
          <w:trHeight w:val="171"/>
        </w:trPr>
        <w:tc>
          <w:tcPr>
            <w:tcW w:w="2754" w:type="dxa"/>
            <w:vMerge/>
          </w:tcPr>
          <w:p w14:paraId="6C195B24" w14:textId="77777777" w:rsidR="00946A3F" w:rsidRPr="00E95FD9" w:rsidRDefault="00946A3F" w:rsidP="007465BE">
            <w:pPr>
              <w:keepNext/>
              <w:keepLines/>
              <w:rPr>
                <w:rFonts w:asciiTheme="minorHAnsi" w:hAnsiTheme="minorHAnsi" w:cs="Calibri"/>
                <w:b/>
                <w:sz w:val="14"/>
              </w:rPr>
            </w:pPr>
          </w:p>
        </w:tc>
      </w:tr>
      <w:tr w:rsidR="00946A3F" w:rsidRPr="00E95FD9" w14:paraId="7E36FBA8" w14:textId="77777777" w:rsidTr="2E2E21C3">
        <w:trPr>
          <w:trHeight w:val="155"/>
        </w:trPr>
        <w:tc>
          <w:tcPr>
            <w:tcW w:w="2754" w:type="dxa"/>
            <w:tcBorders>
              <w:top w:val="nil"/>
              <w:left w:val="single" w:sz="24" w:space="0" w:color="D9D9D9" w:themeColor="background1" w:themeShade="D9"/>
              <w:bottom w:val="single" w:sz="2" w:space="0" w:color="FFFFFF" w:themeColor="background1"/>
              <w:right w:val="single" w:sz="24" w:space="0" w:color="D9D9D9" w:themeColor="background1" w:themeShade="D9"/>
            </w:tcBorders>
            <w:shd w:val="clear" w:color="auto" w:fill="365F91" w:themeFill="accent1" w:themeFillShade="BF"/>
            <w:vAlign w:val="center"/>
          </w:tcPr>
          <w:p w14:paraId="258BC5FB" w14:textId="77777777" w:rsidR="00946A3F" w:rsidRPr="00E95FD9" w:rsidRDefault="00946A3F" w:rsidP="007465BE">
            <w:pPr>
              <w:keepNext/>
              <w:keepLines/>
              <w:jc w:val="center"/>
              <w:rPr>
                <w:rFonts w:asciiTheme="minorHAnsi" w:hAnsiTheme="minorHAnsi" w:cs="Calibri"/>
                <w:caps/>
                <w:color w:val="FFFFFF"/>
                <w:sz w:val="14"/>
                <w:szCs w:val="12"/>
              </w:rPr>
            </w:pPr>
            <w:r w:rsidRPr="00E95FD9">
              <w:rPr>
                <w:rFonts w:asciiTheme="minorHAnsi" w:hAnsiTheme="minorHAnsi" w:cs="Calibri"/>
                <w:b/>
                <w:color w:val="FFFFFF"/>
                <w:sz w:val="14"/>
                <w:szCs w:val="12"/>
              </w:rPr>
              <w:t>For more information</w:t>
            </w:r>
            <w:r w:rsidRPr="00E95FD9">
              <w:rPr>
                <w:rFonts w:asciiTheme="minorHAnsi" w:hAnsiTheme="minorHAnsi" w:cs="Calibri"/>
                <w:b/>
                <w:caps/>
                <w:color w:val="FFFFFF"/>
                <w:sz w:val="14"/>
                <w:szCs w:val="12"/>
              </w:rPr>
              <w:t xml:space="preserve">: </w:t>
            </w:r>
            <w:r w:rsidRPr="00E95FD9">
              <w:rPr>
                <w:rFonts w:asciiTheme="minorHAnsi" w:hAnsiTheme="minorHAnsi" w:cs="Calibri"/>
                <w:caps/>
                <w:color w:val="FFFFFF"/>
                <w:sz w:val="14"/>
                <w:szCs w:val="12"/>
              </w:rPr>
              <w:t>1-800-4-CANCER</w:t>
            </w:r>
          </w:p>
        </w:tc>
      </w:tr>
      <w:tr w:rsidR="00946A3F" w:rsidRPr="00E95FD9" w14:paraId="170E07B4" w14:textId="77777777" w:rsidTr="2E2E21C3">
        <w:trPr>
          <w:trHeight w:val="155"/>
        </w:trPr>
        <w:tc>
          <w:tcPr>
            <w:tcW w:w="2754" w:type="dxa"/>
            <w:tcBorders>
              <w:top w:val="single" w:sz="2" w:space="0" w:color="FFFFFF" w:themeColor="background1"/>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365F91" w:themeFill="accent1" w:themeFillShade="BF"/>
            <w:vAlign w:val="center"/>
          </w:tcPr>
          <w:p w14:paraId="1E615531" w14:textId="77777777" w:rsidR="00946A3F" w:rsidRPr="00E95FD9" w:rsidRDefault="00946A3F" w:rsidP="007465BE">
            <w:pPr>
              <w:keepNext/>
              <w:keepLines/>
              <w:jc w:val="center"/>
              <w:rPr>
                <w:rFonts w:asciiTheme="minorHAnsi" w:hAnsiTheme="minorHAnsi" w:cs="Calibri"/>
                <w:b/>
                <w:color w:val="FFFFFF"/>
                <w:sz w:val="14"/>
                <w:szCs w:val="12"/>
              </w:rPr>
            </w:pPr>
            <w:r w:rsidRPr="00E95FD9">
              <w:rPr>
                <w:rFonts w:asciiTheme="minorHAnsi" w:hAnsiTheme="minorHAnsi" w:cs="Calibri"/>
                <w:color w:val="FFFFFF"/>
                <w:sz w:val="14"/>
                <w:szCs w:val="12"/>
              </w:rPr>
              <w:t>cancer.gov | clinicaltrials.gov</w:t>
            </w:r>
          </w:p>
        </w:tc>
      </w:tr>
      <w:bookmarkEnd w:id="401"/>
    </w:tbl>
    <w:p w14:paraId="104A4223" w14:textId="77777777" w:rsidR="00946A3F" w:rsidRDefault="00946A3F" w:rsidP="00733AA1"/>
    <w:p w14:paraId="0BD7DF9B" w14:textId="77777777" w:rsidR="00946A3F" w:rsidRDefault="00946A3F" w:rsidP="00733AA1"/>
    <w:p w14:paraId="12C63947" w14:textId="24B6D43E" w:rsidR="00EC6A41" w:rsidRDefault="00946A3F" w:rsidP="00A112ED">
      <w:pPr>
        <w:pStyle w:val="Heading1"/>
        <w:numPr>
          <w:ilvl w:val="0"/>
          <w:numId w:val="0"/>
        </w:numPr>
        <w:ind w:left="432" w:hanging="432"/>
      </w:pPr>
      <w:bookmarkStart w:id="403" w:name="_APPENDIX_D_PATIENT"/>
      <w:bookmarkEnd w:id="398"/>
      <w:bookmarkEnd w:id="403"/>
      <w:r>
        <w:rPr>
          <w:i/>
        </w:rPr>
        <w:br w:type="page"/>
      </w:r>
      <w:bookmarkStart w:id="404" w:name="_Toc507420398"/>
      <w:bookmarkStart w:id="405" w:name="_Toc176419949"/>
      <w:bookmarkEnd w:id="399"/>
      <w:bookmarkEnd w:id="400"/>
      <w:r w:rsidR="00EC6A41">
        <w:lastRenderedPageBreak/>
        <w:t xml:space="preserve">APPENDIX </w:t>
      </w:r>
      <w:r w:rsidR="00C16E40">
        <w:t>D</w:t>
      </w:r>
      <w:r w:rsidR="00EC6A41">
        <w:tab/>
      </w:r>
      <w:bookmarkStart w:id="406" w:name="appendixD"/>
      <w:r w:rsidR="006A33FE">
        <w:t>P</w:t>
      </w:r>
      <w:bookmarkEnd w:id="404"/>
      <w:r w:rsidR="00F73869">
        <w:t>ATIENT MEDICATION DIARY</w:t>
      </w:r>
      <w:bookmarkEnd w:id="405"/>
      <w:bookmarkEnd w:id="406"/>
    </w:p>
    <w:p w14:paraId="7853A349" w14:textId="77777777" w:rsidR="005D3B2F" w:rsidRDefault="005D3B2F" w:rsidP="005D3B2F"/>
    <w:p w14:paraId="55B65EF4" w14:textId="0EAD404F" w:rsidR="005D3B2F" w:rsidRPr="005D3B2F" w:rsidRDefault="00A8683E" w:rsidP="005D3B2F">
      <w:r w:rsidRPr="000F7DEE">
        <w:rPr>
          <w:color w:val="auto"/>
        </w:rPr>
        <w:t>The medication diary is located on the next page.</w:t>
      </w:r>
    </w:p>
    <w:p w14:paraId="59901376" w14:textId="77777777" w:rsidR="00EC6A41" w:rsidRDefault="00EC6A41" w:rsidP="00EC6A41">
      <w:pPr>
        <w:widowControl/>
      </w:pPr>
      <w:bookmarkStart w:id="407" w:name="_Hlk4506331"/>
    </w:p>
    <w:p w14:paraId="472561FC" w14:textId="77777777" w:rsidR="00A8683E" w:rsidRDefault="00A8683E">
      <w:pPr>
        <w:widowControl/>
        <w:rPr>
          <w:b/>
          <w:snapToGrid/>
          <w:color w:val="auto"/>
          <w:sz w:val="22"/>
          <w:szCs w:val="28"/>
        </w:rPr>
      </w:pPr>
      <w:bookmarkStart w:id="408" w:name="_Hlk164352100"/>
      <w:bookmarkEnd w:id="407"/>
      <w:r>
        <w:rPr>
          <w:b/>
          <w:snapToGrid/>
          <w:color w:val="auto"/>
          <w:sz w:val="22"/>
          <w:szCs w:val="28"/>
        </w:rPr>
        <w:br w:type="page"/>
      </w:r>
    </w:p>
    <w:p w14:paraId="59B119E0" w14:textId="2788D378" w:rsidR="00DB131D" w:rsidRPr="00F93561" w:rsidRDefault="00DB131D" w:rsidP="00DB131D">
      <w:pPr>
        <w:widowControl/>
        <w:spacing w:before="60"/>
        <w:jc w:val="center"/>
        <w:rPr>
          <w:b/>
          <w:snapToGrid/>
          <w:color w:val="auto"/>
          <w:sz w:val="22"/>
          <w:szCs w:val="28"/>
        </w:rPr>
      </w:pPr>
      <w:r w:rsidRPr="00E066E2">
        <w:rPr>
          <w:b/>
          <w:snapToGrid/>
          <w:color w:val="auto"/>
          <w:sz w:val="22"/>
          <w:szCs w:val="28"/>
        </w:rPr>
        <w:lastRenderedPageBreak/>
        <w:t xml:space="preserve">PATIENT’S MEDICATION DIARY – </w:t>
      </w:r>
      <w:r w:rsidRPr="00F93561">
        <w:rPr>
          <w:b/>
          <w:snapToGrid/>
          <w:color w:val="auto"/>
          <w:sz w:val="22"/>
          <w:szCs w:val="28"/>
        </w:rPr>
        <w:t>Triapine</w:t>
      </w:r>
    </w:p>
    <w:p w14:paraId="7A3A80E3" w14:textId="77777777" w:rsidR="00DB131D" w:rsidRPr="00F93561" w:rsidRDefault="00DB131D" w:rsidP="00DB131D">
      <w:pPr>
        <w:widowControl/>
        <w:rPr>
          <w:b/>
          <w:snapToGrid/>
          <w:color w:val="auto"/>
          <w:sz w:val="12"/>
          <w:szCs w:val="16"/>
        </w:rPr>
      </w:pPr>
    </w:p>
    <w:p w14:paraId="316F6E7D" w14:textId="53AF6DD2" w:rsidR="00DB131D" w:rsidRPr="00F93561" w:rsidRDefault="00DB131D" w:rsidP="00DB131D">
      <w:pPr>
        <w:widowControl/>
        <w:tabs>
          <w:tab w:val="left" w:pos="3780"/>
          <w:tab w:val="left" w:pos="7560"/>
        </w:tabs>
        <w:spacing w:before="60" w:after="60"/>
        <w:rPr>
          <w:b/>
          <w:snapToGrid/>
          <w:color w:val="auto"/>
          <w:sz w:val="20"/>
          <w:u w:val="single"/>
        </w:rPr>
      </w:pPr>
      <w:r w:rsidRPr="00F93561">
        <w:rPr>
          <w:b/>
          <w:snapToGrid/>
          <w:color w:val="auto"/>
          <w:sz w:val="20"/>
        </w:rPr>
        <w:t>Today’s Date ______________________</w:t>
      </w:r>
      <w:r w:rsidRPr="00F93561">
        <w:rPr>
          <w:snapToGrid/>
          <w:color w:val="auto"/>
          <w:sz w:val="20"/>
        </w:rPr>
        <w:tab/>
      </w:r>
      <w:r w:rsidRPr="00F93561">
        <w:rPr>
          <w:b/>
          <w:snapToGrid/>
          <w:color w:val="auto"/>
          <w:sz w:val="20"/>
        </w:rPr>
        <w:t>Cycle _____________________________</w:t>
      </w:r>
      <w:r w:rsidRPr="00F93561">
        <w:rPr>
          <w:b/>
          <w:snapToGrid/>
          <w:color w:val="auto"/>
          <w:sz w:val="20"/>
        </w:rPr>
        <w:tab/>
        <w:t xml:space="preserve">CTEP-assigned Protocol # </w:t>
      </w:r>
      <w:r w:rsidRPr="00F93561">
        <w:rPr>
          <w:b/>
          <w:snapToGrid/>
          <w:color w:val="auto"/>
          <w:sz w:val="20"/>
          <w:u w:val="single"/>
          <w:shd w:val="clear" w:color="auto" w:fill="E6E6E6"/>
        </w:rPr>
        <w:fldChar w:fldCharType="begin">
          <w:ffData>
            <w:name w:val="Text1"/>
            <w:enabled/>
            <w:calcOnExit w:val="0"/>
            <w:textInput>
              <w:default w:val="10699"/>
            </w:textInput>
          </w:ffData>
        </w:fldChar>
      </w:r>
      <w:bookmarkStart w:id="409" w:name="Text1"/>
      <w:r w:rsidRPr="00F93561">
        <w:rPr>
          <w:b/>
          <w:snapToGrid/>
          <w:color w:val="auto"/>
          <w:sz w:val="20"/>
          <w:u w:val="single"/>
          <w:shd w:val="clear" w:color="auto" w:fill="E6E6E6"/>
        </w:rPr>
        <w:instrText xml:space="preserve"> FORMTEXT </w:instrText>
      </w:r>
      <w:r w:rsidRPr="00F93561">
        <w:rPr>
          <w:b/>
          <w:snapToGrid/>
          <w:color w:val="auto"/>
          <w:sz w:val="20"/>
          <w:u w:val="single"/>
          <w:shd w:val="clear" w:color="auto" w:fill="E6E6E6"/>
        </w:rPr>
      </w:r>
      <w:r w:rsidRPr="00F93561">
        <w:rPr>
          <w:b/>
          <w:snapToGrid/>
          <w:color w:val="auto"/>
          <w:sz w:val="20"/>
          <w:u w:val="single"/>
          <w:shd w:val="clear" w:color="auto" w:fill="E6E6E6"/>
        </w:rPr>
        <w:fldChar w:fldCharType="separate"/>
      </w:r>
      <w:r w:rsidR="009C0D42">
        <w:rPr>
          <w:b/>
          <w:noProof/>
          <w:snapToGrid/>
          <w:color w:val="auto"/>
          <w:sz w:val="20"/>
          <w:u w:val="single"/>
          <w:shd w:val="clear" w:color="auto" w:fill="E6E6E6"/>
        </w:rPr>
        <w:t>10699</w:t>
      </w:r>
      <w:r w:rsidRPr="00F93561">
        <w:rPr>
          <w:b/>
          <w:snapToGrid/>
          <w:color w:val="auto"/>
          <w:sz w:val="20"/>
          <w:u w:val="single"/>
          <w:shd w:val="clear" w:color="auto" w:fill="E6E6E6"/>
        </w:rPr>
        <w:fldChar w:fldCharType="end"/>
      </w:r>
      <w:bookmarkEnd w:id="409"/>
    </w:p>
    <w:p w14:paraId="1AEE8C27" w14:textId="189E8D66" w:rsidR="00DB131D" w:rsidRPr="00F93561" w:rsidRDefault="00DB131D" w:rsidP="00DB131D">
      <w:pPr>
        <w:widowControl/>
        <w:tabs>
          <w:tab w:val="left" w:pos="3780"/>
          <w:tab w:val="left" w:pos="7560"/>
        </w:tabs>
        <w:spacing w:before="60" w:after="60"/>
        <w:rPr>
          <w:snapToGrid/>
          <w:color w:val="auto"/>
          <w:sz w:val="20"/>
          <w:szCs w:val="20"/>
        </w:rPr>
      </w:pPr>
      <w:r w:rsidRPr="00F93561">
        <w:rPr>
          <w:b/>
          <w:snapToGrid/>
          <w:color w:val="auto"/>
          <w:sz w:val="20"/>
        </w:rPr>
        <w:t>Patient Study ID</w:t>
      </w:r>
      <w:r w:rsidRPr="00F93561">
        <w:rPr>
          <w:b/>
          <w:bCs/>
          <w:snapToGrid/>
          <w:color w:val="auto"/>
          <w:sz w:val="20"/>
          <w:szCs w:val="20"/>
        </w:rPr>
        <w:t xml:space="preserve"> ___________________</w:t>
      </w:r>
      <w:r w:rsidRPr="00F93561">
        <w:rPr>
          <w:b/>
          <w:snapToGrid/>
          <w:color w:val="auto"/>
          <w:sz w:val="20"/>
        </w:rPr>
        <w:tab/>
      </w:r>
      <w:r w:rsidRPr="00F93561">
        <w:rPr>
          <w:b/>
          <w:bCs/>
          <w:snapToGrid/>
          <w:color w:val="auto"/>
          <w:sz w:val="20"/>
          <w:szCs w:val="20"/>
        </w:rPr>
        <w:t>Patient Initials _____________________</w:t>
      </w:r>
      <w:r w:rsidRPr="00F93561">
        <w:rPr>
          <w:b/>
          <w:snapToGrid/>
          <w:color w:val="auto"/>
          <w:sz w:val="20"/>
        </w:rPr>
        <w:tab/>
      </w:r>
      <w:r w:rsidRPr="00F93561">
        <w:rPr>
          <w:b/>
          <w:bCs/>
          <w:snapToGrid/>
          <w:color w:val="auto"/>
          <w:sz w:val="20"/>
          <w:szCs w:val="20"/>
        </w:rPr>
        <w:t xml:space="preserve">Local Protocol # </w:t>
      </w:r>
      <w:r w:rsidRPr="00F93561">
        <w:rPr>
          <w:b/>
          <w:bCs/>
          <w:snapToGrid/>
          <w:color w:val="auto"/>
          <w:sz w:val="20"/>
          <w:szCs w:val="20"/>
          <w:u w:val="single"/>
          <w:shd w:val="clear" w:color="auto" w:fill="E6E6E6"/>
        </w:rPr>
        <w:fldChar w:fldCharType="begin">
          <w:ffData>
            <w:name w:val="Text1"/>
            <w:enabled/>
            <w:calcOnExit w:val="0"/>
            <w:textInput/>
          </w:ffData>
        </w:fldChar>
      </w:r>
      <w:r w:rsidRPr="00F93561">
        <w:rPr>
          <w:b/>
          <w:bCs/>
          <w:snapToGrid/>
          <w:color w:val="auto"/>
          <w:sz w:val="20"/>
          <w:szCs w:val="20"/>
          <w:u w:val="single"/>
        </w:rPr>
        <w:instrText xml:space="preserve"> FORMTEXT </w:instrText>
      </w:r>
      <w:r w:rsidRPr="00F93561">
        <w:rPr>
          <w:b/>
          <w:bCs/>
          <w:snapToGrid/>
          <w:color w:val="auto"/>
          <w:sz w:val="20"/>
          <w:szCs w:val="20"/>
          <w:u w:val="single"/>
          <w:shd w:val="clear" w:color="auto" w:fill="E6E6E6"/>
        </w:rPr>
      </w:r>
      <w:r w:rsidRPr="00F93561">
        <w:rPr>
          <w:b/>
          <w:bCs/>
          <w:snapToGrid/>
          <w:color w:val="auto"/>
          <w:sz w:val="20"/>
          <w:szCs w:val="20"/>
          <w:u w:val="single"/>
          <w:shd w:val="clear" w:color="auto" w:fill="E6E6E6"/>
        </w:rPr>
        <w:fldChar w:fldCharType="separate"/>
      </w:r>
      <w:r w:rsidR="009C0D42">
        <w:rPr>
          <w:b/>
          <w:bCs/>
          <w:noProof/>
          <w:snapToGrid/>
          <w:color w:val="auto"/>
          <w:sz w:val="20"/>
          <w:szCs w:val="20"/>
          <w:u w:val="single"/>
          <w:shd w:val="clear" w:color="auto" w:fill="E6E6E6"/>
        </w:rPr>
        <w:t> </w:t>
      </w:r>
      <w:r w:rsidR="009C0D42">
        <w:rPr>
          <w:b/>
          <w:bCs/>
          <w:noProof/>
          <w:snapToGrid/>
          <w:color w:val="auto"/>
          <w:sz w:val="20"/>
          <w:szCs w:val="20"/>
          <w:u w:val="single"/>
          <w:shd w:val="clear" w:color="auto" w:fill="E6E6E6"/>
        </w:rPr>
        <w:t> </w:t>
      </w:r>
      <w:r w:rsidR="009C0D42">
        <w:rPr>
          <w:b/>
          <w:bCs/>
          <w:noProof/>
          <w:snapToGrid/>
          <w:color w:val="auto"/>
          <w:sz w:val="20"/>
          <w:szCs w:val="20"/>
          <w:u w:val="single"/>
          <w:shd w:val="clear" w:color="auto" w:fill="E6E6E6"/>
        </w:rPr>
        <w:t> </w:t>
      </w:r>
      <w:r w:rsidR="009C0D42">
        <w:rPr>
          <w:b/>
          <w:bCs/>
          <w:noProof/>
          <w:snapToGrid/>
          <w:color w:val="auto"/>
          <w:sz w:val="20"/>
          <w:szCs w:val="20"/>
          <w:u w:val="single"/>
          <w:shd w:val="clear" w:color="auto" w:fill="E6E6E6"/>
        </w:rPr>
        <w:t> </w:t>
      </w:r>
      <w:r w:rsidR="009C0D42">
        <w:rPr>
          <w:b/>
          <w:bCs/>
          <w:noProof/>
          <w:snapToGrid/>
          <w:color w:val="auto"/>
          <w:sz w:val="20"/>
          <w:szCs w:val="20"/>
          <w:u w:val="single"/>
          <w:shd w:val="clear" w:color="auto" w:fill="E6E6E6"/>
        </w:rPr>
        <w:t> </w:t>
      </w:r>
      <w:r w:rsidRPr="00F93561">
        <w:rPr>
          <w:b/>
          <w:bCs/>
          <w:snapToGrid/>
          <w:color w:val="auto"/>
          <w:sz w:val="20"/>
          <w:szCs w:val="20"/>
          <w:u w:val="single"/>
          <w:shd w:val="clear" w:color="auto" w:fill="E6E6E6"/>
        </w:rPr>
        <w:fldChar w:fldCharType="end"/>
      </w:r>
    </w:p>
    <w:p w14:paraId="4C83665F" w14:textId="77777777" w:rsidR="00DB131D" w:rsidRPr="00F93561" w:rsidRDefault="00DB131D" w:rsidP="00DB131D">
      <w:pPr>
        <w:widowControl/>
        <w:tabs>
          <w:tab w:val="left" w:pos="3420"/>
        </w:tabs>
        <w:rPr>
          <w:snapToGrid/>
          <w:color w:val="auto"/>
          <w:sz w:val="12"/>
          <w:szCs w:val="16"/>
          <w:u w:val="single"/>
        </w:rPr>
      </w:pPr>
    </w:p>
    <w:p w14:paraId="67FB18CF" w14:textId="77777777" w:rsidR="00DB131D" w:rsidRPr="00F93561" w:rsidRDefault="00DB131D" w:rsidP="00DB131D">
      <w:pPr>
        <w:widowControl/>
        <w:tabs>
          <w:tab w:val="left" w:pos="3420"/>
        </w:tabs>
        <w:rPr>
          <w:snapToGrid/>
          <w:color w:val="auto"/>
          <w:sz w:val="20"/>
          <w:u w:val="single"/>
        </w:rPr>
      </w:pPr>
      <w:r w:rsidRPr="00F93561">
        <w:rPr>
          <w:snapToGrid/>
          <w:color w:val="auto"/>
          <w:sz w:val="20"/>
          <w:u w:val="single"/>
        </w:rPr>
        <w:t>INSTRUCTIONS TO THE PATIENT:</w:t>
      </w:r>
    </w:p>
    <w:p w14:paraId="26F3B649" w14:textId="4D9A09EE" w:rsidR="00DB131D" w:rsidRPr="00F93561" w:rsidRDefault="00DB131D" w:rsidP="00562B10">
      <w:pPr>
        <w:pStyle w:val="ListParagraph"/>
        <w:widowControl/>
        <w:numPr>
          <w:ilvl w:val="0"/>
          <w:numId w:val="81"/>
        </w:numPr>
        <w:tabs>
          <w:tab w:val="left" w:pos="3420"/>
        </w:tabs>
        <w:spacing w:after="20"/>
        <w:contextualSpacing w:val="0"/>
        <w:rPr>
          <w:color w:val="auto"/>
          <w:sz w:val="20"/>
          <w:szCs w:val="20"/>
        </w:rPr>
      </w:pPr>
      <w:r w:rsidRPr="00F93561">
        <w:rPr>
          <w:color w:val="auto"/>
          <w:sz w:val="20"/>
          <w:szCs w:val="20"/>
        </w:rPr>
        <w:t xml:space="preserve">Complete one form for each cycle. Each cycle is </w:t>
      </w:r>
      <w:r w:rsidR="008E7744" w:rsidRPr="00F93561">
        <w:rPr>
          <w:color w:val="auto"/>
          <w:sz w:val="20"/>
          <w:szCs w:val="20"/>
        </w:rPr>
        <w:t>28</w:t>
      </w:r>
      <w:r w:rsidRPr="00F93561">
        <w:rPr>
          <w:color w:val="auto"/>
          <w:sz w:val="20"/>
          <w:szCs w:val="20"/>
        </w:rPr>
        <w:t xml:space="preserve"> days.</w:t>
      </w:r>
    </w:p>
    <w:p w14:paraId="6EA4D660" w14:textId="77777777" w:rsidR="00DB131D" w:rsidRPr="00F93561" w:rsidRDefault="00DB131D" w:rsidP="00562B10">
      <w:pPr>
        <w:pStyle w:val="ListParagraph"/>
        <w:widowControl/>
        <w:numPr>
          <w:ilvl w:val="0"/>
          <w:numId w:val="81"/>
        </w:numPr>
        <w:tabs>
          <w:tab w:val="left" w:pos="3420"/>
        </w:tabs>
        <w:spacing w:after="20"/>
        <w:contextualSpacing w:val="0"/>
        <w:rPr>
          <w:color w:val="auto"/>
          <w:sz w:val="20"/>
        </w:rPr>
      </w:pPr>
      <w:r w:rsidRPr="00F93561">
        <w:rPr>
          <w:color w:val="auto"/>
          <w:sz w:val="20"/>
          <w:szCs w:val="20"/>
        </w:rPr>
        <w:t xml:space="preserve">You will take your assigned number of triapine capsules each day </w:t>
      </w:r>
      <w:r w:rsidRPr="00F93561">
        <w:rPr>
          <w:b/>
          <w:bCs/>
          <w:color w:val="auto"/>
          <w:sz w:val="20"/>
          <w:szCs w:val="20"/>
        </w:rPr>
        <w:t>in the morning</w:t>
      </w:r>
      <w:r w:rsidRPr="00F93561">
        <w:rPr>
          <w:color w:val="auto"/>
          <w:sz w:val="20"/>
          <w:szCs w:val="20"/>
        </w:rPr>
        <w:t>, within 2 hours prior to radiation therapy.</w:t>
      </w:r>
    </w:p>
    <w:p w14:paraId="44C10222" w14:textId="77777777" w:rsidR="00DB131D" w:rsidRPr="00F93561" w:rsidRDefault="00DB131D" w:rsidP="00562B10">
      <w:pPr>
        <w:pStyle w:val="ListParagraph"/>
        <w:widowControl/>
        <w:numPr>
          <w:ilvl w:val="0"/>
          <w:numId w:val="81"/>
        </w:numPr>
        <w:tabs>
          <w:tab w:val="left" w:pos="3420"/>
        </w:tabs>
        <w:spacing w:after="20"/>
        <w:contextualSpacing w:val="0"/>
        <w:rPr>
          <w:color w:val="auto"/>
          <w:sz w:val="20"/>
          <w:szCs w:val="22"/>
        </w:rPr>
      </w:pPr>
      <w:r w:rsidRPr="00F93561">
        <w:rPr>
          <w:color w:val="auto"/>
          <w:sz w:val="20"/>
          <w:szCs w:val="20"/>
        </w:rPr>
        <w:t>You need to fast (except for water and medication) for 2 hours prior to taking the capsule and for 1 hour after ingesting the capsule.</w:t>
      </w:r>
    </w:p>
    <w:p w14:paraId="3B7BA380" w14:textId="77777777" w:rsidR="00DB131D" w:rsidRPr="00F93561" w:rsidRDefault="00DB131D" w:rsidP="00562B10">
      <w:pPr>
        <w:pStyle w:val="ListParagraph"/>
        <w:widowControl/>
        <w:numPr>
          <w:ilvl w:val="0"/>
          <w:numId w:val="81"/>
        </w:numPr>
        <w:tabs>
          <w:tab w:val="left" w:pos="3420"/>
        </w:tabs>
        <w:spacing w:after="20"/>
        <w:contextualSpacing w:val="0"/>
        <w:rPr>
          <w:color w:val="auto"/>
          <w:sz w:val="20"/>
        </w:rPr>
      </w:pPr>
      <w:r w:rsidRPr="00F93561">
        <w:rPr>
          <w:b/>
          <w:bCs/>
          <w:color w:val="auto"/>
          <w:sz w:val="20"/>
          <w:szCs w:val="20"/>
        </w:rPr>
        <w:t>Keep the capsules intact, they must not be open, broken, chewed, or crushed</w:t>
      </w:r>
      <w:r w:rsidRPr="00F93561">
        <w:rPr>
          <w:color w:val="auto"/>
          <w:sz w:val="20"/>
          <w:szCs w:val="20"/>
        </w:rPr>
        <w:t>.</w:t>
      </w:r>
    </w:p>
    <w:p w14:paraId="57EC8909" w14:textId="77777777" w:rsidR="00DB131D" w:rsidRPr="00F93561" w:rsidRDefault="00DB131D" w:rsidP="00562B10">
      <w:pPr>
        <w:pStyle w:val="ListParagraph"/>
        <w:widowControl/>
        <w:numPr>
          <w:ilvl w:val="0"/>
          <w:numId w:val="81"/>
        </w:numPr>
        <w:tabs>
          <w:tab w:val="left" w:pos="3420"/>
        </w:tabs>
        <w:spacing w:after="20"/>
        <w:rPr>
          <w:color w:val="auto"/>
          <w:sz w:val="20"/>
          <w:szCs w:val="20"/>
        </w:rPr>
      </w:pPr>
      <w:r w:rsidRPr="00F93561">
        <w:rPr>
          <w:color w:val="auto"/>
          <w:sz w:val="20"/>
          <w:szCs w:val="20"/>
        </w:rPr>
        <w:t>Record the date, the number of capsules you took, and when you took them.</w:t>
      </w:r>
    </w:p>
    <w:p w14:paraId="285202E6" w14:textId="77777777" w:rsidR="00DB131D" w:rsidRPr="00F93561" w:rsidRDefault="00DB131D" w:rsidP="00562B10">
      <w:pPr>
        <w:pStyle w:val="ListParagraph"/>
        <w:widowControl/>
        <w:numPr>
          <w:ilvl w:val="0"/>
          <w:numId w:val="81"/>
        </w:numPr>
        <w:tabs>
          <w:tab w:val="left" w:pos="3420"/>
        </w:tabs>
        <w:spacing w:after="20"/>
        <w:contextualSpacing w:val="0"/>
        <w:rPr>
          <w:color w:val="auto"/>
          <w:sz w:val="20"/>
          <w:szCs w:val="20"/>
        </w:rPr>
      </w:pPr>
      <w:r w:rsidRPr="00F93561">
        <w:rPr>
          <w:color w:val="auto"/>
          <w:sz w:val="20"/>
          <w:szCs w:val="20"/>
        </w:rPr>
        <w:t>If you have any comments or notice any side effects, please record them in the Comments column for that day.</w:t>
      </w:r>
    </w:p>
    <w:p w14:paraId="6D460938" w14:textId="77777777" w:rsidR="00DB131D" w:rsidRDefault="00DB131D" w:rsidP="00562B10">
      <w:pPr>
        <w:pStyle w:val="ListParagraph"/>
        <w:widowControl/>
        <w:numPr>
          <w:ilvl w:val="0"/>
          <w:numId w:val="81"/>
        </w:numPr>
        <w:tabs>
          <w:tab w:val="left" w:pos="3420"/>
        </w:tabs>
        <w:spacing w:after="20"/>
        <w:contextualSpacing w:val="0"/>
        <w:rPr>
          <w:color w:val="auto"/>
          <w:sz w:val="20"/>
        </w:rPr>
      </w:pPr>
      <w:bookmarkStart w:id="410" w:name="_Hlk164357576"/>
      <w:r w:rsidRPr="00F93561">
        <w:rPr>
          <w:color w:val="auto"/>
          <w:sz w:val="20"/>
        </w:rPr>
        <w:t>Please return this form and your bottle(s) of</w:t>
      </w:r>
      <w:r w:rsidRPr="00F93561">
        <w:rPr>
          <w:i/>
          <w:iCs/>
          <w:color w:val="auto"/>
          <w:sz w:val="20"/>
        </w:rPr>
        <w:t xml:space="preserve"> </w:t>
      </w:r>
      <w:r w:rsidRPr="00F93561">
        <w:rPr>
          <w:color w:val="auto"/>
          <w:sz w:val="20"/>
          <w:szCs w:val="20"/>
        </w:rPr>
        <w:t xml:space="preserve">capsules </w:t>
      </w:r>
      <w:r w:rsidRPr="00F93561">
        <w:rPr>
          <w:color w:val="auto"/>
          <w:sz w:val="20"/>
        </w:rPr>
        <w:t>to your physician when you go for your next appointment.</w:t>
      </w:r>
    </w:p>
    <w:p w14:paraId="399AF0E3" w14:textId="18789A7A" w:rsidR="00775FDA" w:rsidRPr="00F93561" w:rsidRDefault="00775FDA" w:rsidP="00562B10">
      <w:pPr>
        <w:pStyle w:val="ListParagraph"/>
        <w:widowControl/>
        <w:numPr>
          <w:ilvl w:val="0"/>
          <w:numId w:val="81"/>
        </w:numPr>
        <w:tabs>
          <w:tab w:val="left" w:pos="3420"/>
        </w:tabs>
        <w:spacing w:after="20"/>
        <w:contextualSpacing w:val="0"/>
        <w:rPr>
          <w:color w:val="auto"/>
          <w:sz w:val="20"/>
        </w:rPr>
      </w:pPr>
      <w:r>
        <w:rPr>
          <w:color w:val="auto"/>
          <w:sz w:val="20"/>
        </w:rPr>
        <w:t xml:space="preserve">Notify your doctor at the first sign of poorly formed </w:t>
      </w:r>
      <w:r w:rsidR="00797980">
        <w:rPr>
          <w:color w:val="auto"/>
          <w:sz w:val="20"/>
        </w:rPr>
        <w:t xml:space="preserve">or loose stools, or an increased frequency of bowel movements. Loperamide should be kept </w:t>
      </w:r>
      <w:proofErr w:type="gramStart"/>
      <w:r w:rsidR="00797980">
        <w:rPr>
          <w:color w:val="auto"/>
          <w:sz w:val="20"/>
        </w:rPr>
        <w:t>on</w:t>
      </w:r>
      <w:proofErr w:type="gramEnd"/>
      <w:r w:rsidR="00797980">
        <w:rPr>
          <w:color w:val="auto"/>
          <w:sz w:val="20"/>
        </w:rPr>
        <w:t xml:space="preserve"> hand and should be taken as recommended by your doctor.</w:t>
      </w:r>
    </w:p>
    <w:p w14:paraId="32DC971D" w14:textId="77777777" w:rsidR="00DB131D" w:rsidRPr="00F93561" w:rsidRDefault="00DB131D" w:rsidP="00DB131D">
      <w:pPr>
        <w:tabs>
          <w:tab w:val="left" w:pos="3420"/>
        </w:tabs>
        <w:rPr>
          <w:color w:val="auto"/>
          <w:sz w:val="6"/>
          <w:szCs w:val="10"/>
        </w:rPr>
      </w:pPr>
    </w:p>
    <w:tbl>
      <w:tblPr>
        <w:tblStyle w:val="TableGrid"/>
        <w:tblW w:w="5000" w:type="pct"/>
        <w:jc w:val="center"/>
        <w:tblCellMar>
          <w:top w:w="14" w:type="dxa"/>
          <w:left w:w="29" w:type="dxa"/>
          <w:right w:w="29" w:type="dxa"/>
        </w:tblCellMar>
        <w:tblLook w:val="01E0" w:firstRow="1" w:lastRow="1" w:firstColumn="1" w:lastColumn="1" w:noHBand="0" w:noVBand="0"/>
      </w:tblPr>
      <w:tblGrid>
        <w:gridCol w:w="526"/>
        <w:gridCol w:w="980"/>
        <w:gridCol w:w="1421"/>
        <w:gridCol w:w="2398"/>
        <w:gridCol w:w="5325"/>
      </w:tblGrid>
      <w:tr w:rsidR="00F93561" w:rsidRPr="00F93561" w14:paraId="03995DB9" w14:textId="77777777">
        <w:trPr>
          <w:jc w:val="center"/>
        </w:trPr>
        <w:tc>
          <w:tcPr>
            <w:tcW w:w="247" w:type="pct"/>
            <w:shd w:val="clear" w:color="auto" w:fill="auto"/>
            <w:vAlign w:val="center"/>
          </w:tcPr>
          <w:bookmarkEnd w:id="410"/>
          <w:p w14:paraId="539E116B" w14:textId="77777777" w:rsidR="00DB131D" w:rsidRPr="00F93561" w:rsidRDefault="00DB131D">
            <w:pPr>
              <w:jc w:val="center"/>
              <w:rPr>
                <w:color w:val="auto"/>
                <w:sz w:val="20"/>
              </w:rPr>
            </w:pPr>
            <w:r w:rsidRPr="00F93561">
              <w:rPr>
                <w:b/>
                <w:color w:val="auto"/>
                <w:sz w:val="20"/>
              </w:rPr>
              <w:t>Day</w:t>
            </w:r>
          </w:p>
        </w:tc>
        <w:tc>
          <w:tcPr>
            <w:tcW w:w="460" w:type="pct"/>
            <w:shd w:val="clear" w:color="auto" w:fill="auto"/>
            <w:vAlign w:val="center"/>
          </w:tcPr>
          <w:p w14:paraId="720F268F" w14:textId="77777777" w:rsidR="00DB131D" w:rsidRPr="00F93561" w:rsidRDefault="00DB131D">
            <w:pPr>
              <w:jc w:val="center"/>
              <w:rPr>
                <w:color w:val="auto"/>
                <w:sz w:val="20"/>
              </w:rPr>
            </w:pPr>
            <w:r w:rsidRPr="00F93561">
              <w:rPr>
                <w:b/>
                <w:color w:val="auto"/>
                <w:sz w:val="20"/>
              </w:rPr>
              <w:t>Date</w:t>
            </w:r>
          </w:p>
        </w:tc>
        <w:tc>
          <w:tcPr>
            <w:tcW w:w="667" w:type="pct"/>
            <w:vAlign w:val="center"/>
          </w:tcPr>
          <w:p w14:paraId="4A474358" w14:textId="04AE2370" w:rsidR="00DB131D" w:rsidRPr="00F93561" w:rsidRDefault="00DB131D">
            <w:pPr>
              <w:jc w:val="center"/>
              <w:rPr>
                <w:color w:val="auto"/>
                <w:sz w:val="20"/>
              </w:rPr>
            </w:pPr>
            <w:r w:rsidRPr="00F93561">
              <w:rPr>
                <w:b/>
                <w:color w:val="auto"/>
                <w:sz w:val="20"/>
              </w:rPr>
              <w:t>Time of dose</w:t>
            </w:r>
          </w:p>
        </w:tc>
        <w:tc>
          <w:tcPr>
            <w:tcW w:w="1126" w:type="pct"/>
            <w:shd w:val="clear" w:color="auto" w:fill="auto"/>
            <w:vAlign w:val="center"/>
          </w:tcPr>
          <w:p w14:paraId="2AEF6980" w14:textId="77777777" w:rsidR="00DB131D" w:rsidRPr="00F93561" w:rsidRDefault="00DB131D">
            <w:pPr>
              <w:jc w:val="center"/>
              <w:rPr>
                <w:color w:val="auto"/>
                <w:sz w:val="20"/>
              </w:rPr>
            </w:pPr>
            <w:r w:rsidRPr="00F93561">
              <w:rPr>
                <w:b/>
                <w:color w:val="auto"/>
                <w:sz w:val="20"/>
              </w:rPr>
              <w:t># of capsules taken</w:t>
            </w:r>
          </w:p>
        </w:tc>
        <w:tc>
          <w:tcPr>
            <w:tcW w:w="2500" w:type="pct"/>
            <w:shd w:val="clear" w:color="auto" w:fill="auto"/>
            <w:vAlign w:val="center"/>
          </w:tcPr>
          <w:p w14:paraId="3DAF27DF" w14:textId="77777777" w:rsidR="00DB131D" w:rsidRPr="00F93561" w:rsidRDefault="00DB131D">
            <w:pPr>
              <w:jc w:val="center"/>
              <w:rPr>
                <w:color w:val="auto"/>
                <w:sz w:val="20"/>
              </w:rPr>
            </w:pPr>
            <w:r w:rsidRPr="00F93561">
              <w:rPr>
                <w:b/>
                <w:color w:val="auto"/>
                <w:sz w:val="20"/>
              </w:rPr>
              <w:t>Comments</w:t>
            </w:r>
          </w:p>
        </w:tc>
      </w:tr>
      <w:tr w:rsidR="00DB131D" w:rsidRPr="001D7866" w14:paraId="2B546F28" w14:textId="77777777">
        <w:trPr>
          <w:jc w:val="center"/>
        </w:trPr>
        <w:tc>
          <w:tcPr>
            <w:tcW w:w="247" w:type="pct"/>
            <w:shd w:val="clear" w:color="auto" w:fill="auto"/>
            <w:vAlign w:val="center"/>
          </w:tcPr>
          <w:p w14:paraId="2DAD2F2A" w14:textId="77777777" w:rsidR="00DB131D" w:rsidRPr="007E73A3" w:rsidRDefault="00DB131D">
            <w:pPr>
              <w:jc w:val="center"/>
              <w:rPr>
                <w:color w:val="auto"/>
                <w:sz w:val="20"/>
              </w:rPr>
            </w:pPr>
            <w:r w:rsidRPr="007E73A3">
              <w:rPr>
                <w:color w:val="auto"/>
                <w:sz w:val="20"/>
              </w:rPr>
              <w:t>1</w:t>
            </w:r>
          </w:p>
        </w:tc>
        <w:tc>
          <w:tcPr>
            <w:tcW w:w="460" w:type="pct"/>
            <w:shd w:val="clear" w:color="auto" w:fill="auto"/>
            <w:vAlign w:val="center"/>
          </w:tcPr>
          <w:p w14:paraId="67F7377F" w14:textId="77777777" w:rsidR="00DB131D" w:rsidRPr="001D7866" w:rsidRDefault="00DB131D">
            <w:pPr>
              <w:jc w:val="center"/>
              <w:rPr>
                <w:color w:val="auto"/>
                <w:sz w:val="20"/>
              </w:rPr>
            </w:pPr>
          </w:p>
        </w:tc>
        <w:tc>
          <w:tcPr>
            <w:tcW w:w="667" w:type="pct"/>
            <w:vAlign w:val="center"/>
          </w:tcPr>
          <w:p w14:paraId="1218E9CB" w14:textId="77777777" w:rsidR="00DB131D" w:rsidRPr="001D7866" w:rsidRDefault="00DB131D">
            <w:pPr>
              <w:jc w:val="center"/>
              <w:rPr>
                <w:color w:val="auto"/>
                <w:sz w:val="20"/>
              </w:rPr>
            </w:pPr>
          </w:p>
        </w:tc>
        <w:tc>
          <w:tcPr>
            <w:tcW w:w="1126" w:type="pct"/>
            <w:shd w:val="clear" w:color="auto" w:fill="auto"/>
            <w:vAlign w:val="center"/>
          </w:tcPr>
          <w:p w14:paraId="60CDBE60" w14:textId="77777777" w:rsidR="00DB131D" w:rsidRPr="001D7866" w:rsidRDefault="00DB131D">
            <w:pPr>
              <w:jc w:val="center"/>
              <w:rPr>
                <w:color w:val="auto"/>
                <w:sz w:val="20"/>
              </w:rPr>
            </w:pPr>
          </w:p>
        </w:tc>
        <w:tc>
          <w:tcPr>
            <w:tcW w:w="2500" w:type="pct"/>
            <w:shd w:val="clear" w:color="auto" w:fill="auto"/>
            <w:vAlign w:val="center"/>
          </w:tcPr>
          <w:p w14:paraId="500D5A77" w14:textId="77777777" w:rsidR="00DB131D" w:rsidRPr="001D7866" w:rsidRDefault="00DB131D">
            <w:pPr>
              <w:rPr>
                <w:color w:val="auto"/>
                <w:sz w:val="20"/>
              </w:rPr>
            </w:pPr>
          </w:p>
        </w:tc>
      </w:tr>
      <w:tr w:rsidR="00DB131D" w:rsidRPr="001D7866" w14:paraId="1F86400B" w14:textId="77777777">
        <w:trPr>
          <w:jc w:val="center"/>
        </w:trPr>
        <w:tc>
          <w:tcPr>
            <w:tcW w:w="247" w:type="pct"/>
            <w:shd w:val="clear" w:color="auto" w:fill="auto"/>
            <w:vAlign w:val="center"/>
          </w:tcPr>
          <w:p w14:paraId="613928E5" w14:textId="77777777" w:rsidR="00DB131D" w:rsidRPr="001D7866" w:rsidRDefault="00DB131D">
            <w:pPr>
              <w:jc w:val="center"/>
              <w:rPr>
                <w:color w:val="auto"/>
                <w:sz w:val="20"/>
              </w:rPr>
            </w:pPr>
            <w:r w:rsidRPr="001D7866">
              <w:rPr>
                <w:color w:val="auto"/>
                <w:sz w:val="20"/>
              </w:rPr>
              <w:t>2</w:t>
            </w:r>
          </w:p>
        </w:tc>
        <w:tc>
          <w:tcPr>
            <w:tcW w:w="460" w:type="pct"/>
            <w:shd w:val="clear" w:color="auto" w:fill="auto"/>
            <w:vAlign w:val="center"/>
          </w:tcPr>
          <w:p w14:paraId="68E2D173" w14:textId="77777777" w:rsidR="00DB131D" w:rsidRPr="006D077C" w:rsidRDefault="00DB131D">
            <w:pPr>
              <w:jc w:val="center"/>
              <w:rPr>
                <w:color w:val="auto"/>
                <w:sz w:val="20"/>
              </w:rPr>
            </w:pPr>
          </w:p>
        </w:tc>
        <w:tc>
          <w:tcPr>
            <w:tcW w:w="667" w:type="pct"/>
            <w:shd w:val="clear" w:color="auto" w:fill="auto"/>
            <w:vAlign w:val="center"/>
          </w:tcPr>
          <w:p w14:paraId="608A1712" w14:textId="77777777" w:rsidR="00DB131D" w:rsidRPr="006D077C" w:rsidRDefault="00DB131D">
            <w:pPr>
              <w:jc w:val="center"/>
              <w:rPr>
                <w:color w:val="auto"/>
                <w:sz w:val="20"/>
              </w:rPr>
            </w:pPr>
          </w:p>
        </w:tc>
        <w:tc>
          <w:tcPr>
            <w:tcW w:w="1126" w:type="pct"/>
            <w:shd w:val="clear" w:color="auto" w:fill="auto"/>
            <w:vAlign w:val="center"/>
          </w:tcPr>
          <w:p w14:paraId="2CA3F5C4" w14:textId="77777777" w:rsidR="00DB131D" w:rsidRPr="006D077C" w:rsidRDefault="00DB131D">
            <w:pPr>
              <w:jc w:val="center"/>
              <w:rPr>
                <w:color w:val="auto"/>
                <w:sz w:val="20"/>
              </w:rPr>
            </w:pPr>
          </w:p>
        </w:tc>
        <w:tc>
          <w:tcPr>
            <w:tcW w:w="2500" w:type="pct"/>
            <w:shd w:val="clear" w:color="auto" w:fill="auto"/>
            <w:vAlign w:val="center"/>
          </w:tcPr>
          <w:p w14:paraId="29182D15" w14:textId="77777777" w:rsidR="00DB131D" w:rsidRPr="006D077C" w:rsidRDefault="00DB131D">
            <w:pPr>
              <w:rPr>
                <w:color w:val="auto"/>
                <w:sz w:val="20"/>
              </w:rPr>
            </w:pPr>
          </w:p>
        </w:tc>
      </w:tr>
      <w:tr w:rsidR="00DB131D" w:rsidRPr="001D7866" w14:paraId="450AC9D0" w14:textId="77777777">
        <w:trPr>
          <w:jc w:val="center"/>
        </w:trPr>
        <w:tc>
          <w:tcPr>
            <w:tcW w:w="247" w:type="pct"/>
            <w:shd w:val="clear" w:color="auto" w:fill="auto"/>
            <w:vAlign w:val="center"/>
          </w:tcPr>
          <w:p w14:paraId="7C53AF6C" w14:textId="77777777" w:rsidR="00DB131D" w:rsidRPr="001D7866" w:rsidRDefault="00DB131D">
            <w:pPr>
              <w:jc w:val="center"/>
              <w:rPr>
                <w:color w:val="auto"/>
                <w:sz w:val="20"/>
              </w:rPr>
            </w:pPr>
            <w:r w:rsidRPr="001D7866">
              <w:rPr>
                <w:color w:val="auto"/>
                <w:sz w:val="20"/>
              </w:rPr>
              <w:t>3</w:t>
            </w:r>
          </w:p>
        </w:tc>
        <w:tc>
          <w:tcPr>
            <w:tcW w:w="460" w:type="pct"/>
            <w:shd w:val="clear" w:color="auto" w:fill="auto"/>
            <w:vAlign w:val="center"/>
          </w:tcPr>
          <w:p w14:paraId="317DC2BD" w14:textId="77777777" w:rsidR="00DB131D" w:rsidRPr="006D077C" w:rsidRDefault="00DB131D">
            <w:pPr>
              <w:jc w:val="center"/>
              <w:rPr>
                <w:color w:val="auto"/>
                <w:sz w:val="20"/>
              </w:rPr>
            </w:pPr>
          </w:p>
        </w:tc>
        <w:tc>
          <w:tcPr>
            <w:tcW w:w="667" w:type="pct"/>
            <w:shd w:val="clear" w:color="auto" w:fill="auto"/>
            <w:vAlign w:val="center"/>
          </w:tcPr>
          <w:p w14:paraId="40A493EB" w14:textId="77777777" w:rsidR="00DB131D" w:rsidRPr="006D077C" w:rsidRDefault="00DB131D">
            <w:pPr>
              <w:jc w:val="center"/>
              <w:rPr>
                <w:color w:val="auto"/>
                <w:sz w:val="20"/>
              </w:rPr>
            </w:pPr>
          </w:p>
        </w:tc>
        <w:tc>
          <w:tcPr>
            <w:tcW w:w="1126" w:type="pct"/>
            <w:shd w:val="clear" w:color="auto" w:fill="auto"/>
            <w:vAlign w:val="center"/>
          </w:tcPr>
          <w:p w14:paraId="04CB6E40" w14:textId="77777777" w:rsidR="00DB131D" w:rsidRPr="006D077C" w:rsidRDefault="00DB131D">
            <w:pPr>
              <w:jc w:val="center"/>
              <w:rPr>
                <w:color w:val="auto"/>
                <w:sz w:val="20"/>
              </w:rPr>
            </w:pPr>
          </w:p>
        </w:tc>
        <w:tc>
          <w:tcPr>
            <w:tcW w:w="2500" w:type="pct"/>
            <w:shd w:val="clear" w:color="auto" w:fill="auto"/>
            <w:vAlign w:val="center"/>
          </w:tcPr>
          <w:p w14:paraId="0B51327E" w14:textId="77777777" w:rsidR="00DB131D" w:rsidRPr="006D077C" w:rsidRDefault="00DB131D">
            <w:pPr>
              <w:rPr>
                <w:color w:val="auto"/>
                <w:sz w:val="20"/>
              </w:rPr>
            </w:pPr>
          </w:p>
        </w:tc>
      </w:tr>
      <w:tr w:rsidR="00DB131D" w:rsidRPr="001D7866" w14:paraId="4BF18B59" w14:textId="77777777">
        <w:trPr>
          <w:jc w:val="center"/>
        </w:trPr>
        <w:tc>
          <w:tcPr>
            <w:tcW w:w="247" w:type="pct"/>
            <w:shd w:val="clear" w:color="auto" w:fill="auto"/>
            <w:vAlign w:val="center"/>
          </w:tcPr>
          <w:p w14:paraId="49ED19B0" w14:textId="77777777" w:rsidR="00DB131D" w:rsidRPr="001D7866" w:rsidRDefault="00DB131D">
            <w:pPr>
              <w:jc w:val="center"/>
              <w:rPr>
                <w:color w:val="auto"/>
                <w:sz w:val="20"/>
              </w:rPr>
            </w:pPr>
            <w:r w:rsidRPr="001D7866">
              <w:rPr>
                <w:color w:val="auto"/>
                <w:sz w:val="20"/>
              </w:rPr>
              <w:t>4</w:t>
            </w:r>
          </w:p>
        </w:tc>
        <w:tc>
          <w:tcPr>
            <w:tcW w:w="460" w:type="pct"/>
            <w:shd w:val="clear" w:color="auto" w:fill="auto"/>
            <w:vAlign w:val="center"/>
          </w:tcPr>
          <w:p w14:paraId="27FF48B6" w14:textId="77777777" w:rsidR="00DB131D" w:rsidRPr="006D077C" w:rsidRDefault="00DB131D">
            <w:pPr>
              <w:jc w:val="center"/>
              <w:rPr>
                <w:color w:val="auto"/>
                <w:sz w:val="20"/>
              </w:rPr>
            </w:pPr>
          </w:p>
        </w:tc>
        <w:tc>
          <w:tcPr>
            <w:tcW w:w="667" w:type="pct"/>
            <w:shd w:val="clear" w:color="auto" w:fill="auto"/>
            <w:vAlign w:val="center"/>
          </w:tcPr>
          <w:p w14:paraId="07952472" w14:textId="77777777" w:rsidR="00DB131D" w:rsidRPr="006D077C" w:rsidRDefault="00DB131D">
            <w:pPr>
              <w:jc w:val="center"/>
              <w:rPr>
                <w:color w:val="auto"/>
                <w:sz w:val="20"/>
              </w:rPr>
            </w:pPr>
          </w:p>
        </w:tc>
        <w:tc>
          <w:tcPr>
            <w:tcW w:w="1126" w:type="pct"/>
            <w:shd w:val="clear" w:color="auto" w:fill="auto"/>
            <w:vAlign w:val="center"/>
          </w:tcPr>
          <w:p w14:paraId="7FA3D0F9" w14:textId="77777777" w:rsidR="00DB131D" w:rsidRPr="006D077C" w:rsidRDefault="00DB131D">
            <w:pPr>
              <w:jc w:val="center"/>
              <w:rPr>
                <w:color w:val="auto"/>
                <w:sz w:val="20"/>
              </w:rPr>
            </w:pPr>
          </w:p>
        </w:tc>
        <w:tc>
          <w:tcPr>
            <w:tcW w:w="2500" w:type="pct"/>
            <w:shd w:val="clear" w:color="auto" w:fill="auto"/>
            <w:vAlign w:val="center"/>
          </w:tcPr>
          <w:p w14:paraId="4A94DD10" w14:textId="77777777" w:rsidR="00DB131D" w:rsidRPr="006D077C" w:rsidRDefault="00DB131D">
            <w:pPr>
              <w:rPr>
                <w:color w:val="auto"/>
                <w:sz w:val="20"/>
              </w:rPr>
            </w:pPr>
          </w:p>
        </w:tc>
      </w:tr>
      <w:tr w:rsidR="00DB131D" w:rsidRPr="001D7866" w14:paraId="3A918E6A" w14:textId="77777777">
        <w:trPr>
          <w:jc w:val="center"/>
        </w:trPr>
        <w:tc>
          <w:tcPr>
            <w:tcW w:w="247" w:type="pct"/>
            <w:shd w:val="clear" w:color="auto" w:fill="auto"/>
            <w:vAlign w:val="center"/>
          </w:tcPr>
          <w:p w14:paraId="0C7BBBB0" w14:textId="77777777" w:rsidR="00DB131D" w:rsidRPr="001D7866" w:rsidRDefault="00DB131D">
            <w:pPr>
              <w:jc w:val="center"/>
              <w:rPr>
                <w:color w:val="auto"/>
                <w:sz w:val="20"/>
              </w:rPr>
            </w:pPr>
            <w:r w:rsidRPr="001D7866">
              <w:rPr>
                <w:color w:val="auto"/>
                <w:sz w:val="20"/>
              </w:rPr>
              <w:t>5</w:t>
            </w:r>
          </w:p>
        </w:tc>
        <w:tc>
          <w:tcPr>
            <w:tcW w:w="460" w:type="pct"/>
            <w:shd w:val="clear" w:color="auto" w:fill="auto"/>
            <w:vAlign w:val="center"/>
          </w:tcPr>
          <w:p w14:paraId="01DC0710" w14:textId="77777777" w:rsidR="00DB131D" w:rsidRPr="006D077C" w:rsidRDefault="00DB131D">
            <w:pPr>
              <w:jc w:val="center"/>
              <w:rPr>
                <w:color w:val="auto"/>
                <w:sz w:val="20"/>
              </w:rPr>
            </w:pPr>
          </w:p>
        </w:tc>
        <w:tc>
          <w:tcPr>
            <w:tcW w:w="667" w:type="pct"/>
            <w:shd w:val="clear" w:color="auto" w:fill="auto"/>
            <w:vAlign w:val="center"/>
          </w:tcPr>
          <w:p w14:paraId="7107A629" w14:textId="77777777" w:rsidR="00DB131D" w:rsidRPr="006D077C" w:rsidRDefault="00DB131D">
            <w:pPr>
              <w:jc w:val="center"/>
              <w:rPr>
                <w:color w:val="auto"/>
                <w:sz w:val="20"/>
              </w:rPr>
            </w:pPr>
          </w:p>
        </w:tc>
        <w:tc>
          <w:tcPr>
            <w:tcW w:w="1126" w:type="pct"/>
            <w:shd w:val="clear" w:color="auto" w:fill="auto"/>
            <w:vAlign w:val="center"/>
          </w:tcPr>
          <w:p w14:paraId="4D7E5953" w14:textId="77777777" w:rsidR="00DB131D" w:rsidRPr="006D077C" w:rsidRDefault="00DB131D">
            <w:pPr>
              <w:jc w:val="center"/>
              <w:rPr>
                <w:color w:val="auto"/>
                <w:sz w:val="20"/>
              </w:rPr>
            </w:pPr>
          </w:p>
        </w:tc>
        <w:tc>
          <w:tcPr>
            <w:tcW w:w="2500" w:type="pct"/>
            <w:shd w:val="clear" w:color="auto" w:fill="auto"/>
            <w:vAlign w:val="center"/>
          </w:tcPr>
          <w:p w14:paraId="03359B40" w14:textId="77777777" w:rsidR="00DB131D" w:rsidRPr="006D077C" w:rsidRDefault="00DB131D">
            <w:pPr>
              <w:rPr>
                <w:color w:val="auto"/>
                <w:sz w:val="20"/>
              </w:rPr>
            </w:pPr>
          </w:p>
        </w:tc>
      </w:tr>
      <w:tr w:rsidR="008E7744" w:rsidRPr="001D7866" w14:paraId="23856A93" w14:textId="77777777" w:rsidTr="008E7744">
        <w:trPr>
          <w:jc w:val="center"/>
        </w:trPr>
        <w:tc>
          <w:tcPr>
            <w:tcW w:w="247" w:type="pct"/>
            <w:shd w:val="clear" w:color="auto" w:fill="D9D9D9" w:themeFill="background1" w:themeFillShade="D9"/>
            <w:vAlign w:val="center"/>
          </w:tcPr>
          <w:p w14:paraId="7D1139C5" w14:textId="77777777" w:rsidR="008E7744" w:rsidRPr="001D7866" w:rsidRDefault="008E7744" w:rsidP="008E7744">
            <w:pPr>
              <w:jc w:val="center"/>
              <w:rPr>
                <w:color w:val="auto"/>
                <w:sz w:val="20"/>
              </w:rPr>
            </w:pPr>
            <w:r w:rsidRPr="001D7866">
              <w:rPr>
                <w:color w:val="auto"/>
                <w:sz w:val="20"/>
              </w:rPr>
              <w:t>6</w:t>
            </w:r>
          </w:p>
        </w:tc>
        <w:tc>
          <w:tcPr>
            <w:tcW w:w="460" w:type="pct"/>
            <w:shd w:val="clear" w:color="auto" w:fill="D9D9D9" w:themeFill="background1" w:themeFillShade="D9"/>
            <w:vAlign w:val="center"/>
          </w:tcPr>
          <w:p w14:paraId="18E2336E" w14:textId="474BF7FC" w:rsidR="008E7744" w:rsidRPr="006D077C" w:rsidRDefault="008E7744" w:rsidP="008E7744">
            <w:pPr>
              <w:jc w:val="center"/>
              <w:rPr>
                <w:color w:val="auto"/>
                <w:sz w:val="20"/>
              </w:rPr>
            </w:pPr>
            <w:r>
              <w:rPr>
                <w:color w:val="auto"/>
                <w:sz w:val="20"/>
              </w:rPr>
              <w:t>XX</w:t>
            </w:r>
          </w:p>
        </w:tc>
        <w:tc>
          <w:tcPr>
            <w:tcW w:w="667" w:type="pct"/>
            <w:shd w:val="clear" w:color="auto" w:fill="D9D9D9" w:themeFill="background1" w:themeFillShade="D9"/>
            <w:vAlign w:val="center"/>
          </w:tcPr>
          <w:p w14:paraId="38DBB5FD" w14:textId="487558FC" w:rsidR="008E7744" w:rsidRPr="006D077C" w:rsidRDefault="008E7744" w:rsidP="008E7744">
            <w:pPr>
              <w:jc w:val="center"/>
              <w:rPr>
                <w:color w:val="auto"/>
                <w:sz w:val="20"/>
              </w:rPr>
            </w:pPr>
            <w:r>
              <w:rPr>
                <w:color w:val="auto"/>
                <w:sz w:val="20"/>
              </w:rPr>
              <w:t>XX</w:t>
            </w:r>
          </w:p>
        </w:tc>
        <w:tc>
          <w:tcPr>
            <w:tcW w:w="1126" w:type="pct"/>
            <w:shd w:val="clear" w:color="auto" w:fill="D9D9D9" w:themeFill="background1" w:themeFillShade="D9"/>
            <w:vAlign w:val="center"/>
          </w:tcPr>
          <w:p w14:paraId="5FE17922" w14:textId="58E39E9A" w:rsidR="008E7744" w:rsidRPr="006D077C" w:rsidRDefault="008E7744" w:rsidP="008E7744">
            <w:pPr>
              <w:jc w:val="center"/>
              <w:rPr>
                <w:color w:val="auto"/>
                <w:sz w:val="20"/>
              </w:rPr>
            </w:pPr>
            <w:r>
              <w:rPr>
                <w:color w:val="auto"/>
                <w:sz w:val="20"/>
              </w:rPr>
              <w:t>XX</w:t>
            </w:r>
          </w:p>
        </w:tc>
        <w:tc>
          <w:tcPr>
            <w:tcW w:w="2500" w:type="pct"/>
            <w:shd w:val="clear" w:color="auto" w:fill="D9D9D9" w:themeFill="background1" w:themeFillShade="D9"/>
            <w:vAlign w:val="center"/>
          </w:tcPr>
          <w:p w14:paraId="67F0FF77" w14:textId="2F4858BB" w:rsidR="008E7744" w:rsidRPr="006D077C" w:rsidRDefault="008E7744" w:rsidP="008E7744">
            <w:pPr>
              <w:rPr>
                <w:color w:val="auto"/>
                <w:sz w:val="20"/>
              </w:rPr>
            </w:pPr>
            <w:r w:rsidRPr="00E066E2">
              <w:rPr>
                <w:color w:val="auto"/>
                <w:sz w:val="20"/>
              </w:rPr>
              <w:t xml:space="preserve">Do not take </w:t>
            </w:r>
            <w:r>
              <w:rPr>
                <w:color w:val="auto"/>
                <w:sz w:val="20"/>
              </w:rPr>
              <w:t>triapine</w:t>
            </w:r>
            <w:r w:rsidRPr="00E066E2">
              <w:rPr>
                <w:color w:val="auto"/>
                <w:sz w:val="20"/>
              </w:rPr>
              <w:t xml:space="preserve"> on this day</w:t>
            </w:r>
          </w:p>
        </w:tc>
      </w:tr>
      <w:tr w:rsidR="008E7744" w:rsidRPr="001D7866" w14:paraId="29621E83" w14:textId="77777777" w:rsidTr="008E7744">
        <w:trPr>
          <w:jc w:val="center"/>
        </w:trPr>
        <w:tc>
          <w:tcPr>
            <w:tcW w:w="247" w:type="pct"/>
            <w:shd w:val="clear" w:color="auto" w:fill="D9D9D9" w:themeFill="background1" w:themeFillShade="D9"/>
            <w:vAlign w:val="center"/>
          </w:tcPr>
          <w:p w14:paraId="505643EC" w14:textId="77777777" w:rsidR="008E7744" w:rsidRPr="001D7866" w:rsidRDefault="008E7744" w:rsidP="008E7744">
            <w:pPr>
              <w:jc w:val="center"/>
              <w:rPr>
                <w:color w:val="auto"/>
                <w:sz w:val="20"/>
              </w:rPr>
            </w:pPr>
            <w:r w:rsidRPr="001D7866">
              <w:rPr>
                <w:color w:val="auto"/>
                <w:sz w:val="20"/>
              </w:rPr>
              <w:t>7</w:t>
            </w:r>
          </w:p>
        </w:tc>
        <w:tc>
          <w:tcPr>
            <w:tcW w:w="460" w:type="pct"/>
            <w:shd w:val="clear" w:color="auto" w:fill="D9D9D9" w:themeFill="background1" w:themeFillShade="D9"/>
            <w:vAlign w:val="center"/>
          </w:tcPr>
          <w:p w14:paraId="18788942" w14:textId="0580CF29" w:rsidR="008E7744" w:rsidRPr="006D077C" w:rsidRDefault="008E7744" w:rsidP="008E7744">
            <w:pPr>
              <w:jc w:val="center"/>
              <w:rPr>
                <w:color w:val="auto"/>
                <w:sz w:val="20"/>
              </w:rPr>
            </w:pPr>
            <w:r>
              <w:rPr>
                <w:color w:val="auto"/>
                <w:sz w:val="20"/>
              </w:rPr>
              <w:t>XX</w:t>
            </w:r>
          </w:p>
        </w:tc>
        <w:tc>
          <w:tcPr>
            <w:tcW w:w="667" w:type="pct"/>
            <w:shd w:val="clear" w:color="auto" w:fill="D9D9D9" w:themeFill="background1" w:themeFillShade="D9"/>
            <w:vAlign w:val="center"/>
          </w:tcPr>
          <w:p w14:paraId="63365841" w14:textId="3998077A" w:rsidR="008E7744" w:rsidRPr="006D077C" w:rsidRDefault="008E7744" w:rsidP="008E7744">
            <w:pPr>
              <w:jc w:val="center"/>
              <w:rPr>
                <w:color w:val="auto"/>
                <w:sz w:val="20"/>
              </w:rPr>
            </w:pPr>
            <w:r>
              <w:rPr>
                <w:color w:val="auto"/>
                <w:sz w:val="20"/>
              </w:rPr>
              <w:t>XX</w:t>
            </w:r>
          </w:p>
        </w:tc>
        <w:tc>
          <w:tcPr>
            <w:tcW w:w="1126" w:type="pct"/>
            <w:shd w:val="clear" w:color="auto" w:fill="D9D9D9" w:themeFill="background1" w:themeFillShade="D9"/>
            <w:vAlign w:val="center"/>
          </w:tcPr>
          <w:p w14:paraId="36E4A70E" w14:textId="186393E9" w:rsidR="008E7744" w:rsidRPr="006D077C" w:rsidRDefault="008E7744" w:rsidP="008E7744">
            <w:pPr>
              <w:jc w:val="center"/>
              <w:rPr>
                <w:color w:val="auto"/>
                <w:sz w:val="20"/>
              </w:rPr>
            </w:pPr>
            <w:r>
              <w:rPr>
                <w:color w:val="auto"/>
                <w:sz w:val="20"/>
              </w:rPr>
              <w:t>XX</w:t>
            </w:r>
          </w:p>
        </w:tc>
        <w:tc>
          <w:tcPr>
            <w:tcW w:w="2500" w:type="pct"/>
            <w:shd w:val="clear" w:color="auto" w:fill="D9D9D9" w:themeFill="background1" w:themeFillShade="D9"/>
            <w:vAlign w:val="center"/>
          </w:tcPr>
          <w:p w14:paraId="7CE99E12" w14:textId="3F2E1B26" w:rsidR="008E7744" w:rsidRPr="006D077C" w:rsidRDefault="008E7744" w:rsidP="008E7744">
            <w:pPr>
              <w:rPr>
                <w:color w:val="auto"/>
                <w:sz w:val="20"/>
              </w:rPr>
            </w:pPr>
            <w:r w:rsidRPr="00E066E2">
              <w:rPr>
                <w:color w:val="auto"/>
                <w:sz w:val="20"/>
              </w:rPr>
              <w:t xml:space="preserve">Do not take </w:t>
            </w:r>
            <w:r>
              <w:rPr>
                <w:color w:val="auto"/>
                <w:sz w:val="20"/>
              </w:rPr>
              <w:t>triapine</w:t>
            </w:r>
            <w:r w:rsidRPr="00E066E2">
              <w:rPr>
                <w:color w:val="auto"/>
                <w:sz w:val="20"/>
              </w:rPr>
              <w:t xml:space="preserve"> on this day</w:t>
            </w:r>
          </w:p>
        </w:tc>
      </w:tr>
      <w:tr w:rsidR="00DB131D" w:rsidRPr="001D7866" w14:paraId="32759EB2" w14:textId="77777777">
        <w:trPr>
          <w:jc w:val="center"/>
        </w:trPr>
        <w:tc>
          <w:tcPr>
            <w:tcW w:w="247" w:type="pct"/>
            <w:shd w:val="clear" w:color="auto" w:fill="auto"/>
            <w:vAlign w:val="center"/>
          </w:tcPr>
          <w:p w14:paraId="343958BD" w14:textId="77777777" w:rsidR="00DB131D" w:rsidRPr="001D7866" w:rsidRDefault="00DB131D">
            <w:pPr>
              <w:jc w:val="center"/>
              <w:rPr>
                <w:color w:val="auto"/>
                <w:sz w:val="20"/>
              </w:rPr>
            </w:pPr>
            <w:r>
              <w:rPr>
                <w:color w:val="auto"/>
                <w:sz w:val="20"/>
              </w:rPr>
              <w:t>8</w:t>
            </w:r>
          </w:p>
        </w:tc>
        <w:tc>
          <w:tcPr>
            <w:tcW w:w="460" w:type="pct"/>
            <w:shd w:val="clear" w:color="auto" w:fill="auto"/>
            <w:vAlign w:val="center"/>
          </w:tcPr>
          <w:p w14:paraId="170E19A3" w14:textId="77777777" w:rsidR="00DB131D" w:rsidRPr="006D077C" w:rsidRDefault="00DB131D">
            <w:pPr>
              <w:jc w:val="center"/>
              <w:rPr>
                <w:color w:val="auto"/>
                <w:sz w:val="20"/>
              </w:rPr>
            </w:pPr>
          </w:p>
        </w:tc>
        <w:tc>
          <w:tcPr>
            <w:tcW w:w="667" w:type="pct"/>
            <w:shd w:val="clear" w:color="auto" w:fill="auto"/>
            <w:vAlign w:val="center"/>
          </w:tcPr>
          <w:p w14:paraId="12FA46ED" w14:textId="77777777" w:rsidR="00DB131D" w:rsidRPr="006D077C" w:rsidRDefault="00DB131D">
            <w:pPr>
              <w:jc w:val="center"/>
              <w:rPr>
                <w:color w:val="auto"/>
                <w:sz w:val="20"/>
              </w:rPr>
            </w:pPr>
          </w:p>
        </w:tc>
        <w:tc>
          <w:tcPr>
            <w:tcW w:w="1126" w:type="pct"/>
            <w:shd w:val="clear" w:color="auto" w:fill="auto"/>
            <w:vAlign w:val="center"/>
          </w:tcPr>
          <w:p w14:paraId="267FBB3B" w14:textId="77777777" w:rsidR="00DB131D" w:rsidRPr="006D077C" w:rsidRDefault="00DB131D">
            <w:pPr>
              <w:jc w:val="center"/>
              <w:rPr>
                <w:color w:val="auto"/>
                <w:sz w:val="20"/>
              </w:rPr>
            </w:pPr>
          </w:p>
        </w:tc>
        <w:tc>
          <w:tcPr>
            <w:tcW w:w="2500" w:type="pct"/>
            <w:shd w:val="clear" w:color="auto" w:fill="auto"/>
            <w:vAlign w:val="center"/>
          </w:tcPr>
          <w:p w14:paraId="0D3E84B4" w14:textId="77777777" w:rsidR="00DB131D" w:rsidRPr="006D077C" w:rsidRDefault="00DB131D">
            <w:pPr>
              <w:rPr>
                <w:color w:val="auto"/>
                <w:sz w:val="20"/>
              </w:rPr>
            </w:pPr>
          </w:p>
        </w:tc>
      </w:tr>
      <w:tr w:rsidR="00DB131D" w:rsidRPr="001D7866" w14:paraId="36005972" w14:textId="77777777">
        <w:trPr>
          <w:jc w:val="center"/>
        </w:trPr>
        <w:tc>
          <w:tcPr>
            <w:tcW w:w="247" w:type="pct"/>
            <w:shd w:val="clear" w:color="auto" w:fill="auto"/>
            <w:vAlign w:val="center"/>
          </w:tcPr>
          <w:p w14:paraId="6555DA12" w14:textId="77777777" w:rsidR="00DB131D" w:rsidRPr="001D7866" w:rsidRDefault="00DB131D">
            <w:pPr>
              <w:jc w:val="center"/>
              <w:rPr>
                <w:color w:val="auto"/>
                <w:sz w:val="20"/>
              </w:rPr>
            </w:pPr>
            <w:r w:rsidRPr="001D7866">
              <w:rPr>
                <w:color w:val="auto"/>
                <w:sz w:val="20"/>
              </w:rPr>
              <w:t>9</w:t>
            </w:r>
          </w:p>
        </w:tc>
        <w:tc>
          <w:tcPr>
            <w:tcW w:w="460" w:type="pct"/>
            <w:shd w:val="clear" w:color="auto" w:fill="auto"/>
            <w:vAlign w:val="center"/>
          </w:tcPr>
          <w:p w14:paraId="299BC25A" w14:textId="77777777" w:rsidR="00DB131D" w:rsidRPr="006D077C" w:rsidRDefault="00DB131D">
            <w:pPr>
              <w:jc w:val="center"/>
              <w:rPr>
                <w:color w:val="auto"/>
                <w:sz w:val="20"/>
              </w:rPr>
            </w:pPr>
          </w:p>
        </w:tc>
        <w:tc>
          <w:tcPr>
            <w:tcW w:w="667" w:type="pct"/>
            <w:shd w:val="clear" w:color="auto" w:fill="auto"/>
            <w:vAlign w:val="center"/>
          </w:tcPr>
          <w:p w14:paraId="577BBA0E" w14:textId="77777777" w:rsidR="00DB131D" w:rsidRPr="006D077C" w:rsidRDefault="00DB131D">
            <w:pPr>
              <w:jc w:val="center"/>
              <w:rPr>
                <w:color w:val="auto"/>
                <w:sz w:val="20"/>
              </w:rPr>
            </w:pPr>
          </w:p>
        </w:tc>
        <w:tc>
          <w:tcPr>
            <w:tcW w:w="1126" w:type="pct"/>
            <w:shd w:val="clear" w:color="auto" w:fill="auto"/>
            <w:vAlign w:val="center"/>
          </w:tcPr>
          <w:p w14:paraId="409D903D" w14:textId="77777777" w:rsidR="00DB131D" w:rsidRPr="006D077C" w:rsidRDefault="00DB131D">
            <w:pPr>
              <w:jc w:val="center"/>
              <w:rPr>
                <w:color w:val="auto"/>
                <w:sz w:val="20"/>
              </w:rPr>
            </w:pPr>
          </w:p>
        </w:tc>
        <w:tc>
          <w:tcPr>
            <w:tcW w:w="2500" w:type="pct"/>
            <w:shd w:val="clear" w:color="auto" w:fill="auto"/>
            <w:vAlign w:val="center"/>
          </w:tcPr>
          <w:p w14:paraId="77B3563D" w14:textId="77777777" w:rsidR="00DB131D" w:rsidRPr="006D077C" w:rsidRDefault="00DB131D">
            <w:pPr>
              <w:rPr>
                <w:color w:val="auto"/>
                <w:sz w:val="20"/>
              </w:rPr>
            </w:pPr>
          </w:p>
        </w:tc>
      </w:tr>
      <w:tr w:rsidR="00DB131D" w:rsidRPr="001D7866" w14:paraId="2FBA4AD7" w14:textId="77777777">
        <w:trPr>
          <w:jc w:val="center"/>
        </w:trPr>
        <w:tc>
          <w:tcPr>
            <w:tcW w:w="247" w:type="pct"/>
            <w:shd w:val="clear" w:color="auto" w:fill="auto"/>
            <w:vAlign w:val="center"/>
          </w:tcPr>
          <w:p w14:paraId="46744AD9" w14:textId="77777777" w:rsidR="00DB131D" w:rsidRPr="001D7866" w:rsidRDefault="00DB131D">
            <w:pPr>
              <w:jc w:val="center"/>
              <w:rPr>
                <w:color w:val="auto"/>
                <w:sz w:val="20"/>
              </w:rPr>
            </w:pPr>
            <w:r w:rsidRPr="001D7866">
              <w:rPr>
                <w:color w:val="auto"/>
                <w:sz w:val="20"/>
              </w:rPr>
              <w:t>10</w:t>
            </w:r>
          </w:p>
        </w:tc>
        <w:tc>
          <w:tcPr>
            <w:tcW w:w="460" w:type="pct"/>
            <w:shd w:val="clear" w:color="auto" w:fill="auto"/>
            <w:vAlign w:val="center"/>
          </w:tcPr>
          <w:p w14:paraId="766837E7" w14:textId="77777777" w:rsidR="00DB131D" w:rsidRPr="006D077C" w:rsidRDefault="00DB131D">
            <w:pPr>
              <w:jc w:val="center"/>
              <w:rPr>
                <w:color w:val="auto"/>
                <w:sz w:val="20"/>
              </w:rPr>
            </w:pPr>
          </w:p>
        </w:tc>
        <w:tc>
          <w:tcPr>
            <w:tcW w:w="667" w:type="pct"/>
            <w:shd w:val="clear" w:color="auto" w:fill="auto"/>
            <w:vAlign w:val="center"/>
          </w:tcPr>
          <w:p w14:paraId="1735874A" w14:textId="77777777" w:rsidR="00DB131D" w:rsidRPr="006D077C" w:rsidRDefault="00DB131D">
            <w:pPr>
              <w:jc w:val="center"/>
              <w:rPr>
                <w:color w:val="auto"/>
                <w:sz w:val="20"/>
              </w:rPr>
            </w:pPr>
          </w:p>
        </w:tc>
        <w:tc>
          <w:tcPr>
            <w:tcW w:w="1126" w:type="pct"/>
            <w:shd w:val="clear" w:color="auto" w:fill="auto"/>
            <w:vAlign w:val="center"/>
          </w:tcPr>
          <w:p w14:paraId="7B93EAC9" w14:textId="77777777" w:rsidR="00DB131D" w:rsidRPr="006D077C" w:rsidRDefault="00DB131D">
            <w:pPr>
              <w:jc w:val="center"/>
              <w:rPr>
                <w:color w:val="auto"/>
                <w:sz w:val="20"/>
              </w:rPr>
            </w:pPr>
          </w:p>
        </w:tc>
        <w:tc>
          <w:tcPr>
            <w:tcW w:w="2500" w:type="pct"/>
            <w:shd w:val="clear" w:color="auto" w:fill="auto"/>
            <w:vAlign w:val="center"/>
          </w:tcPr>
          <w:p w14:paraId="74A3171B" w14:textId="77777777" w:rsidR="00DB131D" w:rsidRPr="006D077C" w:rsidRDefault="00DB131D">
            <w:pPr>
              <w:rPr>
                <w:color w:val="auto"/>
                <w:sz w:val="20"/>
              </w:rPr>
            </w:pPr>
          </w:p>
        </w:tc>
      </w:tr>
      <w:tr w:rsidR="00DB131D" w:rsidRPr="001D7866" w14:paraId="3334905F" w14:textId="77777777">
        <w:trPr>
          <w:jc w:val="center"/>
        </w:trPr>
        <w:tc>
          <w:tcPr>
            <w:tcW w:w="247" w:type="pct"/>
            <w:shd w:val="clear" w:color="auto" w:fill="auto"/>
            <w:vAlign w:val="center"/>
          </w:tcPr>
          <w:p w14:paraId="18D5E077" w14:textId="77777777" w:rsidR="00DB131D" w:rsidRPr="001D7866" w:rsidRDefault="00DB131D">
            <w:pPr>
              <w:jc w:val="center"/>
              <w:rPr>
                <w:color w:val="auto"/>
                <w:sz w:val="20"/>
              </w:rPr>
            </w:pPr>
            <w:r w:rsidRPr="001D7866">
              <w:rPr>
                <w:color w:val="auto"/>
                <w:sz w:val="20"/>
              </w:rPr>
              <w:t>11</w:t>
            </w:r>
          </w:p>
        </w:tc>
        <w:tc>
          <w:tcPr>
            <w:tcW w:w="460" w:type="pct"/>
            <w:shd w:val="clear" w:color="auto" w:fill="auto"/>
            <w:vAlign w:val="center"/>
          </w:tcPr>
          <w:p w14:paraId="6010FE36" w14:textId="77777777" w:rsidR="00DB131D" w:rsidRPr="006D077C" w:rsidRDefault="00DB131D">
            <w:pPr>
              <w:jc w:val="center"/>
              <w:rPr>
                <w:color w:val="auto"/>
                <w:sz w:val="20"/>
              </w:rPr>
            </w:pPr>
          </w:p>
        </w:tc>
        <w:tc>
          <w:tcPr>
            <w:tcW w:w="667" w:type="pct"/>
            <w:shd w:val="clear" w:color="auto" w:fill="auto"/>
            <w:vAlign w:val="center"/>
          </w:tcPr>
          <w:p w14:paraId="06F53450" w14:textId="77777777" w:rsidR="00DB131D" w:rsidRPr="006D077C" w:rsidRDefault="00DB131D">
            <w:pPr>
              <w:jc w:val="center"/>
              <w:rPr>
                <w:color w:val="auto"/>
                <w:sz w:val="20"/>
              </w:rPr>
            </w:pPr>
          </w:p>
        </w:tc>
        <w:tc>
          <w:tcPr>
            <w:tcW w:w="1126" w:type="pct"/>
            <w:shd w:val="clear" w:color="auto" w:fill="auto"/>
            <w:vAlign w:val="center"/>
          </w:tcPr>
          <w:p w14:paraId="07E49A9C" w14:textId="77777777" w:rsidR="00DB131D" w:rsidRPr="006D077C" w:rsidRDefault="00DB131D">
            <w:pPr>
              <w:jc w:val="center"/>
              <w:rPr>
                <w:color w:val="auto"/>
                <w:sz w:val="20"/>
              </w:rPr>
            </w:pPr>
          </w:p>
        </w:tc>
        <w:tc>
          <w:tcPr>
            <w:tcW w:w="2500" w:type="pct"/>
            <w:shd w:val="clear" w:color="auto" w:fill="auto"/>
            <w:vAlign w:val="center"/>
          </w:tcPr>
          <w:p w14:paraId="680C1954" w14:textId="77777777" w:rsidR="00DB131D" w:rsidRPr="006D077C" w:rsidRDefault="00DB131D">
            <w:pPr>
              <w:rPr>
                <w:color w:val="auto"/>
                <w:sz w:val="20"/>
              </w:rPr>
            </w:pPr>
          </w:p>
        </w:tc>
      </w:tr>
      <w:tr w:rsidR="00DB131D" w:rsidRPr="001D7866" w14:paraId="0FF33125" w14:textId="77777777">
        <w:trPr>
          <w:jc w:val="center"/>
        </w:trPr>
        <w:tc>
          <w:tcPr>
            <w:tcW w:w="247" w:type="pct"/>
            <w:shd w:val="clear" w:color="auto" w:fill="auto"/>
            <w:vAlign w:val="center"/>
          </w:tcPr>
          <w:p w14:paraId="029352B9" w14:textId="77777777" w:rsidR="00DB131D" w:rsidRPr="001D7866" w:rsidRDefault="00DB131D">
            <w:pPr>
              <w:jc w:val="center"/>
              <w:rPr>
                <w:color w:val="auto"/>
                <w:sz w:val="20"/>
              </w:rPr>
            </w:pPr>
            <w:r w:rsidRPr="001D7866">
              <w:rPr>
                <w:color w:val="auto"/>
                <w:sz w:val="20"/>
              </w:rPr>
              <w:t>12</w:t>
            </w:r>
          </w:p>
        </w:tc>
        <w:tc>
          <w:tcPr>
            <w:tcW w:w="460" w:type="pct"/>
            <w:shd w:val="clear" w:color="auto" w:fill="auto"/>
            <w:vAlign w:val="center"/>
          </w:tcPr>
          <w:p w14:paraId="68D93E40" w14:textId="77777777" w:rsidR="00DB131D" w:rsidRPr="006D077C" w:rsidRDefault="00DB131D">
            <w:pPr>
              <w:jc w:val="center"/>
              <w:rPr>
                <w:color w:val="auto"/>
                <w:sz w:val="20"/>
              </w:rPr>
            </w:pPr>
          </w:p>
        </w:tc>
        <w:tc>
          <w:tcPr>
            <w:tcW w:w="667" w:type="pct"/>
            <w:shd w:val="clear" w:color="auto" w:fill="auto"/>
            <w:vAlign w:val="center"/>
          </w:tcPr>
          <w:p w14:paraId="7135FC2F" w14:textId="77777777" w:rsidR="00DB131D" w:rsidRPr="006D077C" w:rsidRDefault="00DB131D">
            <w:pPr>
              <w:jc w:val="center"/>
              <w:rPr>
                <w:color w:val="auto"/>
                <w:sz w:val="20"/>
              </w:rPr>
            </w:pPr>
          </w:p>
        </w:tc>
        <w:tc>
          <w:tcPr>
            <w:tcW w:w="1126" w:type="pct"/>
            <w:shd w:val="clear" w:color="auto" w:fill="auto"/>
            <w:vAlign w:val="center"/>
          </w:tcPr>
          <w:p w14:paraId="3F188D3D" w14:textId="77777777" w:rsidR="00DB131D" w:rsidRPr="006D077C" w:rsidRDefault="00DB131D">
            <w:pPr>
              <w:jc w:val="center"/>
              <w:rPr>
                <w:color w:val="auto"/>
                <w:sz w:val="20"/>
              </w:rPr>
            </w:pPr>
          </w:p>
        </w:tc>
        <w:tc>
          <w:tcPr>
            <w:tcW w:w="2500" w:type="pct"/>
            <w:shd w:val="clear" w:color="auto" w:fill="auto"/>
            <w:vAlign w:val="center"/>
          </w:tcPr>
          <w:p w14:paraId="2BEF21DF" w14:textId="77777777" w:rsidR="00DB131D" w:rsidRPr="006D077C" w:rsidRDefault="00DB131D">
            <w:pPr>
              <w:rPr>
                <w:color w:val="auto"/>
                <w:sz w:val="20"/>
              </w:rPr>
            </w:pPr>
          </w:p>
        </w:tc>
      </w:tr>
      <w:tr w:rsidR="008E7744" w:rsidRPr="001D7866" w14:paraId="1DDCD480" w14:textId="77777777" w:rsidTr="008E7744">
        <w:trPr>
          <w:jc w:val="center"/>
        </w:trPr>
        <w:tc>
          <w:tcPr>
            <w:tcW w:w="247" w:type="pct"/>
            <w:shd w:val="clear" w:color="auto" w:fill="D9D9D9" w:themeFill="background1" w:themeFillShade="D9"/>
            <w:vAlign w:val="center"/>
          </w:tcPr>
          <w:p w14:paraId="7FB116B4" w14:textId="77777777" w:rsidR="008E7744" w:rsidRPr="001D7866" w:rsidRDefault="008E7744" w:rsidP="008E7744">
            <w:pPr>
              <w:jc w:val="center"/>
              <w:rPr>
                <w:color w:val="auto"/>
                <w:sz w:val="20"/>
              </w:rPr>
            </w:pPr>
            <w:r w:rsidRPr="001D7866">
              <w:rPr>
                <w:color w:val="auto"/>
                <w:sz w:val="20"/>
              </w:rPr>
              <w:t>13</w:t>
            </w:r>
          </w:p>
        </w:tc>
        <w:tc>
          <w:tcPr>
            <w:tcW w:w="460" w:type="pct"/>
            <w:shd w:val="clear" w:color="auto" w:fill="D9D9D9" w:themeFill="background1" w:themeFillShade="D9"/>
            <w:vAlign w:val="center"/>
          </w:tcPr>
          <w:p w14:paraId="47C0F56B" w14:textId="6B31D4CC" w:rsidR="008E7744" w:rsidRPr="006D077C" w:rsidRDefault="008E7744" w:rsidP="008E7744">
            <w:pPr>
              <w:jc w:val="center"/>
              <w:rPr>
                <w:color w:val="auto"/>
                <w:sz w:val="20"/>
              </w:rPr>
            </w:pPr>
            <w:r>
              <w:rPr>
                <w:color w:val="auto"/>
                <w:sz w:val="20"/>
              </w:rPr>
              <w:t>XX</w:t>
            </w:r>
          </w:p>
        </w:tc>
        <w:tc>
          <w:tcPr>
            <w:tcW w:w="667" w:type="pct"/>
            <w:shd w:val="clear" w:color="auto" w:fill="D9D9D9" w:themeFill="background1" w:themeFillShade="D9"/>
            <w:vAlign w:val="center"/>
          </w:tcPr>
          <w:p w14:paraId="5093F7CA" w14:textId="71BD8287" w:rsidR="008E7744" w:rsidRPr="006D077C" w:rsidRDefault="008E7744" w:rsidP="008E7744">
            <w:pPr>
              <w:jc w:val="center"/>
              <w:rPr>
                <w:color w:val="auto"/>
                <w:sz w:val="20"/>
              </w:rPr>
            </w:pPr>
            <w:r>
              <w:rPr>
                <w:color w:val="auto"/>
                <w:sz w:val="20"/>
              </w:rPr>
              <w:t>XX</w:t>
            </w:r>
          </w:p>
        </w:tc>
        <w:tc>
          <w:tcPr>
            <w:tcW w:w="1126" w:type="pct"/>
            <w:shd w:val="clear" w:color="auto" w:fill="D9D9D9" w:themeFill="background1" w:themeFillShade="D9"/>
            <w:vAlign w:val="center"/>
          </w:tcPr>
          <w:p w14:paraId="5795EC21" w14:textId="0E456EF4" w:rsidR="008E7744" w:rsidRPr="006D077C" w:rsidRDefault="008E7744" w:rsidP="008E7744">
            <w:pPr>
              <w:jc w:val="center"/>
              <w:rPr>
                <w:color w:val="auto"/>
                <w:sz w:val="20"/>
              </w:rPr>
            </w:pPr>
            <w:r>
              <w:rPr>
                <w:color w:val="auto"/>
                <w:sz w:val="20"/>
              </w:rPr>
              <w:t>XX</w:t>
            </w:r>
          </w:p>
        </w:tc>
        <w:tc>
          <w:tcPr>
            <w:tcW w:w="2500" w:type="pct"/>
            <w:shd w:val="clear" w:color="auto" w:fill="D9D9D9" w:themeFill="background1" w:themeFillShade="D9"/>
            <w:vAlign w:val="center"/>
          </w:tcPr>
          <w:p w14:paraId="2D908F79" w14:textId="18BE4E80" w:rsidR="008E7744" w:rsidRPr="006D077C" w:rsidRDefault="008E7744" w:rsidP="008E7744">
            <w:pPr>
              <w:rPr>
                <w:color w:val="auto"/>
                <w:sz w:val="20"/>
              </w:rPr>
            </w:pPr>
            <w:r w:rsidRPr="00E066E2">
              <w:rPr>
                <w:color w:val="auto"/>
                <w:sz w:val="20"/>
              </w:rPr>
              <w:t xml:space="preserve">Do not take </w:t>
            </w:r>
            <w:r>
              <w:rPr>
                <w:color w:val="auto"/>
                <w:sz w:val="20"/>
              </w:rPr>
              <w:t>triapine</w:t>
            </w:r>
            <w:r w:rsidRPr="00E066E2">
              <w:rPr>
                <w:color w:val="auto"/>
                <w:sz w:val="20"/>
              </w:rPr>
              <w:t xml:space="preserve"> on this day</w:t>
            </w:r>
          </w:p>
        </w:tc>
      </w:tr>
      <w:tr w:rsidR="008E7744" w:rsidRPr="001D7866" w14:paraId="76F4A3F3" w14:textId="77777777" w:rsidTr="008E7744">
        <w:trPr>
          <w:jc w:val="center"/>
        </w:trPr>
        <w:tc>
          <w:tcPr>
            <w:tcW w:w="247" w:type="pct"/>
            <w:shd w:val="clear" w:color="auto" w:fill="D9D9D9" w:themeFill="background1" w:themeFillShade="D9"/>
            <w:vAlign w:val="center"/>
          </w:tcPr>
          <w:p w14:paraId="3BD0E72D" w14:textId="77777777" w:rsidR="008E7744" w:rsidRPr="001D7866" w:rsidRDefault="008E7744" w:rsidP="008E7744">
            <w:pPr>
              <w:jc w:val="center"/>
              <w:rPr>
                <w:color w:val="auto"/>
                <w:sz w:val="20"/>
              </w:rPr>
            </w:pPr>
            <w:r w:rsidRPr="001D7866">
              <w:rPr>
                <w:color w:val="auto"/>
                <w:sz w:val="20"/>
              </w:rPr>
              <w:t>14</w:t>
            </w:r>
          </w:p>
        </w:tc>
        <w:tc>
          <w:tcPr>
            <w:tcW w:w="460" w:type="pct"/>
            <w:shd w:val="clear" w:color="auto" w:fill="D9D9D9" w:themeFill="background1" w:themeFillShade="D9"/>
            <w:vAlign w:val="center"/>
          </w:tcPr>
          <w:p w14:paraId="5841776C" w14:textId="57D63F64" w:rsidR="008E7744" w:rsidRPr="006D077C" w:rsidRDefault="008E7744" w:rsidP="008E7744">
            <w:pPr>
              <w:jc w:val="center"/>
              <w:rPr>
                <w:color w:val="auto"/>
                <w:sz w:val="20"/>
              </w:rPr>
            </w:pPr>
            <w:r>
              <w:rPr>
                <w:color w:val="auto"/>
                <w:sz w:val="20"/>
              </w:rPr>
              <w:t>XX</w:t>
            </w:r>
          </w:p>
        </w:tc>
        <w:tc>
          <w:tcPr>
            <w:tcW w:w="667" w:type="pct"/>
            <w:shd w:val="clear" w:color="auto" w:fill="D9D9D9" w:themeFill="background1" w:themeFillShade="D9"/>
            <w:vAlign w:val="center"/>
          </w:tcPr>
          <w:p w14:paraId="628F4E69" w14:textId="514AD6B0" w:rsidR="008E7744" w:rsidRPr="006D077C" w:rsidRDefault="008E7744" w:rsidP="008E7744">
            <w:pPr>
              <w:jc w:val="center"/>
              <w:rPr>
                <w:color w:val="auto"/>
                <w:sz w:val="20"/>
              </w:rPr>
            </w:pPr>
            <w:r>
              <w:rPr>
                <w:color w:val="auto"/>
                <w:sz w:val="20"/>
              </w:rPr>
              <w:t>XX</w:t>
            </w:r>
          </w:p>
        </w:tc>
        <w:tc>
          <w:tcPr>
            <w:tcW w:w="1126" w:type="pct"/>
            <w:shd w:val="clear" w:color="auto" w:fill="D9D9D9" w:themeFill="background1" w:themeFillShade="D9"/>
            <w:vAlign w:val="center"/>
          </w:tcPr>
          <w:p w14:paraId="2EC00CBB" w14:textId="3F1B0557" w:rsidR="008E7744" w:rsidRPr="006D077C" w:rsidRDefault="008E7744" w:rsidP="008E7744">
            <w:pPr>
              <w:jc w:val="center"/>
              <w:rPr>
                <w:color w:val="auto"/>
                <w:sz w:val="20"/>
              </w:rPr>
            </w:pPr>
            <w:r>
              <w:rPr>
                <w:color w:val="auto"/>
                <w:sz w:val="20"/>
              </w:rPr>
              <w:t>XX</w:t>
            </w:r>
          </w:p>
        </w:tc>
        <w:tc>
          <w:tcPr>
            <w:tcW w:w="2500" w:type="pct"/>
            <w:shd w:val="clear" w:color="auto" w:fill="D9D9D9" w:themeFill="background1" w:themeFillShade="D9"/>
            <w:vAlign w:val="center"/>
          </w:tcPr>
          <w:p w14:paraId="18B51BB5" w14:textId="0AA8A78F" w:rsidR="008E7744" w:rsidRPr="006D077C" w:rsidRDefault="008E7744" w:rsidP="008E7744">
            <w:pPr>
              <w:rPr>
                <w:color w:val="auto"/>
                <w:sz w:val="20"/>
              </w:rPr>
            </w:pPr>
            <w:r w:rsidRPr="00E066E2">
              <w:rPr>
                <w:color w:val="auto"/>
                <w:sz w:val="20"/>
              </w:rPr>
              <w:t xml:space="preserve">Do not take </w:t>
            </w:r>
            <w:r>
              <w:rPr>
                <w:color w:val="auto"/>
                <w:sz w:val="20"/>
              </w:rPr>
              <w:t>triapine</w:t>
            </w:r>
            <w:r w:rsidRPr="00E066E2">
              <w:rPr>
                <w:color w:val="auto"/>
                <w:sz w:val="20"/>
              </w:rPr>
              <w:t xml:space="preserve"> on this day</w:t>
            </w:r>
          </w:p>
        </w:tc>
      </w:tr>
      <w:tr w:rsidR="008E7744" w:rsidRPr="001D7866" w14:paraId="6FABEAED" w14:textId="77777777" w:rsidTr="008E7744">
        <w:trPr>
          <w:jc w:val="center"/>
        </w:trPr>
        <w:tc>
          <w:tcPr>
            <w:tcW w:w="247" w:type="pct"/>
            <w:shd w:val="clear" w:color="auto" w:fill="D9D9D9" w:themeFill="background1" w:themeFillShade="D9"/>
            <w:vAlign w:val="center"/>
          </w:tcPr>
          <w:p w14:paraId="2242A022" w14:textId="77777777" w:rsidR="008E7744" w:rsidRPr="001D7866" w:rsidRDefault="008E7744" w:rsidP="008E7744">
            <w:pPr>
              <w:jc w:val="center"/>
              <w:rPr>
                <w:color w:val="auto"/>
                <w:sz w:val="20"/>
              </w:rPr>
            </w:pPr>
            <w:r>
              <w:rPr>
                <w:color w:val="auto"/>
                <w:sz w:val="20"/>
              </w:rPr>
              <w:t>15</w:t>
            </w:r>
          </w:p>
        </w:tc>
        <w:tc>
          <w:tcPr>
            <w:tcW w:w="460" w:type="pct"/>
            <w:shd w:val="clear" w:color="auto" w:fill="D9D9D9" w:themeFill="background1" w:themeFillShade="D9"/>
            <w:vAlign w:val="center"/>
          </w:tcPr>
          <w:p w14:paraId="7105FFC1" w14:textId="0330E156" w:rsidR="008E7744" w:rsidRPr="006D077C" w:rsidRDefault="008E7744" w:rsidP="008E7744">
            <w:pPr>
              <w:jc w:val="center"/>
              <w:rPr>
                <w:color w:val="auto"/>
                <w:sz w:val="20"/>
              </w:rPr>
            </w:pPr>
            <w:r>
              <w:rPr>
                <w:color w:val="auto"/>
                <w:sz w:val="20"/>
              </w:rPr>
              <w:t>XX</w:t>
            </w:r>
          </w:p>
        </w:tc>
        <w:tc>
          <w:tcPr>
            <w:tcW w:w="667" w:type="pct"/>
            <w:shd w:val="clear" w:color="auto" w:fill="D9D9D9" w:themeFill="background1" w:themeFillShade="D9"/>
            <w:vAlign w:val="center"/>
          </w:tcPr>
          <w:p w14:paraId="0E31934A" w14:textId="05413F31" w:rsidR="008E7744" w:rsidRPr="006D077C" w:rsidRDefault="008E7744" w:rsidP="008E7744">
            <w:pPr>
              <w:jc w:val="center"/>
              <w:rPr>
                <w:color w:val="auto"/>
                <w:sz w:val="20"/>
              </w:rPr>
            </w:pPr>
            <w:r>
              <w:rPr>
                <w:color w:val="auto"/>
                <w:sz w:val="20"/>
              </w:rPr>
              <w:t>XX</w:t>
            </w:r>
          </w:p>
        </w:tc>
        <w:tc>
          <w:tcPr>
            <w:tcW w:w="1126" w:type="pct"/>
            <w:shd w:val="clear" w:color="auto" w:fill="D9D9D9" w:themeFill="background1" w:themeFillShade="D9"/>
            <w:vAlign w:val="center"/>
          </w:tcPr>
          <w:p w14:paraId="1EEC413F" w14:textId="3321EEF4" w:rsidR="008E7744" w:rsidRPr="006D077C" w:rsidRDefault="008E7744" w:rsidP="008E7744">
            <w:pPr>
              <w:jc w:val="center"/>
              <w:rPr>
                <w:color w:val="auto"/>
                <w:sz w:val="20"/>
              </w:rPr>
            </w:pPr>
            <w:r>
              <w:rPr>
                <w:color w:val="auto"/>
                <w:sz w:val="20"/>
              </w:rPr>
              <w:t>XX</w:t>
            </w:r>
          </w:p>
        </w:tc>
        <w:tc>
          <w:tcPr>
            <w:tcW w:w="2500" w:type="pct"/>
            <w:shd w:val="clear" w:color="auto" w:fill="D9D9D9" w:themeFill="background1" w:themeFillShade="D9"/>
            <w:vAlign w:val="center"/>
          </w:tcPr>
          <w:p w14:paraId="688FCCAD" w14:textId="37D8E14C" w:rsidR="008E7744" w:rsidRPr="006D077C" w:rsidRDefault="008E7744" w:rsidP="008E7744">
            <w:pPr>
              <w:rPr>
                <w:color w:val="auto"/>
                <w:sz w:val="20"/>
              </w:rPr>
            </w:pPr>
            <w:r w:rsidRPr="00E066E2">
              <w:rPr>
                <w:color w:val="auto"/>
                <w:sz w:val="20"/>
              </w:rPr>
              <w:t xml:space="preserve">Do not take </w:t>
            </w:r>
            <w:r>
              <w:rPr>
                <w:color w:val="auto"/>
                <w:sz w:val="20"/>
              </w:rPr>
              <w:t>triapine</w:t>
            </w:r>
            <w:r w:rsidRPr="00E066E2">
              <w:rPr>
                <w:color w:val="auto"/>
                <w:sz w:val="20"/>
              </w:rPr>
              <w:t xml:space="preserve"> on this day</w:t>
            </w:r>
          </w:p>
        </w:tc>
      </w:tr>
      <w:tr w:rsidR="008E7744" w:rsidRPr="001D7866" w14:paraId="2425BC6D" w14:textId="77777777" w:rsidTr="008E7744">
        <w:trPr>
          <w:jc w:val="center"/>
        </w:trPr>
        <w:tc>
          <w:tcPr>
            <w:tcW w:w="247" w:type="pct"/>
            <w:shd w:val="clear" w:color="auto" w:fill="D9D9D9" w:themeFill="background1" w:themeFillShade="D9"/>
            <w:vAlign w:val="center"/>
          </w:tcPr>
          <w:p w14:paraId="31607D62" w14:textId="77777777" w:rsidR="008E7744" w:rsidRPr="001D7866" w:rsidRDefault="008E7744" w:rsidP="008E7744">
            <w:pPr>
              <w:jc w:val="center"/>
              <w:rPr>
                <w:color w:val="auto"/>
                <w:sz w:val="20"/>
              </w:rPr>
            </w:pPr>
            <w:r w:rsidRPr="001D7866">
              <w:rPr>
                <w:color w:val="auto"/>
                <w:sz w:val="20"/>
              </w:rPr>
              <w:t>16</w:t>
            </w:r>
          </w:p>
        </w:tc>
        <w:tc>
          <w:tcPr>
            <w:tcW w:w="460" w:type="pct"/>
            <w:shd w:val="clear" w:color="auto" w:fill="D9D9D9" w:themeFill="background1" w:themeFillShade="D9"/>
            <w:vAlign w:val="center"/>
          </w:tcPr>
          <w:p w14:paraId="5DB6F908" w14:textId="1647E2F6" w:rsidR="008E7744" w:rsidRPr="006D077C" w:rsidRDefault="008E7744" w:rsidP="008E7744">
            <w:pPr>
              <w:jc w:val="center"/>
              <w:rPr>
                <w:color w:val="auto"/>
                <w:sz w:val="20"/>
              </w:rPr>
            </w:pPr>
            <w:r>
              <w:rPr>
                <w:color w:val="auto"/>
                <w:sz w:val="20"/>
              </w:rPr>
              <w:t>XX</w:t>
            </w:r>
          </w:p>
        </w:tc>
        <w:tc>
          <w:tcPr>
            <w:tcW w:w="667" w:type="pct"/>
            <w:shd w:val="clear" w:color="auto" w:fill="D9D9D9" w:themeFill="background1" w:themeFillShade="D9"/>
            <w:vAlign w:val="center"/>
          </w:tcPr>
          <w:p w14:paraId="4F7C9F57" w14:textId="5EDAB7F4" w:rsidR="008E7744" w:rsidRPr="006D077C" w:rsidRDefault="008E7744" w:rsidP="008E7744">
            <w:pPr>
              <w:jc w:val="center"/>
              <w:rPr>
                <w:color w:val="auto"/>
                <w:sz w:val="20"/>
              </w:rPr>
            </w:pPr>
            <w:r>
              <w:rPr>
                <w:color w:val="auto"/>
                <w:sz w:val="20"/>
              </w:rPr>
              <w:t>XX</w:t>
            </w:r>
          </w:p>
        </w:tc>
        <w:tc>
          <w:tcPr>
            <w:tcW w:w="1126" w:type="pct"/>
            <w:shd w:val="clear" w:color="auto" w:fill="D9D9D9" w:themeFill="background1" w:themeFillShade="D9"/>
            <w:vAlign w:val="center"/>
          </w:tcPr>
          <w:p w14:paraId="7AF9BAF9" w14:textId="07CFFB83" w:rsidR="008E7744" w:rsidRPr="006D077C" w:rsidRDefault="008E7744" w:rsidP="008E7744">
            <w:pPr>
              <w:jc w:val="center"/>
              <w:rPr>
                <w:color w:val="auto"/>
                <w:sz w:val="20"/>
              </w:rPr>
            </w:pPr>
            <w:r>
              <w:rPr>
                <w:color w:val="auto"/>
                <w:sz w:val="20"/>
              </w:rPr>
              <w:t>XX</w:t>
            </w:r>
          </w:p>
        </w:tc>
        <w:tc>
          <w:tcPr>
            <w:tcW w:w="2500" w:type="pct"/>
            <w:shd w:val="clear" w:color="auto" w:fill="D9D9D9" w:themeFill="background1" w:themeFillShade="D9"/>
            <w:vAlign w:val="center"/>
          </w:tcPr>
          <w:p w14:paraId="5986D1A6" w14:textId="50F08B55" w:rsidR="008E7744" w:rsidRPr="006D077C" w:rsidRDefault="008E7744" w:rsidP="008E7744">
            <w:pPr>
              <w:rPr>
                <w:color w:val="auto"/>
                <w:sz w:val="20"/>
              </w:rPr>
            </w:pPr>
            <w:r w:rsidRPr="00E066E2">
              <w:rPr>
                <w:color w:val="auto"/>
                <w:sz w:val="20"/>
              </w:rPr>
              <w:t xml:space="preserve">Do not take </w:t>
            </w:r>
            <w:r>
              <w:rPr>
                <w:color w:val="auto"/>
                <w:sz w:val="20"/>
              </w:rPr>
              <w:t>triapine</w:t>
            </w:r>
            <w:r w:rsidRPr="00E066E2">
              <w:rPr>
                <w:color w:val="auto"/>
                <w:sz w:val="20"/>
              </w:rPr>
              <w:t xml:space="preserve"> on this day</w:t>
            </w:r>
          </w:p>
        </w:tc>
      </w:tr>
      <w:tr w:rsidR="008E7744" w:rsidRPr="001D7866" w14:paraId="288C96BA" w14:textId="77777777" w:rsidTr="008E7744">
        <w:trPr>
          <w:jc w:val="center"/>
        </w:trPr>
        <w:tc>
          <w:tcPr>
            <w:tcW w:w="247" w:type="pct"/>
            <w:shd w:val="clear" w:color="auto" w:fill="D9D9D9" w:themeFill="background1" w:themeFillShade="D9"/>
            <w:vAlign w:val="center"/>
          </w:tcPr>
          <w:p w14:paraId="56BA6362" w14:textId="77777777" w:rsidR="008E7744" w:rsidRPr="001D7866" w:rsidRDefault="008E7744" w:rsidP="008E7744">
            <w:pPr>
              <w:jc w:val="center"/>
              <w:rPr>
                <w:color w:val="auto"/>
                <w:sz w:val="20"/>
              </w:rPr>
            </w:pPr>
            <w:r w:rsidRPr="001D7866">
              <w:rPr>
                <w:color w:val="auto"/>
                <w:sz w:val="20"/>
              </w:rPr>
              <w:t>17</w:t>
            </w:r>
          </w:p>
        </w:tc>
        <w:tc>
          <w:tcPr>
            <w:tcW w:w="460" w:type="pct"/>
            <w:shd w:val="clear" w:color="auto" w:fill="D9D9D9" w:themeFill="background1" w:themeFillShade="D9"/>
            <w:vAlign w:val="center"/>
          </w:tcPr>
          <w:p w14:paraId="478392DF" w14:textId="371E254E" w:rsidR="008E7744" w:rsidRPr="006D077C" w:rsidRDefault="008E7744" w:rsidP="008E7744">
            <w:pPr>
              <w:jc w:val="center"/>
              <w:rPr>
                <w:color w:val="auto"/>
                <w:sz w:val="20"/>
              </w:rPr>
            </w:pPr>
            <w:r>
              <w:rPr>
                <w:color w:val="auto"/>
                <w:sz w:val="20"/>
              </w:rPr>
              <w:t>XX</w:t>
            </w:r>
          </w:p>
        </w:tc>
        <w:tc>
          <w:tcPr>
            <w:tcW w:w="667" w:type="pct"/>
            <w:shd w:val="clear" w:color="auto" w:fill="D9D9D9" w:themeFill="background1" w:themeFillShade="D9"/>
            <w:vAlign w:val="center"/>
          </w:tcPr>
          <w:p w14:paraId="1DA660E9" w14:textId="1A89EA9E" w:rsidR="008E7744" w:rsidRPr="006D077C" w:rsidRDefault="008E7744" w:rsidP="008E7744">
            <w:pPr>
              <w:jc w:val="center"/>
              <w:rPr>
                <w:color w:val="auto"/>
                <w:sz w:val="20"/>
              </w:rPr>
            </w:pPr>
            <w:r>
              <w:rPr>
                <w:color w:val="auto"/>
                <w:sz w:val="20"/>
              </w:rPr>
              <w:t>XX</w:t>
            </w:r>
          </w:p>
        </w:tc>
        <w:tc>
          <w:tcPr>
            <w:tcW w:w="1126" w:type="pct"/>
            <w:shd w:val="clear" w:color="auto" w:fill="D9D9D9" w:themeFill="background1" w:themeFillShade="D9"/>
            <w:vAlign w:val="center"/>
          </w:tcPr>
          <w:p w14:paraId="12E093B4" w14:textId="37FA7B9A" w:rsidR="008E7744" w:rsidRPr="006D077C" w:rsidRDefault="008E7744" w:rsidP="008E7744">
            <w:pPr>
              <w:jc w:val="center"/>
              <w:rPr>
                <w:color w:val="auto"/>
                <w:sz w:val="20"/>
              </w:rPr>
            </w:pPr>
            <w:r>
              <w:rPr>
                <w:color w:val="auto"/>
                <w:sz w:val="20"/>
              </w:rPr>
              <w:t>XX</w:t>
            </w:r>
          </w:p>
        </w:tc>
        <w:tc>
          <w:tcPr>
            <w:tcW w:w="2500" w:type="pct"/>
            <w:shd w:val="clear" w:color="auto" w:fill="D9D9D9" w:themeFill="background1" w:themeFillShade="D9"/>
            <w:vAlign w:val="center"/>
          </w:tcPr>
          <w:p w14:paraId="4C8F17B0" w14:textId="1F64925F" w:rsidR="008E7744" w:rsidRPr="006D077C" w:rsidRDefault="008E7744" w:rsidP="008E7744">
            <w:pPr>
              <w:rPr>
                <w:color w:val="auto"/>
                <w:sz w:val="20"/>
              </w:rPr>
            </w:pPr>
            <w:r w:rsidRPr="00E066E2">
              <w:rPr>
                <w:color w:val="auto"/>
                <w:sz w:val="20"/>
              </w:rPr>
              <w:t xml:space="preserve">Do not take </w:t>
            </w:r>
            <w:r>
              <w:rPr>
                <w:color w:val="auto"/>
                <w:sz w:val="20"/>
              </w:rPr>
              <w:t>triapine</w:t>
            </w:r>
            <w:r w:rsidRPr="00E066E2">
              <w:rPr>
                <w:color w:val="auto"/>
                <w:sz w:val="20"/>
              </w:rPr>
              <w:t xml:space="preserve"> on this day</w:t>
            </w:r>
          </w:p>
        </w:tc>
      </w:tr>
      <w:tr w:rsidR="008E7744" w:rsidRPr="001D7866" w14:paraId="39EDC3B2" w14:textId="77777777" w:rsidTr="008E7744">
        <w:trPr>
          <w:jc w:val="center"/>
        </w:trPr>
        <w:tc>
          <w:tcPr>
            <w:tcW w:w="247" w:type="pct"/>
            <w:shd w:val="clear" w:color="auto" w:fill="D9D9D9" w:themeFill="background1" w:themeFillShade="D9"/>
            <w:vAlign w:val="center"/>
          </w:tcPr>
          <w:p w14:paraId="347F249A" w14:textId="77777777" w:rsidR="008E7744" w:rsidRPr="001D7866" w:rsidRDefault="008E7744" w:rsidP="008E7744">
            <w:pPr>
              <w:jc w:val="center"/>
              <w:rPr>
                <w:color w:val="auto"/>
                <w:sz w:val="20"/>
              </w:rPr>
            </w:pPr>
            <w:r w:rsidRPr="001D7866">
              <w:rPr>
                <w:color w:val="auto"/>
                <w:sz w:val="20"/>
              </w:rPr>
              <w:t>18</w:t>
            </w:r>
          </w:p>
        </w:tc>
        <w:tc>
          <w:tcPr>
            <w:tcW w:w="460" w:type="pct"/>
            <w:shd w:val="clear" w:color="auto" w:fill="D9D9D9" w:themeFill="background1" w:themeFillShade="D9"/>
            <w:vAlign w:val="center"/>
          </w:tcPr>
          <w:p w14:paraId="0CAC0948" w14:textId="70500EAA" w:rsidR="008E7744" w:rsidRPr="006D077C" w:rsidRDefault="008E7744" w:rsidP="008E7744">
            <w:pPr>
              <w:jc w:val="center"/>
              <w:rPr>
                <w:color w:val="auto"/>
                <w:sz w:val="20"/>
              </w:rPr>
            </w:pPr>
            <w:r>
              <w:rPr>
                <w:color w:val="auto"/>
                <w:sz w:val="20"/>
              </w:rPr>
              <w:t>XX</w:t>
            </w:r>
          </w:p>
        </w:tc>
        <w:tc>
          <w:tcPr>
            <w:tcW w:w="667" w:type="pct"/>
            <w:shd w:val="clear" w:color="auto" w:fill="D9D9D9" w:themeFill="background1" w:themeFillShade="D9"/>
            <w:vAlign w:val="center"/>
          </w:tcPr>
          <w:p w14:paraId="3EECC0C2" w14:textId="4A4F8CE3" w:rsidR="008E7744" w:rsidRPr="006D077C" w:rsidRDefault="008E7744" w:rsidP="008E7744">
            <w:pPr>
              <w:jc w:val="center"/>
              <w:rPr>
                <w:color w:val="auto"/>
                <w:sz w:val="20"/>
              </w:rPr>
            </w:pPr>
            <w:r>
              <w:rPr>
                <w:color w:val="auto"/>
                <w:sz w:val="20"/>
              </w:rPr>
              <w:t>XX</w:t>
            </w:r>
          </w:p>
        </w:tc>
        <w:tc>
          <w:tcPr>
            <w:tcW w:w="1126" w:type="pct"/>
            <w:shd w:val="clear" w:color="auto" w:fill="D9D9D9" w:themeFill="background1" w:themeFillShade="D9"/>
            <w:vAlign w:val="center"/>
          </w:tcPr>
          <w:p w14:paraId="1BABB5C2" w14:textId="68DCC77D" w:rsidR="008E7744" w:rsidRPr="006D077C" w:rsidRDefault="008E7744" w:rsidP="008E7744">
            <w:pPr>
              <w:jc w:val="center"/>
              <w:rPr>
                <w:color w:val="auto"/>
                <w:sz w:val="20"/>
              </w:rPr>
            </w:pPr>
            <w:r>
              <w:rPr>
                <w:color w:val="auto"/>
                <w:sz w:val="20"/>
              </w:rPr>
              <w:t>XX</w:t>
            </w:r>
          </w:p>
        </w:tc>
        <w:tc>
          <w:tcPr>
            <w:tcW w:w="2500" w:type="pct"/>
            <w:shd w:val="clear" w:color="auto" w:fill="D9D9D9" w:themeFill="background1" w:themeFillShade="D9"/>
            <w:vAlign w:val="center"/>
          </w:tcPr>
          <w:p w14:paraId="2568A0CE" w14:textId="78DDFD3E" w:rsidR="008E7744" w:rsidRPr="006D077C" w:rsidRDefault="008E7744" w:rsidP="008E7744">
            <w:pPr>
              <w:rPr>
                <w:color w:val="auto"/>
                <w:sz w:val="20"/>
              </w:rPr>
            </w:pPr>
            <w:r w:rsidRPr="00E066E2">
              <w:rPr>
                <w:color w:val="auto"/>
                <w:sz w:val="20"/>
              </w:rPr>
              <w:t xml:space="preserve">Do not take </w:t>
            </w:r>
            <w:r>
              <w:rPr>
                <w:color w:val="auto"/>
                <w:sz w:val="20"/>
              </w:rPr>
              <w:t>triapine</w:t>
            </w:r>
            <w:r w:rsidRPr="00E066E2">
              <w:rPr>
                <w:color w:val="auto"/>
                <w:sz w:val="20"/>
              </w:rPr>
              <w:t xml:space="preserve"> on this day</w:t>
            </w:r>
          </w:p>
        </w:tc>
      </w:tr>
      <w:tr w:rsidR="008E7744" w:rsidRPr="001D7866" w14:paraId="6694E618" w14:textId="77777777" w:rsidTr="008E7744">
        <w:trPr>
          <w:jc w:val="center"/>
        </w:trPr>
        <w:tc>
          <w:tcPr>
            <w:tcW w:w="247" w:type="pct"/>
            <w:shd w:val="clear" w:color="auto" w:fill="D9D9D9" w:themeFill="background1" w:themeFillShade="D9"/>
            <w:vAlign w:val="center"/>
          </w:tcPr>
          <w:p w14:paraId="71795ABA" w14:textId="77777777" w:rsidR="008E7744" w:rsidRPr="001D7866" w:rsidRDefault="008E7744" w:rsidP="008E7744">
            <w:pPr>
              <w:jc w:val="center"/>
              <w:rPr>
                <w:color w:val="auto"/>
                <w:sz w:val="20"/>
              </w:rPr>
            </w:pPr>
            <w:r w:rsidRPr="001D7866">
              <w:rPr>
                <w:color w:val="auto"/>
                <w:sz w:val="20"/>
              </w:rPr>
              <w:t>19</w:t>
            </w:r>
          </w:p>
        </w:tc>
        <w:tc>
          <w:tcPr>
            <w:tcW w:w="460" w:type="pct"/>
            <w:shd w:val="clear" w:color="auto" w:fill="D9D9D9" w:themeFill="background1" w:themeFillShade="D9"/>
            <w:vAlign w:val="center"/>
          </w:tcPr>
          <w:p w14:paraId="579A9452" w14:textId="774936DF" w:rsidR="008E7744" w:rsidRPr="006D077C" w:rsidRDefault="008E7744" w:rsidP="008E7744">
            <w:pPr>
              <w:jc w:val="center"/>
              <w:rPr>
                <w:color w:val="auto"/>
                <w:sz w:val="20"/>
              </w:rPr>
            </w:pPr>
            <w:r>
              <w:rPr>
                <w:color w:val="auto"/>
                <w:sz w:val="20"/>
              </w:rPr>
              <w:t>XX</w:t>
            </w:r>
          </w:p>
        </w:tc>
        <w:tc>
          <w:tcPr>
            <w:tcW w:w="667" w:type="pct"/>
            <w:shd w:val="clear" w:color="auto" w:fill="D9D9D9" w:themeFill="background1" w:themeFillShade="D9"/>
            <w:vAlign w:val="center"/>
          </w:tcPr>
          <w:p w14:paraId="6038E647" w14:textId="4ECAF2E3" w:rsidR="008E7744" w:rsidRPr="006D077C" w:rsidRDefault="008E7744" w:rsidP="008E7744">
            <w:pPr>
              <w:jc w:val="center"/>
              <w:rPr>
                <w:color w:val="auto"/>
                <w:sz w:val="20"/>
              </w:rPr>
            </w:pPr>
            <w:r>
              <w:rPr>
                <w:color w:val="auto"/>
                <w:sz w:val="20"/>
              </w:rPr>
              <w:t>XX</w:t>
            </w:r>
          </w:p>
        </w:tc>
        <w:tc>
          <w:tcPr>
            <w:tcW w:w="1126" w:type="pct"/>
            <w:shd w:val="clear" w:color="auto" w:fill="D9D9D9" w:themeFill="background1" w:themeFillShade="D9"/>
            <w:vAlign w:val="center"/>
          </w:tcPr>
          <w:p w14:paraId="01E71F7E" w14:textId="5AD4BB44" w:rsidR="008E7744" w:rsidRPr="006D077C" w:rsidRDefault="008E7744" w:rsidP="008E7744">
            <w:pPr>
              <w:jc w:val="center"/>
              <w:rPr>
                <w:color w:val="auto"/>
                <w:sz w:val="20"/>
              </w:rPr>
            </w:pPr>
            <w:r>
              <w:rPr>
                <w:color w:val="auto"/>
                <w:sz w:val="20"/>
              </w:rPr>
              <w:t>XX</w:t>
            </w:r>
          </w:p>
        </w:tc>
        <w:tc>
          <w:tcPr>
            <w:tcW w:w="2500" w:type="pct"/>
            <w:shd w:val="clear" w:color="auto" w:fill="D9D9D9" w:themeFill="background1" w:themeFillShade="D9"/>
            <w:vAlign w:val="center"/>
          </w:tcPr>
          <w:p w14:paraId="1AAFD541" w14:textId="2E210083" w:rsidR="008E7744" w:rsidRPr="006D077C" w:rsidRDefault="008E7744" w:rsidP="008E7744">
            <w:pPr>
              <w:rPr>
                <w:color w:val="auto"/>
                <w:sz w:val="20"/>
              </w:rPr>
            </w:pPr>
            <w:r w:rsidRPr="00E066E2">
              <w:rPr>
                <w:color w:val="auto"/>
                <w:sz w:val="20"/>
              </w:rPr>
              <w:t xml:space="preserve">Do not take </w:t>
            </w:r>
            <w:r>
              <w:rPr>
                <w:color w:val="auto"/>
                <w:sz w:val="20"/>
              </w:rPr>
              <w:t>triapine</w:t>
            </w:r>
            <w:r w:rsidRPr="00E066E2">
              <w:rPr>
                <w:color w:val="auto"/>
                <w:sz w:val="20"/>
              </w:rPr>
              <w:t xml:space="preserve"> on this day</w:t>
            </w:r>
          </w:p>
        </w:tc>
      </w:tr>
      <w:tr w:rsidR="008E7744" w:rsidRPr="001D7866" w14:paraId="37DA9C1A" w14:textId="77777777" w:rsidTr="008E7744">
        <w:trPr>
          <w:jc w:val="center"/>
        </w:trPr>
        <w:tc>
          <w:tcPr>
            <w:tcW w:w="247" w:type="pct"/>
            <w:shd w:val="clear" w:color="auto" w:fill="D9D9D9" w:themeFill="background1" w:themeFillShade="D9"/>
            <w:vAlign w:val="center"/>
          </w:tcPr>
          <w:p w14:paraId="794C227F" w14:textId="77777777" w:rsidR="008E7744" w:rsidRPr="001D7866" w:rsidRDefault="008E7744" w:rsidP="008E7744">
            <w:pPr>
              <w:jc w:val="center"/>
              <w:rPr>
                <w:color w:val="auto"/>
                <w:sz w:val="20"/>
              </w:rPr>
            </w:pPr>
            <w:r w:rsidRPr="001D7866">
              <w:rPr>
                <w:color w:val="auto"/>
                <w:sz w:val="20"/>
              </w:rPr>
              <w:t>20</w:t>
            </w:r>
          </w:p>
        </w:tc>
        <w:tc>
          <w:tcPr>
            <w:tcW w:w="460" w:type="pct"/>
            <w:shd w:val="clear" w:color="auto" w:fill="D9D9D9" w:themeFill="background1" w:themeFillShade="D9"/>
            <w:vAlign w:val="center"/>
          </w:tcPr>
          <w:p w14:paraId="78D46509" w14:textId="431D6F24" w:rsidR="008E7744" w:rsidRPr="006D077C" w:rsidRDefault="008E7744" w:rsidP="008E7744">
            <w:pPr>
              <w:jc w:val="center"/>
              <w:rPr>
                <w:color w:val="auto"/>
                <w:sz w:val="20"/>
              </w:rPr>
            </w:pPr>
            <w:r>
              <w:rPr>
                <w:color w:val="auto"/>
                <w:sz w:val="20"/>
              </w:rPr>
              <w:t>XX</w:t>
            </w:r>
          </w:p>
        </w:tc>
        <w:tc>
          <w:tcPr>
            <w:tcW w:w="667" w:type="pct"/>
            <w:shd w:val="clear" w:color="auto" w:fill="D9D9D9" w:themeFill="background1" w:themeFillShade="D9"/>
            <w:vAlign w:val="center"/>
          </w:tcPr>
          <w:p w14:paraId="0734F0B3" w14:textId="5B3D91D7" w:rsidR="008E7744" w:rsidRPr="006D077C" w:rsidRDefault="008E7744" w:rsidP="008E7744">
            <w:pPr>
              <w:jc w:val="center"/>
              <w:rPr>
                <w:color w:val="auto"/>
                <w:sz w:val="20"/>
              </w:rPr>
            </w:pPr>
            <w:r>
              <w:rPr>
                <w:color w:val="auto"/>
                <w:sz w:val="20"/>
              </w:rPr>
              <w:t>XX</w:t>
            </w:r>
          </w:p>
        </w:tc>
        <w:tc>
          <w:tcPr>
            <w:tcW w:w="1126" w:type="pct"/>
            <w:shd w:val="clear" w:color="auto" w:fill="D9D9D9" w:themeFill="background1" w:themeFillShade="D9"/>
            <w:vAlign w:val="center"/>
          </w:tcPr>
          <w:p w14:paraId="1502C232" w14:textId="6410D62C" w:rsidR="008E7744" w:rsidRPr="006D077C" w:rsidRDefault="008E7744" w:rsidP="008E7744">
            <w:pPr>
              <w:jc w:val="center"/>
              <w:rPr>
                <w:color w:val="auto"/>
                <w:sz w:val="20"/>
              </w:rPr>
            </w:pPr>
            <w:r>
              <w:rPr>
                <w:color w:val="auto"/>
                <w:sz w:val="20"/>
              </w:rPr>
              <w:t>XX</w:t>
            </w:r>
          </w:p>
        </w:tc>
        <w:tc>
          <w:tcPr>
            <w:tcW w:w="2500" w:type="pct"/>
            <w:shd w:val="clear" w:color="auto" w:fill="D9D9D9" w:themeFill="background1" w:themeFillShade="D9"/>
            <w:vAlign w:val="center"/>
          </w:tcPr>
          <w:p w14:paraId="25E0B05D" w14:textId="74F5337E" w:rsidR="008E7744" w:rsidRPr="006D077C" w:rsidRDefault="008E7744" w:rsidP="008E7744">
            <w:pPr>
              <w:rPr>
                <w:color w:val="auto"/>
                <w:sz w:val="20"/>
              </w:rPr>
            </w:pPr>
            <w:r w:rsidRPr="00E066E2">
              <w:rPr>
                <w:color w:val="auto"/>
                <w:sz w:val="20"/>
              </w:rPr>
              <w:t xml:space="preserve">Do not take </w:t>
            </w:r>
            <w:r>
              <w:rPr>
                <w:color w:val="auto"/>
                <w:sz w:val="20"/>
              </w:rPr>
              <w:t>triapine</w:t>
            </w:r>
            <w:r w:rsidRPr="00E066E2">
              <w:rPr>
                <w:color w:val="auto"/>
                <w:sz w:val="20"/>
              </w:rPr>
              <w:t xml:space="preserve"> on this day</w:t>
            </w:r>
          </w:p>
        </w:tc>
      </w:tr>
      <w:tr w:rsidR="008E7744" w:rsidRPr="001D7866" w14:paraId="59316C03" w14:textId="77777777" w:rsidTr="008E7744">
        <w:trPr>
          <w:jc w:val="center"/>
        </w:trPr>
        <w:tc>
          <w:tcPr>
            <w:tcW w:w="247" w:type="pct"/>
            <w:shd w:val="clear" w:color="auto" w:fill="D9D9D9" w:themeFill="background1" w:themeFillShade="D9"/>
            <w:vAlign w:val="center"/>
          </w:tcPr>
          <w:p w14:paraId="58A373C0" w14:textId="77777777" w:rsidR="008E7744" w:rsidRPr="001D7866" w:rsidRDefault="008E7744" w:rsidP="008E7744">
            <w:pPr>
              <w:jc w:val="center"/>
              <w:rPr>
                <w:color w:val="auto"/>
                <w:sz w:val="20"/>
              </w:rPr>
            </w:pPr>
            <w:r w:rsidRPr="001D7866">
              <w:rPr>
                <w:color w:val="auto"/>
                <w:sz w:val="20"/>
              </w:rPr>
              <w:t>21</w:t>
            </w:r>
          </w:p>
        </w:tc>
        <w:tc>
          <w:tcPr>
            <w:tcW w:w="460" w:type="pct"/>
            <w:shd w:val="clear" w:color="auto" w:fill="D9D9D9" w:themeFill="background1" w:themeFillShade="D9"/>
            <w:vAlign w:val="center"/>
          </w:tcPr>
          <w:p w14:paraId="119C7295" w14:textId="7DC55CFC" w:rsidR="008E7744" w:rsidRPr="006D077C" w:rsidRDefault="008E7744" w:rsidP="008E7744">
            <w:pPr>
              <w:jc w:val="center"/>
              <w:rPr>
                <w:color w:val="auto"/>
                <w:sz w:val="20"/>
              </w:rPr>
            </w:pPr>
            <w:r>
              <w:rPr>
                <w:color w:val="auto"/>
                <w:sz w:val="20"/>
              </w:rPr>
              <w:t>XX</w:t>
            </w:r>
          </w:p>
        </w:tc>
        <w:tc>
          <w:tcPr>
            <w:tcW w:w="667" w:type="pct"/>
            <w:shd w:val="clear" w:color="auto" w:fill="D9D9D9" w:themeFill="background1" w:themeFillShade="D9"/>
            <w:vAlign w:val="center"/>
          </w:tcPr>
          <w:p w14:paraId="39E46BD6" w14:textId="178D2543" w:rsidR="008E7744" w:rsidRPr="006D077C" w:rsidRDefault="008E7744" w:rsidP="008E7744">
            <w:pPr>
              <w:jc w:val="center"/>
              <w:rPr>
                <w:color w:val="auto"/>
                <w:sz w:val="20"/>
              </w:rPr>
            </w:pPr>
            <w:r>
              <w:rPr>
                <w:color w:val="auto"/>
                <w:sz w:val="20"/>
              </w:rPr>
              <w:t>XX</w:t>
            </w:r>
          </w:p>
        </w:tc>
        <w:tc>
          <w:tcPr>
            <w:tcW w:w="1126" w:type="pct"/>
            <w:shd w:val="clear" w:color="auto" w:fill="D9D9D9" w:themeFill="background1" w:themeFillShade="D9"/>
            <w:vAlign w:val="center"/>
          </w:tcPr>
          <w:p w14:paraId="0B09C2F1" w14:textId="1CDB3C9B" w:rsidR="008E7744" w:rsidRPr="006D077C" w:rsidRDefault="008E7744" w:rsidP="008E7744">
            <w:pPr>
              <w:jc w:val="center"/>
              <w:rPr>
                <w:color w:val="auto"/>
                <w:sz w:val="20"/>
              </w:rPr>
            </w:pPr>
            <w:r>
              <w:rPr>
                <w:color w:val="auto"/>
                <w:sz w:val="20"/>
              </w:rPr>
              <w:t>XX</w:t>
            </w:r>
          </w:p>
        </w:tc>
        <w:tc>
          <w:tcPr>
            <w:tcW w:w="2500" w:type="pct"/>
            <w:shd w:val="clear" w:color="auto" w:fill="D9D9D9" w:themeFill="background1" w:themeFillShade="D9"/>
            <w:vAlign w:val="center"/>
          </w:tcPr>
          <w:p w14:paraId="108854FF" w14:textId="21B0C1CE" w:rsidR="008E7744" w:rsidRPr="006D077C" w:rsidRDefault="008E7744" w:rsidP="008E7744">
            <w:pPr>
              <w:rPr>
                <w:color w:val="auto"/>
                <w:sz w:val="20"/>
              </w:rPr>
            </w:pPr>
            <w:r w:rsidRPr="00E066E2">
              <w:rPr>
                <w:color w:val="auto"/>
                <w:sz w:val="20"/>
              </w:rPr>
              <w:t xml:space="preserve">Do not take </w:t>
            </w:r>
            <w:r>
              <w:rPr>
                <w:color w:val="auto"/>
                <w:sz w:val="20"/>
              </w:rPr>
              <w:t>triapine</w:t>
            </w:r>
            <w:r w:rsidRPr="00E066E2">
              <w:rPr>
                <w:color w:val="auto"/>
                <w:sz w:val="20"/>
              </w:rPr>
              <w:t xml:space="preserve"> on this day</w:t>
            </w:r>
          </w:p>
        </w:tc>
      </w:tr>
      <w:tr w:rsidR="00DB131D" w:rsidRPr="001D7866" w14:paraId="65ED349F" w14:textId="77777777">
        <w:trPr>
          <w:jc w:val="center"/>
        </w:trPr>
        <w:tc>
          <w:tcPr>
            <w:tcW w:w="247" w:type="pct"/>
            <w:shd w:val="clear" w:color="auto" w:fill="D9D9D9" w:themeFill="background1" w:themeFillShade="D9"/>
            <w:vAlign w:val="center"/>
          </w:tcPr>
          <w:p w14:paraId="5809A3D4" w14:textId="77777777" w:rsidR="00DB131D" w:rsidRPr="001D7866" w:rsidRDefault="00DB131D">
            <w:pPr>
              <w:jc w:val="center"/>
              <w:rPr>
                <w:color w:val="auto"/>
                <w:sz w:val="20"/>
              </w:rPr>
            </w:pPr>
            <w:r>
              <w:rPr>
                <w:color w:val="auto"/>
                <w:sz w:val="20"/>
              </w:rPr>
              <w:t>22</w:t>
            </w:r>
          </w:p>
        </w:tc>
        <w:tc>
          <w:tcPr>
            <w:tcW w:w="460" w:type="pct"/>
            <w:shd w:val="clear" w:color="auto" w:fill="D9D9D9" w:themeFill="background1" w:themeFillShade="D9"/>
            <w:vAlign w:val="center"/>
          </w:tcPr>
          <w:p w14:paraId="04DED5B5" w14:textId="77777777" w:rsidR="00DB131D" w:rsidRDefault="00DB131D">
            <w:pPr>
              <w:jc w:val="center"/>
              <w:rPr>
                <w:color w:val="auto"/>
                <w:sz w:val="20"/>
              </w:rPr>
            </w:pPr>
            <w:r>
              <w:rPr>
                <w:color w:val="auto"/>
                <w:sz w:val="20"/>
              </w:rPr>
              <w:t>XX</w:t>
            </w:r>
          </w:p>
        </w:tc>
        <w:tc>
          <w:tcPr>
            <w:tcW w:w="667" w:type="pct"/>
            <w:shd w:val="clear" w:color="auto" w:fill="D9D9D9" w:themeFill="background1" w:themeFillShade="D9"/>
            <w:vAlign w:val="center"/>
          </w:tcPr>
          <w:p w14:paraId="73B9447C" w14:textId="77777777" w:rsidR="00DB131D" w:rsidRDefault="00DB131D">
            <w:pPr>
              <w:jc w:val="center"/>
              <w:rPr>
                <w:color w:val="auto"/>
                <w:sz w:val="20"/>
              </w:rPr>
            </w:pPr>
            <w:r>
              <w:rPr>
                <w:color w:val="auto"/>
                <w:sz w:val="20"/>
              </w:rPr>
              <w:t>XX</w:t>
            </w:r>
          </w:p>
        </w:tc>
        <w:tc>
          <w:tcPr>
            <w:tcW w:w="1126" w:type="pct"/>
            <w:shd w:val="clear" w:color="auto" w:fill="D9D9D9" w:themeFill="background1" w:themeFillShade="D9"/>
            <w:vAlign w:val="center"/>
          </w:tcPr>
          <w:p w14:paraId="2585510B" w14:textId="77777777" w:rsidR="00DB131D" w:rsidRDefault="00DB131D">
            <w:pPr>
              <w:jc w:val="center"/>
              <w:rPr>
                <w:color w:val="auto"/>
                <w:sz w:val="20"/>
              </w:rPr>
            </w:pPr>
            <w:r>
              <w:rPr>
                <w:color w:val="auto"/>
                <w:sz w:val="20"/>
              </w:rPr>
              <w:t>XX</w:t>
            </w:r>
          </w:p>
        </w:tc>
        <w:tc>
          <w:tcPr>
            <w:tcW w:w="2500" w:type="pct"/>
            <w:shd w:val="clear" w:color="auto" w:fill="D9D9D9" w:themeFill="background1" w:themeFillShade="D9"/>
            <w:vAlign w:val="center"/>
          </w:tcPr>
          <w:p w14:paraId="0682E08D" w14:textId="1390F361" w:rsidR="00DB131D" w:rsidRPr="00DC70D1" w:rsidRDefault="00DB131D">
            <w:pPr>
              <w:rPr>
                <w:color w:val="auto"/>
                <w:sz w:val="20"/>
              </w:rPr>
            </w:pPr>
            <w:r w:rsidRPr="00E066E2">
              <w:rPr>
                <w:color w:val="auto"/>
                <w:sz w:val="20"/>
              </w:rPr>
              <w:t xml:space="preserve">Do not take </w:t>
            </w:r>
            <w:r w:rsidR="008E7744">
              <w:rPr>
                <w:color w:val="auto"/>
                <w:sz w:val="20"/>
              </w:rPr>
              <w:t>triapine</w:t>
            </w:r>
            <w:r w:rsidRPr="00E066E2">
              <w:rPr>
                <w:color w:val="auto"/>
                <w:sz w:val="20"/>
              </w:rPr>
              <w:t xml:space="preserve"> on this day</w:t>
            </w:r>
          </w:p>
        </w:tc>
      </w:tr>
      <w:tr w:rsidR="008E7744" w:rsidRPr="001D7866" w14:paraId="64BE9D63" w14:textId="77777777">
        <w:trPr>
          <w:jc w:val="center"/>
        </w:trPr>
        <w:tc>
          <w:tcPr>
            <w:tcW w:w="247" w:type="pct"/>
            <w:shd w:val="clear" w:color="auto" w:fill="D9D9D9" w:themeFill="background1" w:themeFillShade="D9"/>
            <w:vAlign w:val="center"/>
          </w:tcPr>
          <w:p w14:paraId="5808A8D4" w14:textId="77777777" w:rsidR="008E7744" w:rsidRPr="001D7866" w:rsidRDefault="008E7744" w:rsidP="008E7744">
            <w:pPr>
              <w:jc w:val="center"/>
              <w:rPr>
                <w:color w:val="auto"/>
                <w:sz w:val="20"/>
              </w:rPr>
            </w:pPr>
            <w:r>
              <w:rPr>
                <w:color w:val="auto"/>
                <w:sz w:val="20"/>
              </w:rPr>
              <w:t>23</w:t>
            </w:r>
          </w:p>
        </w:tc>
        <w:tc>
          <w:tcPr>
            <w:tcW w:w="460" w:type="pct"/>
            <w:shd w:val="clear" w:color="auto" w:fill="D9D9D9" w:themeFill="background1" w:themeFillShade="D9"/>
            <w:vAlign w:val="center"/>
          </w:tcPr>
          <w:p w14:paraId="5F41AA86" w14:textId="77777777" w:rsidR="008E7744" w:rsidRDefault="008E7744" w:rsidP="008E7744">
            <w:pPr>
              <w:jc w:val="center"/>
              <w:rPr>
                <w:color w:val="auto"/>
                <w:sz w:val="20"/>
              </w:rPr>
            </w:pPr>
            <w:r>
              <w:rPr>
                <w:color w:val="auto"/>
                <w:sz w:val="20"/>
              </w:rPr>
              <w:t>XX</w:t>
            </w:r>
          </w:p>
        </w:tc>
        <w:tc>
          <w:tcPr>
            <w:tcW w:w="667" w:type="pct"/>
            <w:shd w:val="clear" w:color="auto" w:fill="D9D9D9" w:themeFill="background1" w:themeFillShade="D9"/>
            <w:vAlign w:val="center"/>
          </w:tcPr>
          <w:p w14:paraId="7537CAE4" w14:textId="77777777" w:rsidR="008E7744" w:rsidRDefault="008E7744" w:rsidP="008E7744">
            <w:pPr>
              <w:jc w:val="center"/>
              <w:rPr>
                <w:color w:val="auto"/>
                <w:sz w:val="20"/>
              </w:rPr>
            </w:pPr>
            <w:r>
              <w:rPr>
                <w:color w:val="auto"/>
                <w:sz w:val="20"/>
              </w:rPr>
              <w:t>XX</w:t>
            </w:r>
          </w:p>
        </w:tc>
        <w:tc>
          <w:tcPr>
            <w:tcW w:w="1126" w:type="pct"/>
            <w:shd w:val="clear" w:color="auto" w:fill="D9D9D9" w:themeFill="background1" w:themeFillShade="D9"/>
            <w:vAlign w:val="center"/>
          </w:tcPr>
          <w:p w14:paraId="786F8276" w14:textId="77777777" w:rsidR="008E7744" w:rsidRDefault="008E7744" w:rsidP="008E7744">
            <w:pPr>
              <w:jc w:val="center"/>
              <w:rPr>
                <w:color w:val="auto"/>
                <w:sz w:val="20"/>
              </w:rPr>
            </w:pPr>
            <w:r>
              <w:rPr>
                <w:color w:val="auto"/>
                <w:sz w:val="20"/>
              </w:rPr>
              <w:t>XX</w:t>
            </w:r>
          </w:p>
        </w:tc>
        <w:tc>
          <w:tcPr>
            <w:tcW w:w="2500" w:type="pct"/>
            <w:shd w:val="clear" w:color="auto" w:fill="D9D9D9" w:themeFill="background1" w:themeFillShade="D9"/>
          </w:tcPr>
          <w:p w14:paraId="68ECEFF6" w14:textId="5EEF6E5B" w:rsidR="008E7744" w:rsidRPr="00DC70D1" w:rsidRDefault="008E7744" w:rsidP="008E7744">
            <w:pPr>
              <w:rPr>
                <w:color w:val="auto"/>
                <w:sz w:val="20"/>
              </w:rPr>
            </w:pPr>
            <w:r w:rsidRPr="008527DF">
              <w:rPr>
                <w:color w:val="auto"/>
                <w:sz w:val="20"/>
              </w:rPr>
              <w:t>Do not take triapine on this day</w:t>
            </w:r>
          </w:p>
        </w:tc>
      </w:tr>
      <w:tr w:rsidR="008E7744" w:rsidRPr="001D7866" w14:paraId="744F0F2A" w14:textId="77777777">
        <w:trPr>
          <w:jc w:val="center"/>
        </w:trPr>
        <w:tc>
          <w:tcPr>
            <w:tcW w:w="247" w:type="pct"/>
            <w:shd w:val="clear" w:color="auto" w:fill="D9D9D9" w:themeFill="background1" w:themeFillShade="D9"/>
            <w:vAlign w:val="center"/>
          </w:tcPr>
          <w:p w14:paraId="7FA8C3D1" w14:textId="77777777" w:rsidR="008E7744" w:rsidRPr="001D7866" w:rsidRDefault="008E7744" w:rsidP="008E7744">
            <w:pPr>
              <w:jc w:val="center"/>
              <w:rPr>
                <w:color w:val="auto"/>
                <w:sz w:val="20"/>
              </w:rPr>
            </w:pPr>
            <w:r>
              <w:rPr>
                <w:color w:val="auto"/>
                <w:sz w:val="20"/>
              </w:rPr>
              <w:t>24</w:t>
            </w:r>
          </w:p>
        </w:tc>
        <w:tc>
          <w:tcPr>
            <w:tcW w:w="460" w:type="pct"/>
            <w:shd w:val="clear" w:color="auto" w:fill="D9D9D9" w:themeFill="background1" w:themeFillShade="D9"/>
            <w:vAlign w:val="center"/>
          </w:tcPr>
          <w:p w14:paraId="086D1580" w14:textId="77777777" w:rsidR="008E7744" w:rsidRDefault="008E7744" w:rsidP="008E7744">
            <w:pPr>
              <w:jc w:val="center"/>
              <w:rPr>
                <w:color w:val="auto"/>
                <w:sz w:val="20"/>
              </w:rPr>
            </w:pPr>
            <w:r>
              <w:rPr>
                <w:color w:val="auto"/>
                <w:sz w:val="20"/>
              </w:rPr>
              <w:t>XX</w:t>
            </w:r>
          </w:p>
        </w:tc>
        <w:tc>
          <w:tcPr>
            <w:tcW w:w="667" w:type="pct"/>
            <w:shd w:val="clear" w:color="auto" w:fill="D9D9D9" w:themeFill="background1" w:themeFillShade="D9"/>
            <w:vAlign w:val="center"/>
          </w:tcPr>
          <w:p w14:paraId="5BDE8A9E" w14:textId="77777777" w:rsidR="008E7744" w:rsidRDefault="008E7744" w:rsidP="008E7744">
            <w:pPr>
              <w:jc w:val="center"/>
              <w:rPr>
                <w:color w:val="auto"/>
                <w:sz w:val="20"/>
              </w:rPr>
            </w:pPr>
            <w:r>
              <w:rPr>
                <w:color w:val="auto"/>
                <w:sz w:val="20"/>
              </w:rPr>
              <w:t>XX</w:t>
            </w:r>
          </w:p>
        </w:tc>
        <w:tc>
          <w:tcPr>
            <w:tcW w:w="1126" w:type="pct"/>
            <w:shd w:val="clear" w:color="auto" w:fill="D9D9D9" w:themeFill="background1" w:themeFillShade="D9"/>
            <w:vAlign w:val="center"/>
          </w:tcPr>
          <w:p w14:paraId="0378B54E" w14:textId="77777777" w:rsidR="008E7744" w:rsidRDefault="008E7744" w:rsidP="008E7744">
            <w:pPr>
              <w:jc w:val="center"/>
              <w:rPr>
                <w:color w:val="auto"/>
                <w:sz w:val="20"/>
              </w:rPr>
            </w:pPr>
            <w:r>
              <w:rPr>
                <w:color w:val="auto"/>
                <w:sz w:val="20"/>
              </w:rPr>
              <w:t>XX</w:t>
            </w:r>
          </w:p>
        </w:tc>
        <w:tc>
          <w:tcPr>
            <w:tcW w:w="2500" w:type="pct"/>
            <w:shd w:val="clear" w:color="auto" w:fill="D9D9D9" w:themeFill="background1" w:themeFillShade="D9"/>
          </w:tcPr>
          <w:p w14:paraId="48D02603" w14:textId="442A1F0D" w:rsidR="008E7744" w:rsidRPr="00DC70D1" w:rsidRDefault="008E7744" w:rsidP="008E7744">
            <w:pPr>
              <w:rPr>
                <w:color w:val="auto"/>
                <w:sz w:val="20"/>
              </w:rPr>
            </w:pPr>
            <w:r w:rsidRPr="008527DF">
              <w:rPr>
                <w:color w:val="auto"/>
                <w:sz w:val="20"/>
              </w:rPr>
              <w:t>Do not take triapine on this day</w:t>
            </w:r>
          </w:p>
        </w:tc>
      </w:tr>
      <w:tr w:rsidR="008E7744" w:rsidRPr="001D7866" w14:paraId="7DFB08C1" w14:textId="77777777">
        <w:trPr>
          <w:jc w:val="center"/>
        </w:trPr>
        <w:tc>
          <w:tcPr>
            <w:tcW w:w="247" w:type="pct"/>
            <w:shd w:val="clear" w:color="auto" w:fill="D9D9D9" w:themeFill="background1" w:themeFillShade="D9"/>
            <w:vAlign w:val="center"/>
          </w:tcPr>
          <w:p w14:paraId="1805A271" w14:textId="77777777" w:rsidR="008E7744" w:rsidRPr="001D7866" w:rsidRDefault="008E7744" w:rsidP="008E7744">
            <w:pPr>
              <w:jc w:val="center"/>
              <w:rPr>
                <w:color w:val="auto"/>
                <w:sz w:val="20"/>
              </w:rPr>
            </w:pPr>
            <w:r>
              <w:rPr>
                <w:color w:val="auto"/>
                <w:sz w:val="20"/>
              </w:rPr>
              <w:t>25</w:t>
            </w:r>
          </w:p>
        </w:tc>
        <w:tc>
          <w:tcPr>
            <w:tcW w:w="460" w:type="pct"/>
            <w:shd w:val="clear" w:color="auto" w:fill="D9D9D9" w:themeFill="background1" w:themeFillShade="D9"/>
            <w:vAlign w:val="center"/>
          </w:tcPr>
          <w:p w14:paraId="2B3576FC" w14:textId="77777777" w:rsidR="008E7744" w:rsidRDefault="008E7744" w:rsidP="008E7744">
            <w:pPr>
              <w:jc w:val="center"/>
              <w:rPr>
                <w:color w:val="auto"/>
                <w:sz w:val="20"/>
              </w:rPr>
            </w:pPr>
            <w:r>
              <w:rPr>
                <w:color w:val="auto"/>
                <w:sz w:val="20"/>
              </w:rPr>
              <w:t>XX</w:t>
            </w:r>
          </w:p>
        </w:tc>
        <w:tc>
          <w:tcPr>
            <w:tcW w:w="667" w:type="pct"/>
            <w:shd w:val="clear" w:color="auto" w:fill="D9D9D9" w:themeFill="background1" w:themeFillShade="D9"/>
            <w:vAlign w:val="center"/>
          </w:tcPr>
          <w:p w14:paraId="3D226249" w14:textId="77777777" w:rsidR="008E7744" w:rsidRDefault="008E7744" w:rsidP="008E7744">
            <w:pPr>
              <w:jc w:val="center"/>
              <w:rPr>
                <w:color w:val="auto"/>
                <w:sz w:val="20"/>
              </w:rPr>
            </w:pPr>
            <w:r>
              <w:rPr>
                <w:color w:val="auto"/>
                <w:sz w:val="20"/>
              </w:rPr>
              <w:t>XX</w:t>
            </w:r>
          </w:p>
        </w:tc>
        <w:tc>
          <w:tcPr>
            <w:tcW w:w="1126" w:type="pct"/>
            <w:shd w:val="clear" w:color="auto" w:fill="D9D9D9" w:themeFill="background1" w:themeFillShade="D9"/>
            <w:vAlign w:val="center"/>
          </w:tcPr>
          <w:p w14:paraId="6B2161F5" w14:textId="77777777" w:rsidR="008E7744" w:rsidRDefault="008E7744" w:rsidP="008E7744">
            <w:pPr>
              <w:jc w:val="center"/>
              <w:rPr>
                <w:color w:val="auto"/>
                <w:sz w:val="20"/>
              </w:rPr>
            </w:pPr>
            <w:r>
              <w:rPr>
                <w:color w:val="auto"/>
                <w:sz w:val="20"/>
              </w:rPr>
              <w:t>XX</w:t>
            </w:r>
          </w:p>
        </w:tc>
        <w:tc>
          <w:tcPr>
            <w:tcW w:w="2500" w:type="pct"/>
            <w:shd w:val="clear" w:color="auto" w:fill="D9D9D9" w:themeFill="background1" w:themeFillShade="D9"/>
          </w:tcPr>
          <w:p w14:paraId="7AB7F33B" w14:textId="621309B9" w:rsidR="008E7744" w:rsidRPr="00DC70D1" w:rsidRDefault="008E7744" w:rsidP="008E7744">
            <w:pPr>
              <w:rPr>
                <w:color w:val="auto"/>
                <w:sz w:val="20"/>
              </w:rPr>
            </w:pPr>
            <w:r w:rsidRPr="008527DF">
              <w:rPr>
                <w:color w:val="auto"/>
                <w:sz w:val="20"/>
              </w:rPr>
              <w:t>Do not take triapine on this day</w:t>
            </w:r>
          </w:p>
        </w:tc>
      </w:tr>
      <w:tr w:rsidR="008E7744" w:rsidRPr="001D7866" w14:paraId="3C486357" w14:textId="77777777">
        <w:trPr>
          <w:jc w:val="center"/>
        </w:trPr>
        <w:tc>
          <w:tcPr>
            <w:tcW w:w="247" w:type="pct"/>
            <w:shd w:val="clear" w:color="auto" w:fill="D9D9D9" w:themeFill="background1" w:themeFillShade="D9"/>
            <w:vAlign w:val="center"/>
          </w:tcPr>
          <w:p w14:paraId="228BCABA" w14:textId="77777777" w:rsidR="008E7744" w:rsidRPr="001D7866" w:rsidRDefault="008E7744" w:rsidP="008E7744">
            <w:pPr>
              <w:jc w:val="center"/>
              <w:rPr>
                <w:color w:val="auto"/>
                <w:sz w:val="20"/>
              </w:rPr>
            </w:pPr>
            <w:r>
              <w:rPr>
                <w:color w:val="auto"/>
                <w:sz w:val="20"/>
              </w:rPr>
              <w:t>26</w:t>
            </w:r>
          </w:p>
        </w:tc>
        <w:tc>
          <w:tcPr>
            <w:tcW w:w="460" w:type="pct"/>
            <w:shd w:val="clear" w:color="auto" w:fill="D9D9D9" w:themeFill="background1" w:themeFillShade="D9"/>
            <w:vAlign w:val="center"/>
          </w:tcPr>
          <w:p w14:paraId="67ED09B9" w14:textId="77777777" w:rsidR="008E7744" w:rsidRDefault="008E7744" w:rsidP="008E7744">
            <w:pPr>
              <w:jc w:val="center"/>
              <w:rPr>
                <w:color w:val="auto"/>
                <w:sz w:val="20"/>
              </w:rPr>
            </w:pPr>
            <w:r>
              <w:rPr>
                <w:color w:val="auto"/>
                <w:sz w:val="20"/>
              </w:rPr>
              <w:t>XX</w:t>
            </w:r>
          </w:p>
        </w:tc>
        <w:tc>
          <w:tcPr>
            <w:tcW w:w="667" w:type="pct"/>
            <w:shd w:val="clear" w:color="auto" w:fill="D9D9D9" w:themeFill="background1" w:themeFillShade="D9"/>
            <w:vAlign w:val="center"/>
          </w:tcPr>
          <w:p w14:paraId="0B9AFB57" w14:textId="77777777" w:rsidR="008E7744" w:rsidRDefault="008E7744" w:rsidP="008E7744">
            <w:pPr>
              <w:jc w:val="center"/>
              <w:rPr>
                <w:color w:val="auto"/>
                <w:sz w:val="20"/>
              </w:rPr>
            </w:pPr>
            <w:r>
              <w:rPr>
                <w:color w:val="auto"/>
                <w:sz w:val="20"/>
              </w:rPr>
              <w:t>XX</w:t>
            </w:r>
          </w:p>
        </w:tc>
        <w:tc>
          <w:tcPr>
            <w:tcW w:w="1126" w:type="pct"/>
            <w:shd w:val="clear" w:color="auto" w:fill="D9D9D9" w:themeFill="background1" w:themeFillShade="D9"/>
            <w:vAlign w:val="center"/>
          </w:tcPr>
          <w:p w14:paraId="53A8F91E" w14:textId="77777777" w:rsidR="008E7744" w:rsidRDefault="008E7744" w:rsidP="008E7744">
            <w:pPr>
              <w:jc w:val="center"/>
              <w:rPr>
                <w:color w:val="auto"/>
                <w:sz w:val="20"/>
              </w:rPr>
            </w:pPr>
            <w:r>
              <w:rPr>
                <w:color w:val="auto"/>
                <w:sz w:val="20"/>
              </w:rPr>
              <w:t>XX</w:t>
            </w:r>
          </w:p>
        </w:tc>
        <w:tc>
          <w:tcPr>
            <w:tcW w:w="2500" w:type="pct"/>
            <w:shd w:val="clear" w:color="auto" w:fill="D9D9D9" w:themeFill="background1" w:themeFillShade="D9"/>
          </w:tcPr>
          <w:p w14:paraId="1469DCCD" w14:textId="46010157" w:rsidR="008E7744" w:rsidRPr="00DC70D1" w:rsidRDefault="008E7744" w:rsidP="008E7744">
            <w:pPr>
              <w:rPr>
                <w:color w:val="auto"/>
                <w:sz w:val="20"/>
              </w:rPr>
            </w:pPr>
            <w:r w:rsidRPr="008527DF">
              <w:rPr>
                <w:color w:val="auto"/>
                <w:sz w:val="20"/>
              </w:rPr>
              <w:t>Do not take triapine on this day</w:t>
            </w:r>
          </w:p>
        </w:tc>
      </w:tr>
      <w:tr w:rsidR="008E7744" w:rsidRPr="001D7866" w14:paraId="3FEA2674" w14:textId="77777777">
        <w:trPr>
          <w:jc w:val="center"/>
        </w:trPr>
        <w:tc>
          <w:tcPr>
            <w:tcW w:w="247" w:type="pct"/>
            <w:shd w:val="clear" w:color="auto" w:fill="D9D9D9" w:themeFill="background1" w:themeFillShade="D9"/>
            <w:vAlign w:val="center"/>
          </w:tcPr>
          <w:p w14:paraId="4017C34B" w14:textId="77777777" w:rsidR="008E7744" w:rsidRPr="001D7866" w:rsidRDefault="008E7744" w:rsidP="008E7744">
            <w:pPr>
              <w:jc w:val="center"/>
              <w:rPr>
                <w:color w:val="auto"/>
                <w:sz w:val="20"/>
              </w:rPr>
            </w:pPr>
            <w:r>
              <w:rPr>
                <w:color w:val="auto"/>
                <w:sz w:val="20"/>
              </w:rPr>
              <w:t>27</w:t>
            </w:r>
          </w:p>
        </w:tc>
        <w:tc>
          <w:tcPr>
            <w:tcW w:w="460" w:type="pct"/>
            <w:shd w:val="clear" w:color="auto" w:fill="D9D9D9" w:themeFill="background1" w:themeFillShade="D9"/>
            <w:vAlign w:val="center"/>
          </w:tcPr>
          <w:p w14:paraId="6AABE10C" w14:textId="77777777" w:rsidR="008E7744" w:rsidRDefault="008E7744" w:rsidP="008E7744">
            <w:pPr>
              <w:jc w:val="center"/>
              <w:rPr>
                <w:color w:val="auto"/>
                <w:sz w:val="20"/>
              </w:rPr>
            </w:pPr>
            <w:r>
              <w:rPr>
                <w:color w:val="auto"/>
                <w:sz w:val="20"/>
              </w:rPr>
              <w:t>XX</w:t>
            </w:r>
          </w:p>
        </w:tc>
        <w:tc>
          <w:tcPr>
            <w:tcW w:w="667" w:type="pct"/>
            <w:shd w:val="clear" w:color="auto" w:fill="D9D9D9" w:themeFill="background1" w:themeFillShade="D9"/>
            <w:vAlign w:val="center"/>
          </w:tcPr>
          <w:p w14:paraId="5EE56A2A" w14:textId="77777777" w:rsidR="008E7744" w:rsidRDefault="008E7744" w:rsidP="008E7744">
            <w:pPr>
              <w:jc w:val="center"/>
              <w:rPr>
                <w:color w:val="auto"/>
                <w:sz w:val="20"/>
              </w:rPr>
            </w:pPr>
            <w:r>
              <w:rPr>
                <w:color w:val="auto"/>
                <w:sz w:val="20"/>
              </w:rPr>
              <w:t>XX</w:t>
            </w:r>
          </w:p>
        </w:tc>
        <w:tc>
          <w:tcPr>
            <w:tcW w:w="1126" w:type="pct"/>
            <w:shd w:val="clear" w:color="auto" w:fill="D9D9D9" w:themeFill="background1" w:themeFillShade="D9"/>
            <w:vAlign w:val="center"/>
          </w:tcPr>
          <w:p w14:paraId="2226C12D" w14:textId="77777777" w:rsidR="008E7744" w:rsidRDefault="008E7744" w:rsidP="008E7744">
            <w:pPr>
              <w:jc w:val="center"/>
              <w:rPr>
                <w:color w:val="auto"/>
                <w:sz w:val="20"/>
              </w:rPr>
            </w:pPr>
            <w:r>
              <w:rPr>
                <w:color w:val="auto"/>
                <w:sz w:val="20"/>
              </w:rPr>
              <w:t>XX</w:t>
            </w:r>
          </w:p>
        </w:tc>
        <w:tc>
          <w:tcPr>
            <w:tcW w:w="2500" w:type="pct"/>
            <w:shd w:val="clear" w:color="auto" w:fill="D9D9D9" w:themeFill="background1" w:themeFillShade="D9"/>
          </w:tcPr>
          <w:p w14:paraId="43CD8EC0" w14:textId="3D98F447" w:rsidR="008E7744" w:rsidRPr="00DC70D1" w:rsidRDefault="008E7744" w:rsidP="008E7744">
            <w:pPr>
              <w:rPr>
                <w:color w:val="auto"/>
                <w:sz w:val="20"/>
              </w:rPr>
            </w:pPr>
            <w:r w:rsidRPr="008527DF">
              <w:rPr>
                <w:color w:val="auto"/>
                <w:sz w:val="20"/>
              </w:rPr>
              <w:t>Do not take triapine on this day</w:t>
            </w:r>
          </w:p>
        </w:tc>
      </w:tr>
      <w:tr w:rsidR="008E7744" w:rsidRPr="001D7866" w14:paraId="425054CB" w14:textId="77777777">
        <w:trPr>
          <w:jc w:val="center"/>
        </w:trPr>
        <w:tc>
          <w:tcPr>
            <w:tcW w:w="247" w:type="pct"/>
            <w:shd w:val="clear" w:color="auto" w:fill="D9D9D9" w:themeFill="background1" w:themeFillShade="D9"/>
            <w:vAlign w:val="center"/>
          </w:tcPr>
          <w:p w14:paraId="14D20DA7" w14:textId="77777777" w:rsidR="008E7744" w:rsidRPr="001D7866" w:rsidRDefault="008E7744" w:rsidP="008E7744">
            <w:pPr>
              <w:jc w:val="center"/>
              <w:rPr>
                <w:color w:val="auto"/>
                <w:sz w:val="20"/>
              </w:rPr>
            </w:pPr>
            <w:r>
              <w:rPr>
                <w:color w:val="auto"/>
                <w:sz w:val="20"/>
              </w:rPr>
              <w:t>28</w:t>
            </w:r>
          </w:p>
        </w:tc>
        <w:tc>
          <w:tcPr>
            <w:tcW w:w="460" w:type="pct"/>
            <w:shd w:val="clear" w:color="auto" w:fill="D9D9D9" w:themeFill="background1" w:themeFillShade="D9"/>
            <w:vAlign w:val="center"/>
          </w:tcPr>
          <w:p w14:paraId="59628D84" w14:textId="77777777" w:rsidR="008E7744" w:rsidRDefault="008E7744" w:rsidP="008E7744">
            <w:pPr>
              <w:jc w:val="center"/>
              <w:rPr>
                <w:color w:val="auto"/>
                <w:sz w:val="20"/>
              </w:rPr>
            </w:pPr>
            <w:r>
              <w:rPr>
                <w:color w:val="auto"/>
                <w:sz w:val="20"/>
              </w:rPr>
              <w:t>XX</w:t>
            </w:r>
          </w:p>
        </w:tc>
        <w:tc>
          <w:tcPr>
            <w:tcW w:w="667" w:type="pct"/>
            <w:shd w:val="clear" w:color="auto" w:fill="D9D9D9" w:themeFill="background1" w:themeFillShade="D9"/>
            <w:vAlign w:val="center"/>
          </w:tcPr>
          <w:p w14:paraId="34DBF697" w14:textId="77777777" w:rsidR="008E7744" w:rsidRDefault="008E7744" w:rsidP="008E7744">
            <w:pPr>
              <w:jc w:val="center"/>
              <w:rPr>
                <w:color w:val="auto"/>
                <w:sz w:val="20"/>
              </w:rPr>
            </w:pPr>
            <w:r>
              <w:rPr>
                <w:color w:val="auto"/>
                <w:sz w:val="20"/>
              </w:rPr>
              <w:t>XX</w:t>
            </w:r>
          </w:p>
        </w:tc>
        <w:tc>
          <w:tcPr>
            <w:tcW w:w="1126" w:type="pct"/>
            <w:shd w:val="clear" w:color="auto" w:fill="D9D9D9" w:themeFill="background1" w:themeFillShade="D9"/>
            <w:vAlign w:val="center"/>
          </w:tcPr>
          <w:p w14:paraId="758FDF6F" w14:textId="77777777" w:rsidR="008E7744" w:rsidRDefault="008E7744" w:rsidP="008E7744">
            <w:pPr>
              <w:jc w:val="center"/>
              <w:rPr>
                <w:color w:val="auto"/>
                <w:sz w:val="20"/>
              </w:rPr>
            </w:pPr>
            <w:r>
              <w:rPr>
                <w:color w:val="auto"/>
                <w:sz w:val="20"/>
              </w:rPr>
              <w:t>XX</w:t>
            </w:r>
          </w:p>
        </w:tc>
        <w:tc>
          <w:tcPr>
            <w:tcW w:w="2500" w:type="pct"/>
            <w:shd w:val="clear" w:color="auto" w:fill="D9D9D9" w:themeFill="background1" w:themeFillShade="D9"/>
          </w:tcPr>
          <w:p w14:paraId="2B7BAAB3" w14:textId="44269925" w:rsidR="008E7744" w:rsidRPr="00DC70D1" w:rsidRDefault="008E7744" w:rsidP="008E7744">
            <w:pPr>
              <w:rPr>
                <w:color w:val="auto"/>
                <w:sz w:val="20"/>
              </w:rPr>
            </w:pPr>
            <w:r w:rsidRPr="008527DF">
              <w:rPr>
                <w:color w:val="auto"/>
                <w:sz w:val="20"/>
              </w:rPr>
              <w:t>Do not take triapine on this day</w:t>
            </w:r>
          </w:p>
        </w:tc>
      </w:tr>
      <w:bookmarkEnd w:id="408"/>
    </w:tbl>
    <w:p w14:paraId="1ED1B954" w14:textId="77777777" w:rsidR="00DB131D" w:rsidRPr="00072AEC" w:rsidRDefault="00DB131D" w:rsidP="00DB131D">
      <w:pPr>
        <w:widowControl/>
        <w:rPr>
          <w:b/>
          <w:snapToGrid/>
          <w:color w:val="auto"/>
          <w:sz w:val="6"/>
          <w:szCs w:val="6"/>
        </w:rPr>
      </w:pPr>
    </w:p>
    <w:tbl>
      <w:tblPr>
        <w:tblStyle w:val="TableGrid"/>
        <w:tblW w:w="0" w:type="auto"/>
        <w:jc w:val="center"/>
        <w:tblLayout w:type="fixed"/>
        <w:tblCellMar>
          <w:top w:w="14" w:type="dxa"/>
          <w:left w:w="29" w:type="dxa"/>
          <w:right w:w="29" w:type="dxa"/>
        </w:tblCellMar>
        <w:tblLook w:val="01E0" w:firstRow="1" w:lastRow="1" w:firstColumn="1" w:lastColumn="1" w:noHBand="0" w:noVBand="0"/>
      </w:tblPr>
      <w:tblGrid>
        <w:gridCol w:w="10586"/>
      </w:tblGrid>
      <w:tr w:rsidR="00DB131D" w:rsidRPr="001D7866" w14:paraId="4F116C66" w14:textId="77777777">
        <w:trPr>
          <w:jc w:val="center"/>
        </w:trPr>
        <w:tc>
          <w:tcPr>
            <w:tcW w:w="10586" w:type="dxa"/>
            <w:tcBorders>
              <w:top w:val="single" w:sz="8" w:space="0" w:color="auto"/>
              <w:left w:val="single" w:sz="8" w:space="0" w:color="auto"/>
              <w:bottom w:val="single" w:sz="8" w:space="0" w:color="auto"/>
              <w:right w:val="single" w:sz="8" w:space="0" w:color="auto"/>
            </w:tcBorders>
          </w:tcPr>
          <w:p w14:paraId="6EBF8D3A" w14:textId="77777777" w:rsidR="00DB131D" w:rsidRPr="00E066E2" w:rsidRDefault="00DB131D">
            <w:pPr>
              <w:rPr>
                <w:b/>
                <w:bCs/>
                <w:color w:val="auto"/>
                <w:sz w:val="20"/>
                <w:szCs w:val="20"/>
              </w:rPr>
            </w:pPr>
            <w:r w:rsidRPr="00E066E2">
              <w:rPr>
                <w:b/>
                <w:bCs/>
                <w:color w:val="auto"/>
                <w:sz w:val="20"/>
                <w:szCs w:val="20"/>
              </w:rPr>
              <w:t>Physician’s Office will complete this section:</w:t>
            </w:r>
          </w:p>
          <w:p w14:paraId="4599CF60" w14:textId="77777777" w:rsidR="00DB131D" w:rsidRPr="00E066E2" w:rsidRDefault="00DB131D">
            <w:pPr>
              <w:tabs>
                <w:tab w:val="left" w:pos="540"/>
              </w:tabs>
              <w:spacing w:after="40" w:line="252" w:lineRule="auto"/>
              <w:ind w:left="570" w:hanging="399"/>
              <w:contextualSpacing/>
              <w:rPr>
                <w:color w:val="auto"/>
                <w:sz w:val="20"/>
              </w:rPr>
            </w:pPr>
            <w:r w:rsidRPr="00E066E2">
              <w:rPr>
                <w:color w:val="auto"/>
                <w:sz w:val="20"/>
              </w:rPr>
              <w:t>1.</w:t>
            </w:r>
            <w:r w:rsidRPr="00E066E2">
              <w:rPr>
                <w:color w:val="auto"/>
                <w:sz w:val="20"/>
              </w:rPr>
              <w:tab/>
              <w:t>Date patient started protocol treatment</w:t>
            </w:r>
            <w:r w:rsidRPr="00E066E2" w:rsidDel="00703550">
              <w:rPr>
                <w:color w:val="auto"/>
                <w:sz w:val="20"/>
              </w:rPr>
              <w:t xml:space="preserve"> </w:t>
            </w:r>
            <w:r w:rsidRPr="00E066E2">
              <w:rPr>
                <w:color w:val="auto"/>
                <w:sz w:val="20"/>
              </w:rPr>
              <w:t>_______________________________________________________________</w:t>
            </w:r>
            <w:r>
              <w:rPr>
                <w:color w:val="auto"/>
                <w:sz w:val="20"/>
              </w:rPr>
              <w:t>____</w:t>
            </w:r>
          </w:p>
          <w:p w14:paraId="38B55F88" w14:textId="77777777" w:rsidR="00DB131D" w:rsidRPr="00E066E2" w:rsidRDefault="00DB131D">
            <w:pPr>
              <w:tabs>
                <w:tab w:val="left" w:pos="540"/>
              </w:tabs>
              <w:spacing w:after="40" w:line="252" w:lineRule="auto"/>
              <w:ind w:left="570" w:hanging="399"/>
              <w:contextualSpacing/>
              <w:rPr>
                <w:color w:val="auto"/>
                <w:sz w:val="20"/>
              </w:rPr>
            </w:pPr>
            <w:r w:rsidRPr="00E066E2">
              <w:rPr>
                <w:color w:val="auto"/>
                <w:sz w:val="20"/>
              </w:rPr>
              <w:t>2.</w:t>
            </w:r>
            <w:r w:rsidRPr="00E066E2">
              <w:rPr>
                <w:color w:val="auto"/>
                <w:sz w:val="20"/>
              </w:rPr>
              <w:tab/>
              <w:t>Date patient was removed from study</w:t>
            </w:r>
            <w:r w:rsidRPr="00E066E2" w:rsidDel="00703550">
              <w:rPr>
                <w:color w:val="auto"/>
                <w:sz w:val="20"/>
              </w:rPr>
              <w:t xml:space="preserve"> </w:t>
            </w:r>
            <w:r w:rsidRPr="00E066E2">
              <w:rPr>
                <w:color w:val="auto"/>
                <w:sz w:val="20"/>
              </w:rPr>
              <w:t>________________________________________________________________</w:t>
            </w:r>
            <w:r>
              <w:rPr>
                <w:color w:val="auto"/>
                <w:sz w:val="20"/>
              </w:rPr>
              <w:t>____</w:t>
            </w:r>
          </w:p>
          <w:p w14:paraId="211EAD17" w14:textId="77777777" w:rsidR="00DB131D" w:rsidRPr="00E066E2" w:rsidRDefault="00DB131D">
            <w:pPr>
              <w:tabs>
                <w:tab w:val="left" w:pos="540"/>
              </w:tabs>
              <w:spacing w:after="40" w:line="252" w:lineRule="auto"/>
              <w:ind w:left="570" w:hanging="399"/>
              <w:contextualSpacing/>
              <w:rPr>
                <w:color w:val="auto"/>
                <w:sz w:val="20"/>
              </w:rPr>
            </w:pPr>
            <w:r w:rsidRPr="00E066E2">
              <w:rPr>
                <w:color w:val="auto"/>
                <w:sz w:val="20"/>
              </w:rPr>
              <w:t>3.</w:t>
            </w:r>
            <w:r w:rsidRPr="00E066E2">
              <w:rPr>
                <w:color w:val="auto"/>
                <w:sz w:val="20"/>
              </w:rPr>
              <w:tab/>
              <w:t>Patient’s planned total daily dose</w:t>
            </w:r>
            <w:r w:rsidRPr="00E066E2" w:rsidDel="00703550">
              <w:rPr>
                <w:color w:val="auto"/>
                <w:sz w:val="20"/>
              </w:rPr>
              <w:t xml:space="preserve"> </w:t>
            </w:r>
            <w:r w:rsidRPr="00E066E2">
              <w:rPr>
                <w:color w:val="auto"/>
                <w:sz w:val="20"/>
              </w:rPr>
              <w:t>_______________________________________________________________________</w:t>
            </w:r>
          </w:p>
          <w:p w14:paraId="30E3062D" w14:textId="77777777" w:rsidR="00DB131D" w:rsidRPr="00E066E2" w:rsidRDefault="00DB131D">
            <w:pPr>
              <w:tabs>
                <w:tab w:val="left" w:pos="540"/>
              </w:tabs>
              <w:spacing w:after="40" w:line="252" w:lineRule="auto"/>
              <w:ind w:left="570" w:hanging="399"/>
              <w:contextualSpacing/>
              <w:rPr>
                <w:color w:val="auto"/>
                <w:sz w:val="20"/>
              </w:rPr>
            </w:pPr>
            <w:r w:rsidRPr="00E066E2">
              <w:rPr>
                <w:color w:val="auto"/>
                <w:sz w:val="20"/>
              </w:rPr>
              <w:t>4.</w:t>
            </w:r>
            <w:r w:rsidRPr="00E066E2">
              <w:rPr>
                <w:color w:val="auto"/>
                <w:sz w:val="20"/>
              </w:rPr>
              <w:tab/>
              <w:t xml:space="preserve">Total number of </w:t>
            </w:r>
            <w:r w:rsidRPr="00F93561">
              <w:rPr>
                <w:color w:val="auto"/>
                <w:sz w:val="20"/>
                <w:szCs w:val="20"/>
              </w:rPr>
              <w:t>capsules</w:t>
            </w:r>
            <w:r w:rsidRPr="00321CF0">
              <w:rPr>
                <w:color w:val="FF0000"/>
                <w:sz w:val="20"/>
                <w:szCs w:val="20"/>
              </w:rPr>
              <w:t xml:space="preserve"> </w:t>
            </w:r>
            <w:r w:rsidRPr="00E066E2">
              <w:rPr>
                <w:color w:val="auto"/>
                <w:sz w:val="20"/>
              </w:rPr>
              <w:t>taken this month ________________________________________________________</w:t>
            </w:r>
          </w:p>
          <w:p w14:paraId="1070B661" w14:textId="77777777" w:rsidR="00DB131D" w:rsidRPr="00023CE6" w:rsidRDefault="00DB131D">
            <w:pPr>
              <w:tabs>
                <w:tab w:val="left" w:pos="540"/>
              </w:tabs>
              <w:spacing w:after="40" w:line="252" w:lineRule="auto"/>
              <w:ind w:left="576" w:hanging="403"/>
              <w:rPr>
                <w:color w:val="auto"/>
                <w:sz w:val="20"/>
              </w:rPr>
            </w:pPr>
            <w:r w:rsidRPr="00E066E2">
              <w:rPr>
                <w:color w:val="auto"/>
                <w:sz w:val="20"/>
              </w:rPr>
              <w:lastRenderedPageBreak/>
              <w:t>5.</w:t>
            </w:r>
            <w:r w:rsidRPr="00E066E2">
              <w:rPr>
                <w:color w:val="auto"/>
                <w:sz w:val="20"/>
              </w:rPr>
              <w:tab/>
              <w:t>Physician/Nurse/Data Manager’s Signature/Date ___________________________________________________________</w:t>
            </w:r>
          </w:p>
        </w:tc>
      </w:tr>
    </w:tbl>
    <w:p w14:paraId="120D3937" w14:textId="77777777" w:rsidR="008E0A21" w:rsidRDefault="00DB131D" w:rsidP="00DB131D">
      <w:pPr>
        <w:widowControl/>
        <w:spacing w:before="60"/>
        <w:rPr>
          <w:bCs/>
          <w:snapToGrid/>
          <w:color w:val="auto"/>
          <w:sz w:val="20"/>
        </w:rPr>
        <w:sectPr w:rsidR="008E0A21" w:rsidSect="00F44165">
          <w:headerReference w:type="default" r:id="rId97"/>
          <w:footerReference w:type="default" r:id="rId98"/>
          <w:headerReference w:type="first" r:id="rId99"/>
          <w:pgSz w:w="12240" w:h="15840"/>
          <w:pgMar w:top="960" w:right="620" w:bottom="1440" w:left="960" w:header="727" w:footer="1254" w:gutter="0"/>
          <w:cols w:space="720"/>
        </w:sectPr>
      </w:pPr>
      <w:r w:rsidRPr="001D7866">
        <w:rPr>
          <w:b/>
          <w:snapToGrid/>
          <w:color w:val="auto"/>
          <w:sz w:val="20"/>
        </w:rPr>
        <w:lastRenderedPageBreak/>
        <w:t xml:space="preserve">Patient’s </w:t>
      </w:r>
      <w:r>
        <w:rPr>
          <w:b/>
          <w:snapToGrid/>
          <w:color w:val="auto"/>
          <w:sz w:val="20"/>
        </w:rPr>
        <w:t>Initials / Date</w:t>
      </w:r>
      <w:r w:rsidRPr="003516FF">
        <w:rPr>
          <w:b/>
          <w:snapToGrid/>
          <w:color w:val="auto"/>
          <w:sz w:val="20"/>
        </w:rPr>
        <w:t>:</w:t>
      </w:r>
      <w:r w:rsidRPr="003516FF">
        <w:rPr>
          <w:bCs/>
          <w:snapToGrid/>
          <w:color w:val="auto"/>
          <w:sz w:val="20"/>
        </w:rPr>
        <w:t xml:space="preserve">  ______________________________________________</w:t>
      </w:r>
      <w:r>
        <w:rPr>
          <w:bCs/>
          <w:snapToGrid/>
          <w:color w:val="auto"/>
          <w:sz w:val="20"/>
        </w:rPr>
        <w:t>_</w:t>
      </w:r>
      <w:r w:rsidRPr="003516FF">
        <w:rPr>
          <w:bCs/>
          <w:snapToGrid/>
          <w:color w:val="auto"/>
          <w:sz w:val="20"/>
        </w:rPr>
        <w:t>_____________</w:t>
      </w:r>
      <w:r>
        <w:rPr>
          <w:bCs/>
          <w:snapToGrid/>
          <w:color w:val="auto"/>
          <w:sz w:val="20"/>
        </w:rPr>
        <w:t>_</w:t>
      </w:r>
      <w:r w:rsidRPr="003516FF">
        <w:rPr>
          <w:bCs/>
          <w:snapToGrid/>
          <w:color w:val="auto"/>
          <w:sz w:val="20"/>
        </w:rPr>
        <w:t>_____________</w:t>
      </w:r>
      <w:r>
        <w:rPr>
          <w:bCs/>
          <w:snapToGrid/>
          <w:color w:val="auto"/>
          <w:sz w:val="20"/>
        </w:rPr>
        <w:t>_</w:t>
      </w:r>
    </w:p>
    <w:p w14:paraId="392DC9E2" w14:textId="1F8B73C7" w:rsidR="00DF3BFD" w:rsidRPr="0049660A" w:rsidRDefault="00DF3BFD" w:rsidP="00A112ED">
      <w:pPr>
        <w:pStyle w:val="Heading1"/>
        <w:numPr>
          <w:ilvl w:val="0"/>
          <w:numId w:val="0"/>
        </w:numPr>
        <w:ind w:left="180"/>
      </w:pPr>
      <w:bookmarkStart w:id="411" w:name="_APPENDIX_E_RANO"/>
      <w:bookmarkStart w:id="412" w:name="_Toc176419950"/>
      <w:bookmarkEnd w:id="411"/>
      <w:r w:rsidRPr="0049660A">
        <w:lastRenderedPageBreak/>
        <w:t xml:space="preserve">APPENDIX </w:t>
      </w:r>
      <w:r>
        <w:t>E</w:t>
      </w:r>
      <w:r>
        <w:tab/>
      </w:r>
      <w:r w:rsidR="001C4155">
        <w:t xml:space="preserve">RANO 2.0 </w:t>
      </w:r>
      <w:r w:rsidR="00CC18DE">
        <w:t xml:space="preserve">CRITERIA </w:t>
      </w:r>
      <w:r w:rsidR="0098430E">
        <w:t xml:space="preserve">FOR </w:t>
      </w:r>
      <w:r w:rsidR="001C4155">
        <w:t>OVERALL RESPONSE STATUS</w:t>
      </w:r>
      <w:bookmarkEnd w:id="412"/>
    </w:p>
    <w:p w14:paraId="21F806DE" w14:textId="77777777" w:rsidR="008E0A21" w:rsidRDefault="008E0A21">
      <w:pPr>
        <w:widowControl/>
        <w:rPr>
          <w:bCs/>
          <w:snapToGrid/>
          <w:color w:val="auto"/>
          <w:sz w:val="20"/>
        </w:rPr>
      </w:pPr>
    </w:p>
    <w:tbl>
      <w:tblPr>
        <w:tblStyle w:val="List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839"/>
        <w:gridCol w:w="1293"/>
        <w:gridCol w:w="1578"/>
        <w:gridCol w:w="1565"/>
        <w:gridCol w:w="1142"/>
        <w:gridCol w:w="961"/>
        <w:gridCol w:w="1236"/>
      </w:tblGrid>
      <w:tr w:rsidR="008E0A21" w14:paraId="1CC58A0F" w14:textId="77777777" w:rsidTr="008224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dxa"/>
          </w:tcPr>
          <w:p w14:paraId="60BBF826" w14:textId="2D8B5F3B" w:rsidR="008E0A21" w:rsidRPr="00A5201B" w:rsidRDefault="0014185D" w:rsidP="0014185D">
            <w:pPr>
              <w:widowControl/>
              <w:jc w:val="center"/>
              <w:rPr>
                <w:bCs w:val="0"/>
                <w:snapToGrid/>
                <w:color w:val="auto"/>
                <w:sz w:val="20"/>
              </w:rPr>
            </w:pPr>
            <w:r w:rsidRPr="00A5201B">
              <w:rPr>
                <w:bCs w:val="0"/>
                <w:snapToGrid/>
                <w:color w:val="auto"/>
                <w:sz w:val="20"/>
              </w:rPr>
              <w:t xml:space="preserve">Target </w:t>
            </w:r>
            <w:proofErr w:type="spellStart"/>
            <w:r w:rsidRPr="00A5201B">
              <w:rPr>
                <w:bCs w:val="0"/>
                <w:snapToGrid/>
                <w:color w:val="auto"/>
                <w:sz w:val="20"/>
              </w:rPr>
              <w:t>Lesion</w:t>
            </w:r>
            <w:r w:rsidR="00B53E4D" w:rsidRPr="00A5201B">
              <w:rPr>
                <w:bCs w:val="0"/>
                <w:snapToGrid/>
                <w:color w:val="auto"/>
                <w:sz w:val="20"/>
                <w:vertAlign w:val="superscript"/>
              </w:rPr>
              <w:t>a</w:t>
            </w:r>
            <w:proofErr w:type="spellEnd"/>
            <w:r w:rsidRPr="00A5201B">
              <w:rPr>
                <w:bCs w:val="0"/>
                <w:snapToGrid/>
                <w:color w:val="auto"/>
                <w:sz w:val="20"/>
              </w:rPr>
              <w:t xml:space="preserve"> (current scan)</w:t>
            </w:r>
          </w:p>
        </w:tc>
        <w:tc>
          <w:tcPr>
            <w:tcW w:w="1839" w:type="dxa"/>
          </w:tcPr>
          <w:p w14:paraId="262BADD6" w14:textId="071F6547" w:rsidR="008E0A21" w:rsidRPr="00A5201B" w:rsidRDefault="0014185D" w:rsidP="0014185D">
            <w:pPr>
              <w:widowControl/>
              <w:jc w:val="center"/>
              <w:cnfStyle w:val="100000000000" w:firstRow="1" w:lastRow="0" w:firstColumn="0" w:lastColumn="0" w:oddVBand="0" w:evenVBand="0" w:oddHBand="0" w:evenHBand="0" w:firstRowFirstColumn="0" w:firstRowLastColumn="0" w:lastRowFirstColumn="0" w:lastRowLastColumn="0"/>
              <w:rPr>
                <w:bCs w:val="0"/>
                <w:snapToGrid/>
                <w:color w:val="auto"/>
                <w:sz w:val="20"/>
              </w:rPr>
            </w:pPr>
            <w:r w:rsidRPr="00A5201B">
              <w:rPr>
                <w:bCs w:val="0"/>
                <w:snapToGrid/>
                <w:color w:val="auto"/>
                <w:sz w:val="20"/>
              </w:rPr>
              <w:t xml:space="preserve">Target </w:t>
            </w:r>
            <w:proofErr w:type="spellStart"/>
            <w:r w:rsidRPr="00A5201B">
              <w:rPr>
                <w:bCs w:val="0"/>
                <w:snapToGrid/>
                <w:color w:val="auto"/>
                <w:sz w:val="20"/>
              </w:rPr>
              <w:t>Lesion</w:t>
            </w:r>
            <w:r w:rsidR="00B53E4D" w:rsidRPr="00A5201B">
              <w:rPr>
                <w:bCs w:val="0"/>
                <w:snapToGrid/>
                <w:color w:val="auto"/>
                <w:sz w:val="20"/>
                <w:vertAlign w:val="superscript"/>
              </w:rPr>
              <w:t>b</w:t>
            </w:r>
            <w:proofErr w:type="spellEnd"/>
            <w:r w:rsidRPr="00A5201B">
              <w:rPr>
                <w:bCs w:val="0"/>
                <w:snapToGrid/>
                <w:color w:val="auto"/>
                <w:sz w:val="20"/>
              </w:rPr>
              <w:t xml:space="preserve"> (previous scan)</w:t>
            </w:r>
          </w:p>
        </w:tc>
        <w:tc>
          <w:tcPr>
            <w:tcW w:w="1662" w:type="dxa"/>
          </w:tcPr>
          <w:p w14:paraId="74B8B106" w14:textId="4062DCF7" w:rsidR="008E0A21" w:rsidRPr="00A5201B" w:rsidRDefault="0014185D" w:rsidP="0014185D">
            <w:pPr>
              <w:widowControl/>
              <w:jc w:val="center"/>
              <w:cnfStyle w:val="100000000000" w:firstRow="1" w:lastRow="0" w:firstColumn="0" w:lastColumn="0" w:oddVBand="0" w:evenVBand="0" w:oddHBand="0" w:evenHBand="0" w:firstRowFirstColumn="0" w:firstRowLastColumn="0" w:lastRowFirstColumn="0" w:lastRowLastColumn="0"/>
              <w:rPr>
                <w:bCs w:val="0"/>
                <w:snapToGrid/>
                <w:color w:val="auto"/>
                <w:sz w:val="20"/>
              </w:rPr>
            </w:pPr>
            <w:r w:rsidRPr="00A5201B">
              <w:rPr>
                <w:bCs w:val="0"/>
                <w:snapToGrid/>
                <w:color w:val="auto"/>
                <w:sz w:val="20"/>
              </w:rPr>
              <w:t>New Measurable Disease</w:t>
            </w:r>
          </w:p>
        </w:tc>
        <w:tc>
          <w:tcPr>
            <w:tcW w:w="1675" w:type="dxa"/>
          </w:tcPr>
          <w:p w14:paraId="6C6C1B8D" w14:textId="482CDBC8" w:rsidR="008E0A21" w:rsidRPr="00A5201B" w:rsidRDefault="0014185D" w:rsidP="0014185D">
            <w:pPr>
              <w:widowControl/>
              <w:jc w:val="center"/>
              <w:cnfStyle w:val="100000000000" w:firstRow="1" w:lastRow="0" w:firstColumn="0" w:lastColumn="0" w:oddVBand="0" w:evenVBand="0" w:oddHBand="0" w:evenHBand="0" w:firstRowFirstColumn="0" w:firstRowLastColumn="0" w:lastRowFirstColumn="0" w:lastRowLastColumn="0"/>
              <w:rPr>
                <w:bCs w:val="0"/>
                <w:snapToGrid/>
                <w:color w:val="auto"/>
                <w:sz w:val="20"/>
              </w:rPr>
            </w:pPr>
            <w:r w:rsidRPr="00A5201B">
              <w:rPr>
                <w:bCs w:val="0"/>
                <w:snapToGrid/>
                <w:color w:val="auto"/>
                <w:sz w:val="20"/>
              </w:rPr>
              <w:t xml:space="preserve">Nontarget or </w:t>
            </w:r>
            <w:proofErr w:type="spellStart"/>
            <w:r w:rsidRPr="00A5201B">
              <w:rPr>
                <w:bCs w:val="0"/>
                <w:snapToGrid/>
                <w:color w:val="auto"/>
                <w:sz w:val="20"/>
              </w:rPr>
              <w:t>Nonmeasurable</w:t>
            </w:r>
            <w:proofErr w:type="spellEnd"/>
            <w:r w:rsidRPr="00A5201B">
              <w:rPr>
                <w:bCs w:val="0"/>
                <w:snapToGrid/>
                <w:color w:val="auto"/>
                <w:sz w:val="20"/>
              </w:rPr>
              <w:t xml:space="preserve"> Lesion(s)</w:t>
            </w:r>
          </w:p>
        </w:tc>
        <w:tc>
          <w:tcPr>
            <w:tcW w:w="1649" w:type="dxa"/>
          </w:tcPr>
          <w:p w14:paraId="0A69F17A" w14:textId="7315354C" w:rsidR="008E0A21" w:rsidRPr="00A5201B" w:rsidRDefault="0014185D" w:rsidP="0014185D">
            <w:pPr>
              <w:widowControl/>
              <w:jc w:val="center"/>
              <w:cnfStyle w:val="100000000000" w:firstRow="1" w:lastRow="0" w:firstColumn="0" w:lastColumn="0" w:oddVBand="0" w:evenVBand="0" w:oddHBand="0" w:evenHBand="0" w:firstRowFirstColumn="0" w:firstRowLastColumn="0" w:lastRowFirstColumn="0" w:lastRowLastColumn="0"/>
              <w:rPr>
                <w:bCs w:val="0"/>
                <w:snapToGrid/>
                <w:color w:val="auto"/>
                <w:sz w:val="20"/>
              </w:rPr>
            </w:pPr>
            <w:r w:rsidRPr="00A5201B">
              <w:rPr>
                <w:bCs w:val="0"/>
                <w:snapToGrid/>
                <w:color w:val="auto"/>
                <w:sz w:val="20"/>
              </w:rPr>
              <w:t>Clinical Status</w:t>
            </w:r>
          </w:p>
        </w:tc>
        <w:tc>
          <w:tcPr>
            <w:tcW w:w="1655" w:type="dxa"/>
          </w:tcPr>
          <w:p w14:paraId="1D619589" w14:textId="5BCCE877" w:rsidR="008E0A21" w:rsidRPr="00A5201B" w:rsidRDefault="0014185D" w:rsidP="0014185D">
            <w:pPr>
              <w:widowControl/>
              <w:jc w:val="center"/>
              <w:cnfStyle w:val="100000000000" w:firstRow="1" w:lastRow="0" w:firstColumn="0" w:lastColumn="0" w:oddVBand="0" w:evenVBand="0" w:oddHBand="0" w:evenHBand="0" w:firstRowFirstColumn="0" w:firstRowLastColumn="0" w:lastRowFirstColumn="0" w:lastRowLastColumn="0"/>
              <w:rPr>
                <w:bCs w:val="0"/>
                <w:snapToGrid/>
                <w:color w:val="auto"/>
                <w:sz w:val="20"/>
              </w:rPr>
            </w:pPr>
            <w:r w:rsidRPr="00A5201B">
              <w:rPr>
                <w:bCs w:val="0"/>
                <w:snapToGrid/>
                <w:color w:val="auto"/>
                <w:sz w:val="20"/>
              </w:rPr>
              <w:t>Increased Steroid Use</w:t>
            </w:r>
          </w:p>
        </w:tc>
        <w:tc>
          <w:tcPr>
            <w:tcW w:w="1647" w:type="dxa"/>
          </w:tcPr>
          <w:p w14:paraId="43B275CC" w14:textId="6FC0ABBF" w:rsidR="008E0A21" w:rsidRPr="00A5201B" w:rsidRDefault="0014185D" w:rsidP="0014185D">
            <w:pPr>
              <w:widowControl/>
              <w:jc w:val="center"/>
              <w:cnfStyle w:val="100000000000" w:firstRow="1" w:lastRow="0" w:firstColumn="0" w:lastColumn="0" w:oddVBand="0" w:evenVBand="0" w:oddHBand="0" w:evenHBand="0" w:firstRowFirstColumn="0" w:firstRowLastColumn="0" w:lastRowFirstColumn="0" w:lastRowLastColumn="0"/>
              <w:rPr>
                <w:bCs w:val="0"/>
                <w:snapToGrid/>
                <w:color w:val="auto"/>
                <w:sz w:val="20"/>
              </w:rPr>
            </w:pPr>
            <w:r w:rsidRPr="00A5201B">
              <w:rPr>
                <w:bCs w:val="0"/>
                <w:snapToGrid/>
                <w:color w:val="auto"/>
                <w:sz w:val="20"/>
              </w:rPr>
              <w:t>Steroid Dose</w:t>
            </w:r>
          </w:p>
        </w:tc>
        <w:tc>
          <w:tcPr>
            <w:tcW w:w="1654" w:type="dxa"/>
          </w:tcPr>
          <w:p w14:paraId="305DE276" w14:textId="5B6B9C04" w:rsidR="008E0A21" w:rsidRPr="00A5201B" w:rsidRDefault="0014185D" w:rsidP="0014185D">
            <w:pPr>
              <w:widowControl/>
              <w:jc w:val="center"/>
              <w:cnfStyle w:val="100000000000" w:firstRow="1" w:lastRow="0" w:firstColumn="0" w:lastColumn="0" w:oddVBand="0" w:evenVBand="0" w:oddHBand="0" w:evenHBand="0" w:firstRowFirstColumn="0" w:firstRowLastColumn="0" w:lastRowFirstColumn="0" w:lastRowLastColumn="0"/>
              <w:rPr>
                <w:bCs w:val="0"/>
                <w:snapToGrid/>
                <w:color w:val="auto"/>
                <w:sz w:val="20"/>
              </w:rPr>
            </w:pPr>
            <w:r w:rsidRPr="00A5201B">
              <w:rPr>
                <w:bCs w:val="0"/>
                <w:snapToGrid/>
                <w:color w:val="auto"/>
                <w:sz w:val="20"/>
              </w:rPr>
              <w:t>Overall Response Status</w:t>
            </w:r>
          </w:p>
        </w:tc>
      </w:tr>
      <w:tr w:rsidR="00822457" w14:paraId="504776A5" w14:textId="77777777" w:rsidTr="00822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dxa"/>
          </w:tcPr>
          <w:p w14:paraId="614E15F9" w14:textId="1BC6A852" w:rsidR="008E0A21" w:rsidRPr="00822457" w:rsidRDefault="006E3E34" w:rsidP="00822457">
            <w:pPr>
              <w:widowControl/>
              <w:rPr>
                <w:b w:val="0"/>
                <w:snapToGrid/>
                <w:color w:val="auto"/>
                <w:sz w:val="20"/>
              </w:rPr>
            </w:pPr>
            <w:r w:rsidRPr="00822457">
              <w:rPr>
                <w:b w:val="0"/>
                <w:snapToGrid/>
                <w:color w:val="auto"/>
                <w:sz w:val="20"/>
              </w:rPr>
              <w:t>CR</w:t>
            </w:r>
          </w:p>
        </w:tc>
        <w:tc>
          <w:tcPr>
            <w:tcW w:w="1839" w:type="dxa"/>
          </w:tcPr>
          <w:p w14:paraId="0BADD7F6" w14:textId="3E37F8B4" w:rsidR="008E0A21" w:rsidRDefault="001728E3">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Baseline/SD/PR</w:t>
            </w:r>
          </w:p>
        </w:tc>
        <w:tc>
          <w:tcPr>
            <w:tcW w:w="1662" w:type="dxa"/>
          </w:tcPr>
          <w:p w14:paraId="2742BE6D" w14:textId="4A416185" w:rsidR="008E0A21" w:rsidRDefault="003F1454">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No</w:t>
            </w:r>
          </w:p>
        </w:tc>
        <w:tc>
          <w:tcPr>
            <w:tcW w:w="1675" w:type="dxa"/>
          </w:tcPr>
          <w:p w14:paraId="46902F11" w14:textId="153A5E9E" w:rsidR="008E0A21" w:rsidRDefault="003D4D1B">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None/stable</w:t>
            </w:r>
          </w:p>
        </w:tc>
        <w:tc>
          <w:tcPr>
            <w:tcW w:w="1649" w:type="dxa"/>
          </w:tcPr>
          <w:p w14:paraId="246A865B" w14:textId="7C72FA51" w:rsidR="008E0A21" w:rsidRDefault="001239E9">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Stable/Improved</w:t>
            </w:r>
          </w:p>
        </w:tc>
        <w:tc>
          <w:tcPr>
            <w:tcW w:w="1655" w:type="dxa"/>
          </w:tcPr>
          <w:p w14:paraId="25B1091B" w14:textId="3384EBBB" w:rsidR="008E0A21" w:rsidRPr="00435C6A" w:rsidRDefault="00435C6A">
            <w:pPr>
              <w:widowControl/>
              <w:cnfStyle w:val="000000100000" w:firstRow="0" w:lastRow="0" w:firstColumn="0" w:lastColumn="0" w:oddVBand="0" w:evenVBand="0" w:oddHBand="1" w:evenHBand="0" w:firstRowFirstColumn="0" w:firstRowLastColumn="0" w:lastRowFirstColumn="0" w:lastRowLastColumn="0"/>
              <w:rPr>
                <w:bCs/>
                <w:snapToGrid/>
                <w:color w:val="auto"/>
                <w:sz w:val="20"/>
                <w:vertAlign w:val="superscript"/>
              </w:rPr>
            </w:pPr>
            <w:r>
              <w:rPr>
                <w:bCs/>
                <w:snapToGrid/>
                <w:color w:val="auto"/>
                <w:sz w:val="20"/>
              </w:rPr>
              <w:t>No</w:t>
            </w:r>
            <w:r>
              <w:rPr>
                <w:bCs/>
                <w:snapToGrid/>
                <w:color w:val="auto"/>
                <w:sz w:val="20"/>
                <w:vertAlign w:val="superscript"/>
              </w:rPr>
              <w:t>c</w:t>
            </w:r>
          </w:p>
        </w:tc>
        <w:tc>
          <w:tcPr>
            <w:tcW w:w="1647" w:type="dxa"/>
          </w:tcPr>
          <w:p w14:paraId="13B7258E" w14:textId="7831A360" w:rsidR="008E0A21" w:rsidRPr="004C37DE" w:rsidRDefault="004C37DE">
            <w:pPr>
              <w:widowControl/>
              <w:cnfStyle w:val="000000100000" w:firstRow="0" w:lastRow="0" w:firstColumn="0" w:lastColumn="0" w:oddVBand="0" w:evenVBand="0" w:oddHBand="1" w:evenHBand="0" w:firstRowFirstColumn="0" w:firstRowLastColumn="0" w:lastRowFirstColumn="0" w:lastRowLastColumn="0"/>
              <w:rPr>
                <w:bCs/>
                <w:snapToGrid/>
                <w:color w:val="auto"/>
                <w:sz w:val="20"/>
                <w:vertAlign w:val="superscript"/>
              </w:rPr>
            </w:pPr>
            <w:proofErr w:type="spellStart"/>
            <w:r>
              <w:rPr>
                <w:bCs/>
                <w:snapToGrid/>
                <w:color w:val="auto"/>
                <w:sz w:val="20"/>
              </w:rPr>
              <w:t>None</w:t>
            </w:r>
            <w:r>
              <w:rPr>
                <w:bCs/>
                <w:snapToGrid/>
                <w:color w:val="auto"/>
                <w:sz w:val="20"/>
                <w:vertAlign w:val="superscript"/>
              </w:rPr>
              <w:t>c</w:t>
            </w:r>
            <w:proofErr w:type="spellEnd"/>
          </w:p>
        </w:tc>
        <w:tc>
          <w:tcPr>
            <w:tcW w:w="1654" w:type="dxa"/>
          </w:tcPr>
          <w:p w14:paraId="74287CC5" w14:textId="41137B9C" w:rsidR="008E0A21" w:rsidRDefault="00C266D6">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Preliminary CR</w:t>
            </w:r>
          </w:p>
        </w:tc>
      </w:tr>
      <w:tr w:rsidR="008E0A21" w14:paraId="2130BE17" w14:textId="77777777" w:rsidTr="00822457">
        <w:tc>
          <w:tcPr>
            <w:cnfStyle w:val="001000000000" w:firstRow="0" w:lastRow="0" w:firstColumn="1" w:lastColumn="0" w:oddVBand="0" w:evenVBand="0" w:oddHBand="0" w:evenHBand="0" w:firstRowFirstColumn="0" w:firstRowLastColumn="0" w:lastRowFirstColumn="0" w:lastRowLastColumn="0"/>
            <w:tcW w:w="1649" w:type="dxa"/>
          </w:tcPr>
          <w:p w14:paraId="609F7321" w14:textId="7A367950" w:rsidR="008E0A21" w:rsidRPr="00822457" w:rsidRDefault="006E3E34" w:rsidP="00822457">
            <w:pPr>
              <w:widowControl/>
              <w:rPr>
                <w:b w:val="0"/>
                <w:snapToGrid/>
                <w:color w:val="auto"/>
                <w:sz w:val="20"/>
              </w:rPr>
            </w:pPr>
            <w:r w:rsidRPr="00822457">
              <w:rPr>
                <w:b w:val="0"/>
                <w:snapToGrid/>
                <w:color w:val="auto"/>
                <w:sz w:val="20"/>
              </w:rPr>
              <w:t>CR</w:t>
            </w:r>
          </w:p>
        </w:tc>
        <w:tc>
          <w:tcPr>
            <w:tcW w:w="1839" w:type="dxa"/>
          </w:tcPr>
          <w:p w14:paraId="60109500" w14:textId="66908DA5" w:rsidR="008E0A21" w:rsidRDefault="001728E3">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CR</w:t>
            </w:r>
          </w:p>
        </w:tc>
        <w:tc>
          <w:tcPr>
            <w:tcW w:w="1662" w:type="dxa"/>
          </w:tcPr>
          <w:p w14:paraId="7730FCEF" w14:textId="3C0024C2" w:rsidR="008E0A21" w:rsidRDefault="003F1454">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No</w:t>
            </w:r>
          </w:p>
        </w:tc>
        <w:tc>
          <w:tcPr>
            <w:tcW w:w="1675" w:type="dxa"/>
          </w:tcPr>
          <w:p w14:paraId="2D645828" w14:textId="56942EE3" w:rsidR="008E0A21" w:rsidRDefault="003D4D1B">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None/CR</w:t>
            </w:r>
          </w:p>
        </w:tc>
        <w:tc>
          <w:tcPr>
            <w:tcW w:w="1649" w:type="dxa"/>
          </w:tcPr>
          <w:p w14:paraId="7D96CFC4" w14:textId="2F82D63D" w:rsidR="008E0A21" w:rsidRDefault="001239E9">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Stable/Improved</w:t>
            </w:r>
          </w:p>
        </w:tc>
        <w:tc>
          <w:tcPr>
            <w:tcW w:w="1655" w:type="dxa"/>
          </w:tcPr>
          <w:p w14:paraId="1DAD9F38" w14:textId="5E2474C4" w:rsidR="008E0A21" w:rsidRDefault="00435C6A">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No</w:t>
            </w:r>
          </w:p>
        </w:tc>
        <w:tc>
          <w:tcPr>
            <w:tcW w:w="1647" w:type="dxa"/>
          </w:tcPr>
          <w:p w14:paraId="28C1FB7D" w14:textId="4E1C54B6" w:rsidR="004C37DE" w:rsidRDefault="004C37DE">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None</w:t>
            </w:r>
          </w:p>
        </w:tc>
        <w:tc>
          <w:tcPr>
            <w:tcW w:w="1654" w:type="dxa"/>
          </w:tcPr>
          <w:p w14:paraId="34D9C393" w14:textId="7888F377" w:rsidR="008E0A21" w:rsidRDefault="00C266D6">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Confirmed CR</w:t>
            </w:r>
          </w:p>
        </w:tc>
      </w:tr>
      <w:tr w:rsidR="00822457" w14:paraId="246F6809" w14:textId="77777777" w:rsidTr="00822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dxa"/>
          </w:tcPr>
          <w:p w14:paraId="65F92A1B" w14:textId="39E465BB" w:rsidR="008E0A21" w:rsidRPr="00822457" w:rsidRDefault="006E3E34" w:rsidP="00822457">
            <w:pPr>
              <w:widowControl/>
              <w:rPr>
                <w:b w:val="0"/>
                <w:snapToGrid/>
                <w:color w:val="auto"/>
                <w:sz w:val="20"/>
              </w:rPr>
            </w:pPr>
            <w:r w:rsidRPr="00822457">
              <w:rPr>
                <w:b w:val="0"/>
                <w:snapToGrid/>
                <w:color w:val="auto"/>
                <w:sz w:val="20"/>
              </w:rPr>
              <w:t>CR</w:t>
            </w:r>
          </w:p>
        </w:tc>
        <w:tc>
          <w:tcPr>
            <w:tcW w:w="1839" w:type="dxa"/>
          </w:tcPr>
          <w:p w14:paraId="22D13F07" w14:textId="52DA1E7E" w:rsidR="008E0A21" w:rsidRDefault="001728E3">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Baseline/SD/PR/CR</w:t>
            </w:r>
          </w:p>
        </w:tc>
        <w:tc>
          <w:tcPr>
            <w:tcW w:w="1662" w:type="dxa"/>
          </w:tcPr>
          <w:p w14:paraId="506BB4A0" w14:textId="73A47184" w:rsidR="008E0A21" w:rsidRDefault="003F1454">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Y</w:t>
            </w:r>
            <w:r w:rsidR="003E4AD6">
              <w:rPr>
                <w:bCs/>
                <w:snapToGrid/>
                <w:color w:val="auto"/>
                <w:sz w:val="20"/>
              </w:rPr>
              <w:t>es</w:t>
            </w:r>
          </w:p>
        </w:tc>
        <w:tc>
          <w:tcPr>
            <w:tcW w:w="1675" w:type="dxa"/>
          </w:tcPr>
          <w:p w14:paraId="4EFD4A19" w14:textId="7ABD8760" w:rsidR="008E0A21" w:rsidRDefault="002B3744">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None/CR</w:t>
            </w:r>
          </w:p>
        </w:tc>
        <w:tc>
          <w:tcPr>
            <w:tcW w:w="1649" w:type="dxa"/>
          </w:tcPr>
          <w:p w14:paraId="6610711A" w14:textId="67FE5D18" w:rsidR="008E0A21" w:rsidRDefault="001239E9">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Stable/Improved</w:t>
            </w:r>
          </w:p>
        </w:tc>
        <w:tc>
          <w:tcPr>
            <w:tcW w:w="1655" w:type="dxa"/>
          </w:tcPr>
          <w:p w14:paraId="1FCFF25A" w14:textId="166B0569" w:rsidR="008E0A21" w:rsidRDefault="00435C6A">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No</w:t>
            </w:r>
          </w:p>
        </w:tc>
        <w:tc>
          <w:tcPr>
            <w:tcW w:w="1647" w:type="dxa"/>
          </w:tcPr>
          <w:p w14:paraId="07911C7F" w14:textId="01146D55" w:rsidR="008E0A21" w:rsidRDefault="004C37DE">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None</w:t>
            </w:r>
          </w:p>
        </w:tc>
        <w:tc>
          <w:tcPr>
            <w:tcW w:w="1654" w:type="dxa"/>
          </w:tcPr>
          <w:p w14:paraId="64FEF7A5" w14:textId="10956DF4" w:rsidR="008E0A21" w:rsidRPr="00C266D6" w:rsidRDefault="00C266D6">
            <w:pPr>
              <w:widowControl/>
              <w:cnfStyle w:val="000000100000" w:firstRow="0" w:lastRow="0" w:firstColumn="0" w:lastColumn="0" w:oddVBand="0" w:evenVBand="0" w:oddHBand="1" w:evenHBand="0" w:firstRowFirstColumn="0" w:firstRowLastColumn="0" w:lastRowFirstColumn="0" w:lastRowLastColumn="0"/>
              <w:rPr>
                <w:bCs/>
                <w:snapToGrid/>
                <w:color w:val="auto"/>
                <w:sz w:val="20"/>
                <w:vertAlign w:val="superscript"/>
              </w:rPr>
            </w:pPr>
            <w:proofErr w:type="spellStart"/>
            <w:r>
              <w:rPr>
                <w:bCs/>
                <w:snapToGrid/>
                <w:color w:val="auto"/>
                <w:sz w:val="20"/>
              </w:rPr>
              <w:t>PD</w:t>
            </w:r>
            <w:r>
              <w:rPr>
                <w:bCs/>
                <w:snapToGrid/>
                <w:color w:val="auto"/>
                <w:sz w:val="20"/>
                <w:vertAlign w:val="superscript"/>
              </w:rPr>
              <w:t>d</w:t>
            </w:r>
            <w:proofErr w:type="spellEnd"/>
          </w:p>
        </w:tc>
      </w:tr>
      <w:tr w:rsidR="008E0A21" w14:paraId="7ADE4549" w14:textId="77777777" w:rsidTr="00822457">
        <w:tc>
          <w:tcPr>
            <w:cnfStyle w:val="001000000000" w:firstRow="0" w:lastRow="0" w:firstColumn="1" w:lastColumn="0" w:oddVBand="0" w:evenVBand="0" w:oddHBand="0" w:evenHBand="0" w:firstRowFirstColumn="0" w:firstRowLastColumn="0" w:lastRowFirstColumn="0" w:lastRowLastColumn="0"/>
            <w:tcW w:w="1649" w:type="dxa"/>
          </w:tcPr>
          <w:p w14:paraId="60F6D4BE" w14:textId="3260D3CA" w:rsidR="008E0A21" w:rsidRPr="00822457" w:rsidRDefault="006E3E34" w:rsidP="00822457">
            <w:pPr>
              <w:widowControl/>
              <w:rPr>
                <w:b w:val="0"/>
                <w:snapToGrid/>
                <w:color w:val="auto"/>
                <w:sz w:val="20"/>
              </w:rPr>
            </w:pPr>
            <w:r w:rsidRPr="00822457">
              <w:rPr>
                <w:b w:val="0"/>
                <w:snapToGrid/>
                <w:color w:val="auto"/>
                <w:sz w:val="20"/>
              </w:rPr>
              <w:t>CR</w:t>
            </w:r>
          </w:p>
        </w:tc>
        <w:tc>
          <w:tcPr>
            <w:tcW w:w="1839" w:type="dxa"/>
          </w:tcPr>
          <w:p w14:paraId="784C750E" w14:textId="135B8F3F" w:rsidR="008E0A21" w:rsidRDefault="005F68E9">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Baseline/SD/PR/CR</w:t>
            </w:r>
          </w:p>
        </w:tc>
        <w:tc>
          <w:tcPr>
            <w:tcW w:w="1662" w:type="dxa"/>
          </w:tcPr>
          <w:p w14:paraId="283399D7" w14:textId="28EC3381" w:rsidR="008E0A21" w:rsidRDefault="003F1454">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N</w:t>
            </w:r>
            <w:r w:rsidR="003E4AD6">
              <w:rPr>
                <w:bCs/>
                <w:snapToGrid/>
                <w:color w:val="auto"/>
                <w:sz w:val="20"/>
              </w:rPr>
              <w:t>o</w:t>
            </w:r>
          </w:p>
        </w:tc>
        <w:tc>
          <w:tcPr>
            <w:tcW w:w="1675" w:type="dxa"/>
          </w:tcPr>
          <w:p w14:paraId="5EA19B67" w14:textId="04EA2953" w:rsidR="008E0A21" w:rsidRPr="003D4D1B" w:rsidRDefault="0028077C">
            <w:pPr>
              <w:widowControl/>
              <w:cnfStyle w:val="000000000000" w:firstRow="0" w:lastRow="0" w:firstColumn="0" w:lastColumn="0" w:oddVBand="0" w:evenVBand="0" w:oddHBand="0" w:evenHBand="0" w:firstRowFirstColumn="0" w:firstRowLastColumn="0" w:lastRowFirstColumn="0" w:lastRowLastColumn="0"/>
              <w:rPr>
                <w:bCs/>
                <w:snapToGrid/>
                <w:color w:val="auto"/>
                <w:sz w:val="20"/>
                <w:vertAlign w:val="superscript"/>
              </w:rPr>
            </w:pPr>
            <w:r>
              <w:rPr>
                <w:bCs/>
                <w:snapToGrid/>
                <w:color w:val="auto"/>
                <w:sz w:val="20"/>
              </w:rPr>
              <w:t>None/CR</w:t>
            </w:r>
          </w:p>
        </w:tc>
        <w:tc>
          <w:tcPr>
            <w:tcW w:w="1649" w:type="dxa"/>
          </w:tcPr>
          <w:p w14:paraId="78D3B780" w14:textId="0C1BF331" w:rsidR="008E0A21" w:rsidRDefault="001239E9">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Worse</w:t>
            </w:r>
          </w:p>
        </w:tc>
        <w:tc>
          <w:tcPr>
            <w:tcW w:w="1655" w:type="dxa"/>
          </w:tcPr>
          <w:p w14:paraId="6D3397B8" w14:textId="4B2799D0" w:rsidR="008E0A21" w:rsidRDefault="00435C6A">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No</w:t>
            </w:r>
          </w:p>
        </w:tc>
        <w:tc>
          <w:tcPr>
            <w:tcW w:w="1647" w:type="dxa"/>
          </w:tcPr>
          <w:p w14:paraId="6F504F2C" w14:textId="2276C14A" w:rsidR="008E0A21" w:rsidRDefault="00763D1C">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None</w:t>
            </w:r>
          </w:p>
        </w:tc>
        <w:tc>
          <w:tcPr>
            <w:tcW w:w="1654" w:type="dxa"/>
          </w:tcPr>
          <w:p w14:paraId="76FA4963" w14:textId="5C414BD4" w:rsidR="008E0A21" w:rsidRDefault="00C266D6">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PD</w:t>
            </w:r>
          </w:p>
        </w:tc>
      </w:tr>
      <w:tr w:rsidR="0028077C" w14:paraId="0DA2B894" w14:textId="77777777" w:rsidTr="00822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dxa"/>
          </w:tcPr>
          <w:p w14:paraId="3C14F822" w14:textId="01EFC821" w:rsidR="0028077C" w:rsidRPr="00822457" w:rsidRDefault="0028077C" w:rsidP="0028077C">
            <w:pPr>
              <w:widowControl/>
              <w:rPr>
                <w:b w:val="0"/>
                <w:snapToGrid/>
                <w:color w:val="auto"/>
                <w:sz w:val="20"/>
              </w:rPr>
            </w:pPr>
            <w:r w:rsidRPr="00822457">
              <w:rPr>
                <w:b w:val="0"/>
                <w:snapToGrid/>
                <w:color w:val="auto"/>
                <w:sz w:val="20"/>
              </w:rPr>
              <w:t>CR</w:t>
            </w:r>
          </w:p>
        </w:tc>
        <w:tc>
          <w:tcPr>
            <w:tcW w:w="1839" w:type="dxa"/>
          </w:tcPr>
          <w:p w14:paraId="0B7FF883" w14:textId="645CE8BE" w:rsidR="0028077C" w:rsidRDefault="0028077C" w:rsidP="0028077C">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Baseline/SD/PR/CR</w:t>
            </w:r>
          </w:p>
        </w:tc>
        <w:tc>
          <w:tcPr>
            <w:tcW w:w="1662" w:type="dxa"/>
          </w:tcPr>
          <w:p w14:paraId="476D69FE" w14:textId="1B322DD8" w:rsidR="0028077C" w:rsidRDefault="0028077C" w:rsidP="0028077C">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No</w:t>
            </w:r>
          </w:p>
        </w:tc>
        <w:tc>
          <w:tcPr>
            <w:tcW w:w="1675" w:type="dxa"/>
          </w:tcPr>
          <w:p w14:paraId="4B881C26" w14:textId="446CF5A3" w:rsidR="0028077C" w:rsidRDefault="0028077C" w:rsidP="0028077C">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proofErr w:type="spellStart"/>
            <w:r>
              <w:rPr>
                <w:bCs/>
                <w:snapToGrid/>
                <w:color w:val="auto"/>
                <w:sz w:val="20"/>
              </w:rPr>
              <w:t>Worse</w:t>
            </w:r>
            <w:r>
              <w:rPr>
                <w:bCs/>
                <w:snapToGrid/>
                <w:color w:val="auto"/>
                <w:sz w:val="20"/>
                <w:vertAlign w:val="superscript"/>
              </w:rPr>
              <w:t>e</w:t>
            </w:r>
            <w:proofErr w:type="spellEnd"/>
          </w:p>
        </w:tc>
        <w:tc>
          <w:tcPr>
            <w:tcW w:w="1649" w:type="dxa"/>
          </w:tcPr>
          <w:p w14:paraId="3FACC6B4" w14:textId="2A2F84F2" w:rsidR="0028077C" w:rsidRDefault="001239E9" w:rsidP="0028077C">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Stable/Improved</w:t>
            </w:r>
          </w:p>
        </w:tc>
        <w:tc>
          <w:tcPr>
            <w:tcW w:w="1655" w:type="dxa"/>
          </w:tcPr>
          <w:p w14:paraId="624FCC9E" w14:textId="2B05D87A" w:rsidR="0028077C" w:rsidRDefault="00435C6A" w:rsidP="0028077C">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No</w:t>
            </w:r>
          </w:p>
        </w:tc>
        <w:tc>
          <w:tcPr>
            <w:tcW w:w="1647" w:type="dxa"/>
          </w:tcPr>
          <w:p w14:paraId="2A69B273" w14:textId="73CD65BE" w:rsidR="0028077C" w:rsidRDefault="00763D1C" w:rsidP="0028077C">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None</w:t>
            </w:r>
          </w:p>
        </w:tc>
        <w:tc>
          <w:tcPr>
            <w:tcW w:w="1654" w:type="dxa"/>
          </w:tcPr>
          <w:p w14:paraId="33EFB294" w14:textId="7F339703" w:rsidR="0028077C" w:rsidRPr="00C266D6" w:rsidRDefault="00C266D6" w:rsidP="0028077C">
            <w:pPr>
              <w:widowControl/>
              <w:cnfStyle w:val="000000100000" w:firstRow="0" w:lastRow="0" w:firstColumn="0" w:lastColumn="0" w:oddVBand="0" w:evenVBand="0" w:oddHBand="1" w:evenHBand="0" w:firstRowFirstColumn="0" w:firstRowLastColumn="0" w:lastRowFirstColumn="0" w:lastRowLastColumn="0"/>
              <w:rPr>
                <w:bCs/>
                <w:snapToGrid/>
                <w:color w:val="auto"/>
                <w:sz w:val="20"/>
                <w:vertAlign w:val="superscript"/>
              </w:rPr>
            </w:pPr>
            <w:proofErr w:type="spellStart"/>
            <w:r>
              <w:rPr>
                <w:bCs/>
                <w:snapToGrid/>
                <w:color w:val="auto"/>
                <w:sz w:val="20"/>
              </w:rPr>
              <w:t>PD</w:t>
            </w:r>
            <w:r>
              <w:rPr>
                <w:bCs/>
                <w:snapToGrid/>
                <w:color w:val="auto"/>
                <w:sz w:val="20"/>
                <w:vertAlign w:val="superscript"/>
              </w:rPr>
              <w:t>e</w:t>
            </w:r>
            <w:proofErr w:type="spellEnd"/>
          </w:p>
        </w:tc>
      </w:tr>
      <w:tr w:rsidR="0028077C" w14:paraId="4FC55D92" w14:textId="77777777" w:rsidTr="00822457">
        <w:tc>
          <w:tcPr>
            <w:cnfStyle w:val="001000000000" w:firstRow="0" w:lastRow="0" w:firstColumn="1" w:lastColumn="0" w:oddVBand="0" w:evenVBand="0" w:oddHBand="0" w:evenHBand="0" w:firstRowFirstColumn="0" w:firstRowLastColumn="0" w:lastRowFirstColumn="0" w:lastRowLastColumn="0"/>
            <w:tcW w:w="1649" w:type="dxa"/>
          </w:tcPr>
          <w:p w14:paraId="368FACF4" w14:textId="6A53FDEE" w:rsidR="0028077C" w:rsidRPr="00822457" w:rsidRDefault="0028077C" w:rsidP="0028077C">
            <w:pPr>
              <w:widowControl/>
              <w:rPr>
                <w:b w:val="0"/>
                <w:snapToGrid/>
                <w:color w:val="auto"/>
                <w:sz w:val="20"/>
              </w:rPr>
            </w:pPr>
            <w:r w:rsidRPr="00822457">
              <w:rPr>
                <w:b w:val="0"/>
                <w:snapToGrid/>
                <w:color w:val="auto"/>
                <w:sz w:val="20"/>
              </w:rPr>
              <w:t>CR</w:t>
            </w:r>
          </w:p>
        </w:tc>
        <w:tc>
          <w:tcPr>
            <w:tcW w:w="1839" w:type="dxa"/>
          </w:tcPr>
          <w:p w14:paraId="40EAE668" w14:textId="447A17FB" w:rsidR="0028077C" w:rsidRDefault="0028077C" w:rsidP="0028077C">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Baseline/SD/PR/CR</w:t>
            </w:r>
          </w:p>
        </w:tc>
        <w:tc>
          <w:tcPr>
            <w:tcW w:w="1662" w:type="dxa"/>
          </w:tcPr>
          <w:p w14:paraId="0E95EE7D" w14:textId="1E88F5B3" w:rsidR="0028077C" w:rsidRDefault="0028077C" w:rsidP="0028077C">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No</w:t>
            </w:r>
          </w:p>
        </w:tc>
        <w:tc>
          <w:tcPr>
            <w:tcW w:w="1675" w:type="dxa"/>
          </w:tcPr>
          <w:p w14:paraId="28EAE88F" w14:textId="77687D8C" w:rsidR="0028077C" w:rsidRDefault="0028077C" w:rsidP="0028077C">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None/CR</w:t>
            </w:r>
          </w:p>
        </w:tc>
        <w:tc>
          <w:tcPr>
            <w:tcW w:w="1649" w:type="dxa"/>
          </w:tcPr>
          <w:p w14:paraId="56E883CC" w14:textId="5F69A192" w:rsidR="0028077C" w:rsidRDefault="001239E9" w:rsidP="0028077C">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Stable/Improved</w:t>
            </w:r>
          </w:p>
        </w:tc>
        <w:tc>
          <w:tcPr>
            <w:tcW w:w="1655" w:type="dxa"/>
          </w:tcPr>
          <w:p w14:paraId="31151EBF" w14:textId="24EDF8D0" w:rsidR="0028077C" w:rsidRDefault="00435C6A" w:rsidP="0028077C">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Yes</w:t>
            </w:r>
          </w:p>
        </w:tc>
        <w:tc>
          <w:tcPr>
            <w:tcW w:w="1647" w:type="dxa"/>
          </w:tcPr>
          <w:p w14:paraId="124965F9" w14:textId="64B66499" w:rsidR="0028077C" w:rsidRDefault="00763D1C" w:rsidP="0028077C">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Yes</w:t>
            </w:r>
          </w:p>
        </w:tc>
        <w:tc>
          <w:tcPr>
            <w:tcW w:w="1654" w:type="dxa"/>
          </w:tcPr>
          <w:p w14:paraId="24D9BA1B" w14:textId="5793F7F4" w:rsidR="0028077C" w:rsidRPr="00F855EB" w:rsidRDefault="00F855EB" w:rsidP="0028077C">
            <w:pPr>
              <w:widowControl/>
              <w:cnfStyle w:val="000000000000" w:firstRow="0" w:lastRow="0" w:firstColumn="0" w:lastColumn="0" w:oddVBand="0" w:evenVBand="0" w:oddHBand="0" w:evenHBand="0" w:firstRowFirstColumn="0" w:firstRowLastColumn="0" w:lastRowFirstColumn="0" w:lastRowLastColumn="0"/>
              <w:rPr>
                <w:bCs/>
                <w:snapToGrid/>
                <w:color w:val="auto"/>
                <w:sz w:val="20"/>
                <w:vertAlign w:val="superscript"/>
              </w:rPr>
            </w:pPr>
            <w:r>
              <w:rPr>
                <w:bCs/>
                <w:snapToGrid/>
                <w:color w:val="auto"/>
                <w:sz w:val="20"/>
              </w:rPr>
              <w:t xml:space="preserve">SD or </w:t>
            </w:r>
            <w:proofErr w:type="spellStart"/>
            <w:r>
              <w:rPr>
                <w:bCs/>
                <w:snapToGrid/>
                <w:color w:val="auto"/>
                <w:sz w:val="20"/>
              </w:rPr>
              <w:t>PD</w:t>
            </w:r>
            <w:r>
              <w:rPr>
                <w:bCs/>
                <w:snapToGrid/>
                <w:color w:val="auto"/>
                <w:sz w:val="20"/>
                <w:vertAlign w:val="superscript"/>
              </w:rPr>
              <w:t>f</w:t>
            </w:r>
            <w:proofErr w:type="spellEnd"/>
          </w:p>
        </w:tc>
      </w:tr>
      <w:tr w:rsidR="00F855EB" w14:paraId="786C5B49" w14:textId="77777777" w:rsidTr="00822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dxa"/>
          </w:tcPr>
          <w:p w14:paraId="61A399FB" w14:textId="18B2DDDF" w:rsidR="00F855EB" w:rsidRPr="00822457" w:rsidRDefault="00F855EB" w:rsidP="00F855EB">
            <w:pPr>
              <w:widowControl/>
              <w:rPr>
                <w:b w:val="0"/>
                <w:snapToGrid/>
                <w:color w:val="auto"/>
                <w:sz w:val="20"/>
              </w:rPr>
            </w:pPr>
            <w:r w:rsidRPr="00822457">
              <w:rPr>
                <w:b w:val="0"/>
                <w:snapToGrid/>
                <w:color w:val="auto"/>
                <w:sz w:val="20"/>
              </w:rPr>
              <w:t>PR</w:t>
            </w:r>
          </w:p>
        </w:tc>
        <w:tc>
          <w:tcPr>
            <w:tcW w:w="1839" w:type="dxa"/>
          </w:tcPr>
          <w:p w14:paraId="5C571A42" w14:textId="267440FA" w:rsidR="00F855EB" w:rsidRDefault="00F855EB" w:rsidP="00F855EB">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Baseline/SD</w:t>
            </w:r>
          </w:p>
        </w:tc>
        <w:tc>
          <w:tcPr>
            <w:tcW w:w="1662" w:type="dxa"/>
          </w:tcPr>
          <w:p w14:paraId="14973B48" w14:textId="65EE6EA8" w:rsidR="00F855EB" w:rsidRDefault="00F855EB" w:rsidP="00F855EB">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No</w:t>
            </w:r>
          </w:p>
        </w:tc>
        <w:tc>
          <w:tcPr>
            <w:tcW w:w="1675" w:type="dxa"/>
          </w:tcPr>
          <w:p w14:paraId="08CA02D1" w14:textId="265EF534" w:rsidR="00F855EB" w:rsidRDefault="00F855EB" w:rsidP="00F855EB">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None/stable</w:t>
            </w:r>
          </w:p>
        </w:tc>
        <w:tc>
          <w:tcPr>
            <w:tcW w:w="1649" w:type="dxa"/>
          </w:tcPr>
          <w:p w14:paraId="48DAAE3E" w14:textId="40D43FB8" w:rsidR="00F855EB" w:rsidRDefault="00F855EB" w:rsidP="00F855EB">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Stable/Improved</w:t>
            </w:r>
          </w:p>
        </w:tc>
        <w:tc>
          <w:tcPr>
            <w:tcW w:w="1655" w:type="dxa"/>
          </w:tcPr>
          <w:p w14:paraId="085B61B6" w14:textId="68595C37" w:rsidR="00F855EB" w:rsidRPr="00435C6A" w:rsidRDefault="00F855EB" w:rsidP="00F855EB">
            <w:pPr>
              <w:widowControl/>
              <w:cnfStyle w:val="000000100000" w:firstRow="0" w:lastRow="0" w:firstColumn="0" w:lastColumn="0" w:oddVBand="0" w:evenVBand="0" w:oddHBand="1" w:evenHBand="0" w:firstRowFirstColumn="0" w:firstRowLastColumn="0" w:lastRowFirstColumn="0" w:lastRowLastColumn="0"/>
              <w:rPr>
                <w:bCs/>
                <w:snapToGrid/>
                <w:color w:val="auto"/>
                <w:sz w:val="20"/>
                <w:vertAlign w:val="superscript"/>
              </w:rPr>
            </w:pPr>
            <w:r>
              <w:rPr>
                <w:bCs/>
                <w:snapToGrid/>
                <w:color w:val="auto"/>
                <w:sz w:val="20"/>
              </w:rPr>
              <w:t>No</w:t>
            </w:r>
            <w:r>
              <w:rPr>
                <w:bCs/>
                <w:snapToGrid/>
                <w:color w:val="auto"/>
                <w:sz w:val="20"/>
                <w:vertAlign w:val="superscript"/>
              </w:rPr>
              <w:t>c</w:t>
            </w:r>
          </w:p>
        </w:tc>
        <w:tc>
          <w:tcPr>
            <w:tcW w:w="1647" w:type="dxa"/>
          </w:tcPr>
          <w:p w14:paraId="34C026C9" w14:textId="2634EB0C" w:rsidR="00F855EB" w:rsidRDefault="00F855EB" w:rsidP="00F855EB">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proofErr w:type="spellStart"/>
            <w:r>
              <w:rPr>
                <w:bCs/>
                <w:snapToGrid/>
                <w:color w:val="auto"/>
                <w:sz w:val="20"/>
              </w:rPr>
              <w:t>None</w:t>
            </w:r>
            <w:r>
              <w:rPr>
                <w:bCs/>
                <w:snapToGrid/>
                <w:color w:val="auto"/>
                <w:sz w:val="20"/>
                <w:vertAlign w:val="superscript"/>
              </w:rPr>
              <w:t>c</w:t>
            </w:r>
            <w:proofErr w:type="spellEnd"/>
          </w:p>
        </w:tc>
        <w:tc>
          <w:tcPr>
            <w:tcW w:w="1654" w:type="dxa"/>
          </w:tcPr>
          <w:p w14:paraId="4A9CB22E" w14:textId="57B6435B" w:rsidR="00F855EB" w:rsidRDefault="00F855EB" w:rsidP="00F855EB">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Preliminary CR</w:t>
            </w:r>
          </w:p>
        </w:tc>
      </w:tr>
      <w:tr w:rsidR="00F855EB" w14:paraId="21441B74" w14:textId="77777777" w:rsidTr="00822457">
        <w:tc>
          <w:tcPr>
            <w:cnfStyle w:val="001000000000" w:firstRow="0" w:lastRow="0" w:firstColumn="1" w:lastColumn="0" w:oddVBand="0" w:evenVBand="0" w:oddHBand="0" w:evenHBand="0" w:firstRowFirstColumn="0" w:firstRowLastColumn="0" w:lastRowFirstColumn="0" w:lastRowLastColumn="0"/>
            <w:tcW w:w="1649" w:type="dxa"/>
          </w:tcPr>
          <w:p w14:paraId="7B31C676" w14:textId="3AE5FF9E" w:rsidR="00F855EB" w:rsidRPr="00822457" w:rsidRDefault="00F855EB" w:rsidP="00F855EB">
            <w:pPr>
              <w:widowControl/>
              <w:rPr>
                <w:b w:val="0"/>
                <w:snapToGrid/>
                <w:color w:val="auto"/>
                <w:sz w:val="20"/>
              </w:rPr>
            </w:pPr>
            <w:r w:rsidRPr="00822457">
              <w:rPr>
                <w:b w:val="0"/>
                <w:snapToGrid/>
                <w:color w:val="auto"/>
                <w:sz w:val="20"/>
              </w:rPr>
              <w:t>PR</w:t>
            </w:r>
          </w:p>
        </w:tc>
        <w:tc>
          <w:tcPr>
            <w:tcW w:w="1839" w:type="dxa"/>
          </w:tcPr>
          <w:p w14:paraId="3F97A743" w14:textId="1B2FA820" w:rsidR="00F855EB" w:rsidRDefault="00F855EB" w:rsidP="00F855EB">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PR</w:t>
            </w:r>
          </w:p>
        </w:tc>
        <w:tc>
          <w:tcPr>
            <w:tcW w:w="1662" w:type="dxa"/>
          </w:tcPr>
          <w:p w14:paraId="37F87BB3" w14:textId="11A7ED35" w:rsidR="00F855EB" w:rsidRDefault="00F855EB" w:rsidP="00F855EB">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No</w:t>
            </w:r>
          </w:p>
        </w:tc>
        <w:tc>
          <w:tcPr>
            <w:tcW w:w="1675" w:type="dxa"/>
          </w:tcPr>
          <w:p w14:paraId="52AE4B02" w14:textId="07111863" w:rsidR="00F855EB" w:rsidRDefault="00F855EB" w:rsidP="00F855EB">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None/stable</w:t>
            </w:r>
          </w:p>
        </w:tc>
        <w:tc>
          <w:tcPr>
            <w:tcW w:w="1649" w:type="dxa"/>
          </w:tcPr>
          <w:p w14:paraId="0380626C" w14:textId="5570022F" w:rsidR="00F855EB" w:rsidRDefault="00F855EB" w:rsidP="00F855EB">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Stable/Improved</w:t>
            </w:r>
          </w:p>
        </w:tc>
        <w:tc>
          <w:tcPr>
            <w:tcW w:w="1655" w:type="dxa"/>
          </w:tcPr>
          <w:p w14:paraId="6F4C82C7" w14:textId="0414E647" w:rsidR="00F855EB" w:rsidRDefault="00F855EB" w:rsidP="00F855EB">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No</w:t>
            </w:r>
          </w:p>
        </w:tc>
        <w:tc>
          <w:tcPr>
            <w:tcW w:w="1647" w:type="dxa"/>
          </w:tcPr>
          <w:p w14:paraId="6541F950" w14:textId="770F5B2C" w:rsidR="00F855EB" w:rsidRDefault="00F855EB" w:rsidP="00F855EB">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None</w:t>
            </w:r>
          </w:p>
        </w:tc>
        <w:tc>
          <w:tcPr>
            <w:tcW w:w="1654" w:type="dxa"/>
          </w:tcPr>
          <w:p w14:paraId="2F0656FE" w14:textId="0642CC55" w:rsidR="00F855EB" w:rsidRDefault="00F855EB" w:rsidP="00F855EB">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Confirmed CR</w:t>
            </w:r>
          </w:p>
        </w:tc>
      </w:tr>
      <w:tr w:rsidR="00F855EB" w14:paraId="6FBCE9B5" w14:textId="77777777" w:rsidTr="00822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dxa"/>
          </w:tcPr>
          <w:p w14:paraId="4B2620A3" w14:textId="33DDF577" w:rsidR="00F855EB" w:rsidRPr="00822457" w:rsidRDefault="00F855EB" w:rsidP="00F855EB">
            <w:pPr>
              <w:widowControl/>
              <w:rPr>
                <w:b w:val="0"/>
                <w:snapToGrid/>
                <w:color w:val="auto"/>
                <w:sz w:val="20"/>
              </w:rPr>
            </w:pPr>
            <w:r w:rsidRPr="00822457">
              <w:rPr>
                <w:b w:val="0"/>
                <w:snapToGrid/>
                <w:color w:val="auto"/>
                <w:sz w:val="20"/>
              </w:rPr>
              <w:t>PR</w:t>
            </w:r>
          </w:p>
        </w:tc>
        <w:tc>
          <w:tcPr>
            <w:tcW w:w="1839" w:type="dxa"/>
          </w:tcPr>
          <w:p w14:paraId="10BEF0A6" w14:textId="773B22EC" w:rsidR="00F855EB" w:rsidRDefault="00F855EB" w:rsidP="00F855EB">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Baseline/SD/PR</w:t>
            </w:r>
          </w:p>
        </w:tc>
        <w:tc>
          <w:tcPr>
            <w:tcW w:w="1662" w:type="dxa"/>
          </w:tcPr>
          <w:p w14:paraId="0822C535" w14:textId="4093ED77" w:rsidR="00F855EB" w:rsidRDefault="00F855EB" w:rsidP="00F855EB">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Yes</w:t>
            </w:r>
          </w:p>
        </w:tc>
        <w:tc>
          <w:tcPr>
            <w:tcW w:w="1675" w:type="dxa"/>
          </w:tcPr>
          <w:p w14:paraId="38F43EDF" w14:textId="1E225784" w:rsidR="00F855EB" w:rsidRDefault="00F855EB" w:rsidP="00F855EB">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None/stable</w:t>
            </w:r>
          </w:p>
        </w:tc>
        <w:tc>
          <w:tcPr>
            <w:tcW w:w="1649" w:type="dxa"/>
          </w:tcPr>
          <w:p w14:paraId="0D1CC8D5" w14:textId="46F3D3A6" w:rsidR="00F855EB" w:rsidRDefault="00F855EB" w:rsidP="00F855EB">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Stable/Improved</w:t>
            </w:r>
          </w:p>
        </w:tc>
        <w:tc>
          <w:tcPr>
            <w:tcW w:w="1655" w:type="dxa"/>
          </w:tcPr>
          <w:p w14:paraId="2451425C" w14:textId="747948F1" w:rsidR="00F855EB" w:rsidRDefault="00F855EB" w:rsidP="00F855EB">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No</w:t>
            </w:r>
          </w:p>
        </w:tc>
        <w:tc>
          <w:tcPr>
            <w:tcW w:w="1647" w:type="dxa"/>
          </w:tcPr>
          <w:p w14:paraId="5C6B98FD" w14:textId="47E08640" w:rsidR="00F855EB" w:rsidRDefault="00F855EB" w:rsidP="00F855EB">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None</w:t>
            </w:r>
          </w:p>
        </w:tc>
        <w:tc>
          <w:tcPr>
            <w:tcW w:w="1654" w:type="dxa"/>
          </w:tcPr>
          <w:p w14:paraId="26D90C63" w14:textId="4FBF7EB6" w:rsidR="00F855EB" w:rsidRDefault="00F855EB" w:rsidP="00F855EB">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proofErr w:type="spellStart"/>
            <w:r>
              <w:rPr>
                <w:bCs/>
                <w:snapToGrid/>
                <w:color w:val="auto"/>
                <w:sz w:val="20"/>
              </w:rPr>
              <w:t>PD</w:t>
            </w:r>
            <w:r>
              <w:rPr>
                <w:bCs/>
                <w:snapToGrid/>
                <w:color w:val="auto"/>
                <w:sz w:val="20"/>
                <w:vertAlign w:val="superscript"/>
              </w:rPr>
              <w:t>d</w:t>
            </w:r>
            <w:proofErr w:type="spellEnd"/>
          </w:p>
        </w:tc>
      </w:tr>
      <w:tr w:rsidR="00F855EB" w14:paraId="1F47291D" w14:textId="77777777" w:rsidTr="00822457">
        <w:tc>
          <w:tcPr>
            <w:cnfStyle w:val="001000000000" w:firstRow="0" w:lastRow="0" w:firstColumn="1" w:lastColumn="0" w:oddVBand="0" w:evenVBand="0" w:oddHBand="0" w:evenHBand="0" w:firstRowFirstColumn="0" w:firstRowLastColumn="0" w:lastRowFirstColumn="0" w:lastRowLastColumn="0"/>
            <w:tcW w:w="1649" w:type="dxa"/>
          </w:tcPr>
          <w:p w14:paraId="56FD2EAF" w14:textId="63291D18" w:rsidR="00F855EB" w:rsidRPr="00822457" w:rsidRDefault="00F855EB" w:rsidP="00F855EB">
            <w:pPr>
              <w:widowControl/>
              <w:rPr>
                <w:b w:val="0"/>
                <w:snapToGrid/>
                <w:color w:val="auto"/>
                <w:sz w:val="20"/>
              </w:rPr>
            </w:pPr>
            <w:r w:rsidRPr="00822457">
              <w:rPr>
                <w:b w:val="0"/>
                <w:snapToGrid/>
                <w:color w:val="auto"/>
                <w:sz w:val="20"/>
              </w:rPr>
              <w:t>PR</w:t>
            </w:r>
          </w:p>
        </w:tc>
        <w:tc>
          <w:tcPr>
            <w:tcW w:w="1839" w:type="dxa"/>
          </w:tcPr>
          <w:p w14:paraId="49F4E0CA" w14:textId="5D1C3BC3" w:rsidR="00F855EB" w:rsidRDefault="00F855EB" w:rsidP="00F855EB">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Baseline/SD/PR</w:t>
            </w:r>
          </w:p>
        </w:tc>
        <w:tc>
          <w:tcPr>
            <w:tcW w:w="1662" w:type="dxa"/>
          </w:tcPr>
          <w:p w14:paraId="526090D4" w14:textId="45E51D5C" w:rsidR="00F855EB" w:rsidRDefault="00F855EB" w:rsidP="00F855EB">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No</w:t>
            </w:r>
          </w:p>
        </w:tc>
        <w:tc>
          <w:tcPr>
            <w:tcW w:w="1675" w:type="dxa"/>
          </w:tcPr>
          <w:p w14:paraId="5DA100FC" w14:textId="3925D48A" w:rsidR="00F855EB" w:rsidRDefault="00F855EB" w:rsidP="00F855EB">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None/stable</w:t>
            </w:r>
          </w:p>
        </w:tc>
        <w:tc>
          <w:tcPr>
            <w:tcW w:w="1649" w:type="dxa"/>
          </w:tcPr>
          <w:p w14:paraId="04AFB9F0" w14:textId="2C468383" w:rsidR="00F855EB" w:rsidRDefault="00F855EB" w:rsidP="00F855EB">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Worse</w:t>
            </w:r>
          </w:p>
        </w:tc>
        <w:tc>
          <w:tcPr>
            <w:tcW w:w="1655" w:type="dxa"/>
          </w:tcPr>
          <w:p w14:paraId="647CDF5D" w14:textId="16B15848" w:rsidR="00F855EB" w:rsidRDefault="00F855EB" w:rsidP="00F855EB">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No</w:t>
            </w:r>
          </w:p>
        </w:tc>
        <w:tc>
          <w:tcPr>
            <w:tcW w:w="1647" w:type="dxa"/>
          </w:tcPr>
          <w:p w14:paraId="2591CEF3" w14:textId="58826DC9" w:rsidR="00F855EB" w:rsidRDefault="00F855EB" w:rsidP="00F855EB">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None</w:t>
            </w:r>
          </w:p>
        </w:tc>
        <w:tc>
          <w:tcPr>
            <w:tcW w:w="1654" w:type="dxa"/>
          </w:tcPr>
          <w:p w14:paraId="65BD03C9" w14:textId="006CFB17" w:rsidR="00F855EB" w:rsidRDefault="00F855EB" w:rsidP="00F855EB">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PD</w:t>
            </w:r>
          </w:p>
        </w:tc>
      </w:tr>
      <w:tr w:rsidR="00F855EB" w14:paraId="0145567B" w14:textId="77777777" w:rsidTr="00822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dxa"/>
          </w:tcPr>
          <w:p w14:paraId="4594B318" w14:textId="328BA097" w:rsidR="00F855EB" w:rsidRPr="00822457" w:rsidRDefault="00F855EB" w:rsidP="00F855EB">
            <w:pPr>
              <w:widowControl/>
              <w:rPr>
                <w:b w:val="0"/>
                <w:snapToGrid/>
                <w:color w:val="auto"/>
                <w:sz w:val="20"/>
              </w:rPr>
            </w:pPr>
            <w:r w:rsidRPr="00822457">
              <w:rPr>
                <w:b w:val="0"/>
                <w:snapToGrid/>
                <w:color w:val="auto"/>
                <w:sz w:val="20"/>
              </w:rPr>
              <w:t>PR</w:t>
            </w:r>
          </w:p>
        </w:tc>
        <w:tc>
          <w:tcPr>
            <w:tcW w:w="1839" w:type="dxa"/>
          </w:tcPr>
          <w:p w14:paraId="74A76B8B" w14:textId="1521D13F" w:rsidR="00F855EB" w:rsidRDefault="00F855EB" w:rsidP="00F855EB">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Baseline/SD/PR</w:t>
            </w:r>
          </w:p>
        </w:tc>
        <w:tc>
          <w:tcPr>
            <w:tcW w:w="1662" w:type="dxa"/>
          </w:tcPr>
          <w:p w14:paraId="55D5ACCE" w14:textId="000B3CA9" w:rsidR="00F855EB" w:rsidRDefault="00F855EB" w:rsidP="00F855EB">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No</w:t>
            </w:r>
          </w:p>
        </w:tc>
        <w:tc>
          <w:tcPr>
            <w:tcW w:w="1675" w:type="dxa"/>
          </w:tcPr>
          <w:p w14:paraId="015337AD" w14:textId="69EF1220" w:rsidR="00F855EB" w:rsidRDefault="00F855EB" w:rsidP="00F855EB">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proofErr w:type="spellStart"/>
            <w:r>
              <w:rPr>
                <w:bCs/>
                <w:snapToGrid/>
                <w:color w:val="auto"/>
                <w:sz w:val="20"/>
              </w:rPr>
              <w:t>Worse</w:t>
            </w:r>
            <w:r>
              <w:rPr>
                <w:bCs/>
                <w:snapToGrid/>
                <w:color w:val="auto"/>
                <w:sz w:val="20"/>
                <w:vertAlign w:val="superscript"/>
              </w:rPr>
              <w:t>e</w:t>
            </w:r>
            <w:proofErr w:type="spellEnd"/>
          </w:p>
        </w:tc>
        <w:tc>
          <w:tcPr>
            <w:tcW w:w="1649" w:type="dxa"/>
          </w:tcPr>
          <w:p w14:paraId="708B9D58" w14:textId="3D9526C8" w:rsidR="00F855EB" w:rsidRDefault="00F855EB" w:rsidP="00F855EB">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Stable/Improved</w:t>
            </w:r>
          </w:p>
        </w:tc>
        <w:tc>
          <w:tcPr>
            <w:tcW w:w="1655" w:type="dxa"/>
          </w:tcPr>
          <w:p w14:paraId="37202D56" w14:textId="071100BF" w:rsidR="00F855EB" w:rsidRDefault="00F855EB" w:rsidP="00F855EB">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No</w:t>
            </w:r>
          </w:p>
        </w:tc>
        <w:tc>
          <w:tcPr>
            <w:tcW w:w="1647" w:type="dxa"/>
          </w:tcPr>
          <w:p w14:paraId="6877FEB4" w14:textId="7123CEF0" w:rsidR="00F855EB" w:rsidRDefault="00F855EB" w:rsidP="00F855EB">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None</w:t>
            </w:r>
          </w:p>
        </w:tc>
        <w:tc>
          <w:tcPr>
            <w:tcW w:w="1654" w:type="dxa"/>
          </w:tcPr>
          <w:p w14:paraId="5E731DA6" w14:textId="6FE95534" w:rsidR="00F855EB" w:rsidRDefault="00F855EB" w:rsidP="00F855EB">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proofErr w:type="spellStart"/>
            <w:r>
              <w:rPr>
                <w:bCs/>
                <w:snapToGrid/>
                <w:color w:val="auto"/>
                <w:sz w:val="20"/>
              </w:rPr>
              <w:t>PD</w:t>
            </w:r>
            <w:r>
              <w:rPr>
                <w:bCs/>
                <w:snapToGrid/>
                <w:color w:val="auto"/>
                <w:sz w:val="20"/>
                <w:vertAlign w:val="superscript"/>
              </w:rPr>
              <w:t>e</w:t>
            </w:r>
            <w:proofErr w:type="spellEnd"/>
          </w:p>
        </w:tc>
      </w:tr>
      <w:tr w:rsidR="0028077C" w14:paraId="39B733DD" w14:textId="77777777" w:rsidTr="00822457">
        <w:tc>
          <w:tcPr>
            <w:cnfStyle w:val="001000000000" w:firstRow="0" w:lastRow="0" w:firstColumn="1" w:lastColumn="0" w:oddVBand="0" w:evenVBand="0" w:oddHBand="0" w:evenHBand="0" w:firstRowFirstColumn="0" w:firstRowLastColumn="0" w:lastRowFirstColumn="0" w:lastRowLastColumn="0"/>
            <w:tcW w:w="1649" w:type="dxa"/>
          </w:tcPr>
          <w:p w14:paraId="63764302" w14:textId="351E30A9" w:rsidR="0028077C" w:rsidRPr="00822457" w:rsidRDefault="0028077C" w:rsidP="0028077C">
            <w:pPr>
              <w:widowControl/>
              <w:rPr>
                <w:b w:val="0"/>
                <w:snapToGrid/>
                <w:color w:val="auto"/>
                <w:sz w:val="20"/>
              </w:rPr>
            </w:pPr>
            <w:r w:rsidRPr="00822457">
              <w:rPr>
                <w:b w:val="0"/>
                <w:snapToGrid/>
                <w:color w:val="auto"/>
                <w:sz w:val="20"/>
              </w:rPr>
              <w:t>PR</w:t>
            </w:r>
          </w:p>
        </w:tc>
        <w:tc>
          <w:tcPr>
            <w:tcW w:w="1839" w:type="dxa"/>
          </w:tcPr>
          <w:p w14:paraId="4AF5A0DB" w14:textId="0BDF609C" w:rsidR="0028077C" w:rsidRDefault="0028077C" w:rsidP="0028077C">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Baseline/SD/PR</w:t>
            </w:r>
          </w:p>
        </w:tc>
        <w:tc>
          <w:tcPr>
            <w:tcW w:w="1662" w:type="dxa"/>
          </w:tcPr>
          <w:p w14:paraId="4C28D86F" w14:textId="187EBDCF" w:rsidR="0028077C" w:rsidRDefault="0028077C" w:rsidP="0028077C">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No</w:t>
            </w:r>
          </w:p>
        </w:tc>
        <w:tc>
          <w:tcPr>
            <w:tcW w:w="1675" w:type="dxa"/>
          </w:tcPr>
          <w:p w14:paraId="56040339" w14:textId="2D1296BA" w:rsidR="0028077C" w:rsidRDefault="0028077C" w:rsidP="0028077C">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None/stable</w:t>
            </w:r>
          </w:p>
        </w:tc>
        <w:tc>
          <w:tcPr>
            <w:tcW w:w="1649" w:type="dxa"/>
          </w:tcPr>
          <w:p w14:paraId="72FC86EF" w14:textId="5E2DEEB4" w:rsidR="0028077C" w:rsidRDefault="001239E9" w:rsidP="0028077C">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Stable/Improved</w:t>
            </w:r>
          </w:p>
        </w:tc>
        <w:tc>
          <w:tcPr>
            <w:tcW w:w="1655" w:type="dxa"/>
          </w:tcPr>
          <w:p w14:paraId="5CD167DF" w14:textId="45278B44" w:rsidR="0028077C" w:rsidRDefault="00435C6A" w:rsidP="0028077C">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Y</w:t>
            </w:r>
            <w:r w:rsidR="004C37DE">
              <w:rPr>
                <w:bCs/>
                <w:snapToGrid/>
                <w:color w:val="auto"/>
                <w:sz w:val="20"/>
              </w:rPr>
              <w:t>es</w:t>
            </w:r>
          </w:p>
        </w:tc>
        <w:tc>
          <w:tcPr>
            <w:tcW w:w="1647" w:type="dxa"/>
          </w:tcPr>
          <w:p w14:paraId="688AC953" w14:textId="0D2DD7B8" w:rsidR="0028077C" w:rsidRDefault="00763D1C" w:rsidP="0028077C">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Yes</w:t>
            </w:r>
          </w:p>
        </w:tc>
        <w:tc>
          <w:tcPr>
            <w:tcW w:w="1654" w:type="dxa"/>
          </w:tcPr>
          <w:p w14:paraId="2F5A63E6" w14:textId="51FFE762" w:rsidR="0028077C" w:rsidRDefault="00F855EB" w:rsidP="0028077C">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 xml:space="preserve">SD or </w:t>
            </w:r>
            <w:proofErr w:type="spellStart"/>
            <w:r>
              <w:rPr>
                <w:bCs/>
                <w:snapToGrid/>
                <w:color w:val="auto"/>
                <w:sz w:val="20"/>
              </w:rPr>
              <w:t>PD</w:t>
            </w:r>
            <w:r>
              <w:rPr>
                <w:bCs/>
                <w:snapToGrid/>
                <w:color w:val="auto"/>
                <w:sz w:val="20"/>
                <w:vertAlign w:val="superscript"/>
              </w:rPr>
              <w:t>f</w:t>
            </w:r>
            <w:proofErr w:type="spellEnd"/>
          </w:p>
        </w:tc>
      </w:tr>
      <w:tr w:rsidR="0028077C" w14:paraId="0D0F8F29" w14:textId="77777777" w:rsidTr="00822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dxa"/>
          </w:tcPr>
          <w:p w14:paraId="443B518B" w14:textId="016B0999" w:rsidR="0028077C" w:rsidRPr="00822457" w:rsidRDefault="0028077C" w:rsidP="0028077C">
            <w:pPr>
              <w:widowControl/>
              <w:rPr>
                <w:b w:val="0"/>
                <w:snapToGrid/>
                <w:color w:val="auto"/>
                <w:sz w:val="20"/>
              </w:rPr>
            </w:pPr>
            <w:r w:rsidRPr="00822457">
              <w:rPr>
                <w:b w:val="0"/>
                <w:snapToGrid/>
                <w:color w:val="auto"/>
                <w:sz w:val="20"/>
              </w:rPr>
              <w:t>SD</w:t>
            </w:r>
          </w:p>
        </w:tc>
        <w:tc>
          <w:tcPr>
            <w:tcW w:w="1839" w:type="dxa"/>
          </w:tcPr>
          <w:p w14:paraId="32B417E4" w14:textId="55518BD4" w:rsidR="0028077C" w:rsidRDefault="0028077C" w:rsidP="0028077C">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Baseline/SD</w:t>
            </w:r>
          </w:p>
        </w:tc>
        <w:tc>
          <w:tcPr>
            <w:tcW w:w="1662" w:type="dxa"/>
          </w:tcPr>
          <w:p w14:paraId="420549DD" w14:textId="7B2D2CDD" w:rsidR="0028077C" w:rsidRDefault="0028077C" w:rsidP="0028077C">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No</w:t>
            </w:r>
          </w:p>
        </w:tc>
        <w:tc>
          <w:tcPr>
            <w:tcW w:w="1675" w:type="dxa"/>
          </w:tcPr>
          <w:p w14:paraId="5FEF7A6D" w14:textId="09605815" w:rsidR="0028077C" w:rsidRDefault="0028077C" w:rsidP="0028077C">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None/stable</w:t>
            </w:r>
          </w:p>
        </w:tc>
        <w:tc>
          <w:tcPr>
            <w:tcW w:w="1649" w:type="dxa"/>
          </w:tcPr>
          <w:p w14:paraId="01388AF5" w14:textId="5E15613B" w:rsidR="0028077C" w:rsidRDefault="001239E9" w:rsidP="0028077C">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Stable/Improved</w:t>
            </w:r>
          </w:p>
        </w:tc>
        <w:tc>
          <w:tcPr>
            <w:tcW w:w="1655" w:type="dxa"/>
          </w:tcPr>
          <w:p w14:paraId="713786EF" w14:textId="055B3DD5" w:rsidR="0028077C" w:rsidRPr="004C37DE" w:rsidRDefault="00435C6A" w:rsidP="0028077C">
            <w:pPr>
              <w:widowControl/>
              <w:cnfStyle w:val="000000100000" w:firstRow="0" w:lastRow="0" w:firstColumn="0" w:lastColumn="0" w:oddVBand="0" w:evenVBand="0" w:oddHBand="1" w:evenHBand="0" w:firstRowFirstColumn="0" w:firstRowLastColumn="0" w:lastRowFirstColumn="0" w:lastRowLastColumn="0"/>
              <w:rPr>
                <w:bCs/>
                <w:snapToGrid/>
                <w:color w:val="auto"/>
                <w:sz w:val="20"/>
                <w:vertAlign w:val="superscript"/>
              </w:rPr>
            </w:pPr>
            <w:r>
              <w:rPr>
                <w:bCs/>
                <w:snapToGrid/>
                <w:color w:val="auto"/>
                <w:sz w:val="20"/>
              </w:rPr>
              <w:t>N</w:t>
            </w:r>
            <w:r w:rsidR="004C37DE">
              <w:rPr>
                <w:bCs/>
                <w:snapToGrid/>
                <w:color w:val="auto"/>
                <w:sz w:val="20"/>
              </w:rPr>
              <w:t>o</w:t>
            </w:r>
            <w:r w:rsidR="004C37DE">
              <w:rPr>
                <w:bCs/>
                <w:snapToGrid/>
                <w:color w:val="auto"/>
                <w:sz w:val="20"/>
                <w:vertAlign w:val="superscript"/>
              </w:rPr>
              <w:t>c</w:t>
            </w:r>
          </w:p>
        </w:tc>
        <w:tc>
          <w:tcPr>
            <w:tcW w:w="1647" w:type="dxa"/>
          </w:tcPr>
          <w:p w14:paraId="7A4065EC" w14:textId="4847F567" w:rsidR="0028077C" w:rsidRDefault="00763D1C" w:rsidP="0028077C">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proofErr w:type="spellStart"/>
            <w:r>
              <w:rPr>
                <w:bCs/>
                <w:snapToGrid/>
                <w:color w:val="auto"/>
                <w:sz w:val="20"/>
              </w:rPr>
              <w:t>None</w:t>
            </w:r>
            <w:r>
              <w:rPr>
                <w:bCs/>
                <w:snapToGrid/>
                <w:color w:val="auto"/>
                <w:sz w:val="20"/>
                <w:vertAlign w:val="superscript"/>
              </w:rPr>
              <w:t>c</w:t>
            </w:r>
            <w:proofErr w:type="spellEnd"/>
          </w:p>
        </w:tc>
        <w:tc>
          <w:tcPr>
            <w:tcW w:w="1654" w:type="dxa"/>
          </w:tcPr>
          <w:p w14:paraId="13931815" w14:textId="23040C83" w:rsidR="0028077C" w:rsidRDefault="006D7EF2" w:rsidP="0028077C">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SD</w:t>
            </w:r>
          </w:p>
        </w:tc>
      </w:tr>
      <w:tr w:rsidR="006D7EF2" w14:paraId="769C6B35" w14:textId="77777777" w:rsidTr="00822457">
        <w:tc>
          <w:tcPr>
            <w:cnfStyle w:val="001000000000" w:firstRow="0" w:lastRow="0" w:firstColumn="1" w:lastColumn="0" w:oddVBand="0" w:evenVBand="0" w:oddHBand="0" w:evenHBand="0" w:firstRowFirstColumn="0" w:firstRowLastColumn="0" w:lastRowFirstColumn="0" w:lastRowLastColumn="0"/>
            <w:tcW w:w="1649" w:type="dxa"/>
          </w:tcPr>
          <w:p w14:paraId="3BFC3251" w14:textId="601A39D8" w:rsidR="006D7EF2" w:rsidRPr="00822457" w:rsidRDefault="006D7EF2" w:rsidP="006D7EF2">
            <w:pPr>
              <w:widowControl/>
              <w:rPr>
                <w:b w:val="0"/>
                <w:snapToGrid/>
                <w:color w:val="auto"/>
                <w:sz w:val="20"/>
              </w:rPr>
            </w:pPr>
            <w:r w:rsidRPr="00822457">
              <w:rPr>
                <w:b w:val="0"/>
                <w:snapToGrid/>
                <w:color w:val="auto"/>
                <w:sz w:val="20"/>
              </w:rPr>
              <w:t>SD</w:t>
            </w:r>
          </w:p>
        </w:tc>
        <w:tc>
          <w:tcPr>
            <w:tcW w:w="1839" w:type="dxa"/>
          </w:tcPr>
          <w:p w14:paraId="55231967" w14:textId="091B9D17" w:rsidR="006D7EF2" w:rsidRDefault="006D7EF2" w:rsidP="006D7EF2">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Baseline/SD</w:t>
            </w:r>
          </w:p>
        </w:tc>
        <w:tc>
          <w:tcPr>
            <w:tcW w:w="1662" w:type="dxa"/>
          </w:tcPr>
          <w:p w14:paraId="3E92654D" w14:textId="71BBACE8" w:rsidR="006D7EF2" w:rsidRDefault="006D7EF2" w:rsidP="006D7EF2">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Yes</w:t>
            </w:r>
          </w:p>
        </w:tc>
        <w:tc>
          <w:tcPr>
            <w:tcW w:w="1675" w:type="dxa"/>
          </w:tcPr>
          <w:p w14:paraId="11450F7F" w14:textId="6DB760B9" w:rsidR="006D7EF2" w:rsidRDefault="006D7EF2" w:rsidP="006D7EF2">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None/stable</w:t>
            </w:r>
          </w:p>
        </w:tc>
        <w:tc>
          <w:tcPr>
            <w:tcW w:w="1649" w:type="dxa"/>
          </w:tcPr>
          <w:p w14:paraId="21702A6B" w14:textId="7E9C2212" w:rsidR="006D7EF2" w:rsidRDefault="006D7EF2" w:rsidP="006D7EF2">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Stable/Improved</w:t>
            </w:r>
          </w:p>
        </w:tc>
        <w:tc>
          <w:tcPr>
            <w:tcW w:w="1655" w:type="dxa"/>
          </w:tcPr>
          <w:p w14:paraId="671815F2" w14:textId="2AE54FDA" w:rsidR="006D7EF2" w:rsidRDefault="006D7EF2" w:rsidP="006D7EF2">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No</w:t>
            </w:r>
          </w:p>
        </w:tc>
        <w:tc>
          <w:tcPr>
            <w:tcW w:w="1647" w:type="dxa"/>
          </w:tcPr>
          <w:p w14:paraId="220EE545" w14:textId="289F16E5" w:rsidR="006D7EF2" w:rsidRDefault="006D7EF2" w:rsidP="006D7EF2">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None</w:t>
            </w:r>
          </w:p>
        </w:tc>
        <w:tc>
          <w:tcPr>
            <w:tcW w:w="1654" w:type="dxa"/>
          </w:tcPr>
          <w:p w14:paraId="307E4150" w14:textId="6882A4D6" w:rsidR="006D7EF2" w:rsidRDefault="006D7EF2" w:rsidP="006D7EF2">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proofErr w:type="spellStart"/>
            <w:r>
              <w:rPr>
                <w:bCs/>
                <w:snapToGrid/>
                <w:color w:val="auto"/>
                <w:sz w:val="20"/>
              </w:rPr>
              <w:t>PD</w:t>
            </w:r>
            <w:r>
              <w:rPr>
                <w:bCs/>
                <w:snapToGrid/>
                <w:color w:val="auto"/>
                <w:sz w:val="20"/>
                <w:vertAlign w:val="superscript"/>
              </w:rPr>
              <w:t>d</w:t>
            </w:r>
            <w:proofErr w:type="spellEnd"/>
          </w:p>
        </w:tc>
      </w:tr>
      <w:tr w:rsidR="006D7EF2" w14:paraId="019C5336" w14:textId="77777777" w:rsidTr="00822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dxa"/>
          </w:tcPr>
          <w:p w14:paraId="3BD44CFB" w14:textId="0034C2A8" w:rsidR="006D7EF2" w:rsidRPr="00822457" w:rsidRDefault="006D7EF2" w:rsidP="006D7EF2">
            <w:pPr>
              <w:widowControl/>
              <w:rPr>
                <w:b w:val="0"/>
                <w:snapToGrid/>
                <w:color w:val="auto"/>
                <w:sz w:val="20"/>
              </w:rPr>
            </w:pPr>
            <w:r w:rsidRPr="00822457">
              <w:rPr>
                <w:b w:val="0"/>
                <w:snapToGrid/>
                <w:color w:val="auto"/>
                <w:sz w:val="20"/>
              </w:rPr>
              <w:t>SD</w:t>
            </w:r>
          </w:p>
        </w:tc>
        <w:tc>
          <w:tcPr>
            <w:tcW w:w="1839" w:type="dxa"/>
          </w:tcPr>
          <w:p w14:paraId="5A9A10C6" w14:textId="1087FD82" w:rsidR="006D7EF2" w:rsidRDefault="006D7EF2" w:rsidP="006D7EF2">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Baseline/SD</w:t>
            </w:r>
          </w:p>
        </w:tc>
        <w:tc>
          <w:tcPr>
            <w:tcW w:w="1662" w:type="dxa"/>
          </w:tcPr>
          <w:p w14:paraId="638262BB" w14:textId="5B357A61" w:rsidR="006D7EF2" w:rsidRDefault="006D7EF2" w:rsidP="006D7EF2">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No</w:t>
            </w:r>
          </w:p>
        </w:tc>
        <w:tc>
          <w:tcPr>
            <w:tcW w:w="1675" w:type="dxa"/>
          </w:tcPr>
          <w:p w14:paraId="1C1281DE" w14:textId="2F0684E1" w:rsidR="006D7EF2" w:rsidRDefault="006D7EF2" w:rsidP="006D7EF2">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None/stable</w:t>
            </w:r>
          </w:p>
        </w:tc>
        <w:tc>
          <w:tcPr>
            <w:tcW w:w="1649" w:type="dxa"/>
          </w:tcPr>
          <w:p w14:paraId="0D0CE4A3" w14:textId="17D7A492" w:rsidR="006D7EF2" w:rsidRDefault="006D7EF2" w:rsidP="006D7EF2">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Worse</w:t>
            </w:r>
          </w:p>
        </w:tc>
        <w:tc>
          <w:tcPr>
            <w:tcW w:w="1655" w:type="dxa"/>
          </w:tcPr>
          <w:p w14:paraId="42AC0387" w14:textId="163D924F" w:rsidR="006D7EF2" w:rsidRDefault="006D7EF2" w:rsidP="006D7EF2">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No</w:t>
            </w:r>
          </w:p>
        </w:tc>
        <w:tc>
          <w:tcPr>
            <w:tcW w:w="1647" w:type="dxa"/>
          </w:tcPr>
          <w:p w14:paraId="5C10225D" w14:textId="49C11EF5" w:rsidR="006D7EF2" w:rsidRDefault="006D7EF2" w:rsidP="006D7EF2">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None</w:t>
            </w:r>
          </w:p>
        </w:tc>
        <w:tc>
          <w:tcPr>
            <w:tcW w:w="1654" w:type="dxa"/>
          </w:tcPr>
          <w:p w14:paraId="72033F32" w14:textId="76FAA0EC" w:rsidR="006D7EF2" w:rsidRDefault="006D7EF2" w:rsidP="006D7EF2">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PD</w:t>
            </w:r>
          </w:p>
        </w:tc>
      </w:tr>
      <w:tr w:rsidR="006D7EF2" w14:paraId="58D33ADC" w14:textId="77777777" w:rsidTr="00822457">
        <w:tc>
          <w:tcPr>
            <w:cnfStyle w:val="001000000000" w:firstRow="0" w:lastRow="0" w:firstColumn="1" w:lastColumn="0" w:oddVBand="0" w:evenVBand="0" w:oddHBand="0" w:evenHBand="0" w:firstRowFirstColumn="0" w:firstRowLastColumn="0" w:lastRowFirstColumn="0" w:lastRowLastColumn="0"/>
            <w:tcW w:w="1649" w:type="dxa"/>
          </w:tcPr>
          <w:p w14:paraId="743609D0" w14:textId="3C0EFCF6" w:rsidR="006D7EF2" w:rsidRPr="00822457" w:rsidRDefault="006D7EF2" w:rsidP="006D7EF2">
            <w:pPr>
              <w:widowControl/>
              <w:rPr>
                <w:b w:val="0"/>
                <w:snapToGrid/>
                <w:color w:val="auto"/>
                <w:sz w:val="20"/>
              </w:rPr>
            </w:pPr>
            <w:r w:rsidRPr="00822457">
              <w:rPr>
                <w:b w:val="0"/>
                <w:snapToGrid/>
                <w:color w:val="auto"/>
                <w:sz w:val="20"/>
              </w:rPr>
              <w:t>SD</w:t>
            </w:r>
          </w:p>
        </w:tc>
        <w:tc>
          <w:tcPr>
            <w:tcW w:w="1839" w:type="dxa"/>
          </w:tcPr>
          <w:p w14:paraId="58235C15" w14:textId="4C150EC9" w:rsidR="006D7EF2" w:rsidRDefault="006D7EF2" w:rsidP="006D7EF2">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Baseline/SD</w:t>
            </w:r>
          </w:p>
        </w:tc>
        <w:tc>
          <w:tcPr>
            <w:tcW w:w="1662" w:type="dxa"/>
          </w:tcPr>
          <w:p w14:paraId="5F9084A4" w14:textId="1FAA5D74" w:rsidR="006D7EF2" w:rsidRDefault="006D7EF2" w:rsidP="006D7EF2">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No</w:t>
            </w:r>
          </w:p>
        </w:tc>
        <w:tc>
          <w:tcPr>
            <w:tcW w:w="1675" w:type="dxa"/>
          </w:tcPr>
          <w:p w14:paraId="463D80D0" w14:textId="0C7334AF" w:rsidR="006D7EF2" w:rsidRDefault="006D7EF2" w:rsidP="006D7EF2">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proofErr w:type="spellStart"/>
            <w:r>
              <w:rPr>
                <w:bCs/>
                <w:snapToGrid/>
                <w:color w:val="auto"/>
                <w:sz w:val="20"/>
              </w:rPr>
              <w:t>Worse</w:t>
            </w:r>
            <w:r>
              <w:rPr>
                <w:bCs/>
                <w:snapToGrid/>
                <w:color w:val="auto"/>
                <w:sz w:val="20"/>
                <w:vertAlign w:val="superscript"/>
              </w:rPr>
              <w:t>e</w:t>
            </w:r>
            <w:proofErr w:type="spellEnd"/>
          </w:p>
        </w:tc>
        <w:tc>
          <w:tcPr>
            <w:tcW w:w="1649" w:type="dxa"/>
          </w:tcPr>
          <w:p w14:paraId="4083815B" w14:textId="3CA6A7F1" w:rsidR="006D7EF2" w:rsidRDefault="006D7EF2" w:rsidP="006D7EF2">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Stable/Improved</w:t>
            </w:r>
          </w:p>
        </w:tc>
        <w:tc>
          <w:tcPr>
            <w:tcW w:w="1655" w:type="dxa"/>
          </w:tcPr>
          <w:p w14:paraId="10065914" w14:textId="341A93B4" w:rsidR="006D7EF2" w:rsidRDefault="006D7EF2" w:rsidP="006D7EF2">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No</w:t>
            </w:r>
          </w:p>
        </w:tc>
        <w:tc>
          <w:tcPr>
            <w:tcW w:w="1647" w:type="dxa"/>
          </w:tcPr>
          <w:p w14:paraId="5E93FFA6" w14:textId="519B81E6" w:rsidR="006D7EF2" w:rsidRDefault="006D7EF2" w:rsidP="006D7EF2">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None</w:t>
            </w:r>
          </w:p>
        </w:tc>
        <w:tc>
          <w:tcPr>
            <w:tcW w:w="1654" w:type="dxa"/>
          </w:tcPr>
          <w:p w14:paraId="6EC363A9" w14:textId="07FC8642" w:rsidR="006D7EF2" w:rsidRDefault="006D7EF2" w:rsidP="006D7EF2">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proofErr w:type="spellStart"/>
            <w:r>
              <w:rPr>
                <w:bCs/>
                <w:snapToGrid/>
                <w:color w:val="auto"/>
                <w:sz w:val="20"/>
              </w:rPr>
              <w:t>PD</w:t>
            </w:r>
            <w:r>
              <w:rPr>
                <w:bCs/>
                <w:snapToGrid/>
                <w:color w:val="auto"/>
                <w:sz w:val="20"/>
                <w:vertAlign w:val="superscript"/>
              </w:rPr>
              <w:t>e</w:t>
            </w:r>
            <w:proofErr w:type="spellEnd"/>
          </w:p>
        </w:tc>
      </w:tr>
      <w:tr w:rsidR="006D7EF2" w14:paraId="0C1B9C7B" w14:textId="77777777" w:rsidTr="00822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dxa"/>
          </w:tcPr>
          <w:p w14:paraId="67F6C358" w14:textId="5858DB2A" w:rsidR="006D7EF2" w:rsidRPr="00822457" w:rsidRDefault="006D7EF2" w:rsidP="006D7EF2">
            <w:pPr>
              <w:widowControl/>
              <w:rPr>
                <w:b w:val="0"/>
                <w:snapToGrid/>
                <w:color w:val="auto"/>
                <w:sz w:val="20"/>
              </w:rPr>
            </w:pPr>
            <w:r w:rsidRPr="00822457">
              <w:rPr>
                <w:b w:val="0"/>
                <w:snapToGrid/>
                <w:color w:val="auto"/>
                <w:sz w:val="20"/>
              </w:rPr>
              <w:t>SD</w:t>
            </w:r>
          </w:p>
        </w:tc>
        <w:tc>
          <w:tcPr>
            <w:tcW w:w="1839" w:type="dxa"/>
          </w:tcPr>
          <w:p w14:paraId="00B0E7C8" w14:textId="5EE51573" w:rsidR="006D7EF2" w:rsidRDefault="006D7EF2" w:rsidP="006D7EF2">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Baseline/SD</w:t>
            </w:r>
          </w:p>
        </w:tc>
        <w:tc>
          <w:tcPr>
            <w:tcW w:w="1662" w:type="dxa"/>
          </w:tcPr>
          <w:p w14:paraId="1DB88AD9" w14:textId="490F7869" w:rsidR="006D7EF2" w:rsidRDefault="006D7EF2" w:rsidP="006D7EF2">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No</w:t>
            </w:r>
          </w:p>
        </w:tc>
        <w:tc>
          <w:tcPr>
            <w:tcW w:w="1675" w:type="dxa"/>
          </w:tcPr>
          <w:p w14:paraId="4BB35A3C" w14:textId="264C0855" w:rsidR="006D7EF2" w:rsidRDefault="006D7EF2" w:rsidP="006D7EF2">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None/stable</w:t>
            </w:r>
          </w:p>
        </w:tc>
        <w:tc>
          <w:tcPr>
            <w:tcW w:w="1649" w:type="dxa"/>
          </w:tcPr>
          <w:p w14:paraId="3A998601" w14:textId="6CD2420D" w:rsidR="006D7EF2" w:rsidRDefault="006D7EF2" w:rsidP="006D7EF2">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Stable/Improved</w:t>
            </w:r>
          </w:p>
        </w:tc>
        <w:tc>
          <w:tcPr>
            <w:tcW w:w="1655" w:type="dxa"/>
          </w:tcPr>
          <w:p w14:paraId="2EB69A33" w14:textId="57D2BF88" w:rsidR="006D7EF2" w:rsidRDefault="006D7EF2" w:rsidP="006D7EF2">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Yes</w:t>
            </w:r>
          </w:p>
        </w:tc>
        <w:tc>
          <w:tcPr>
            <w:tcW w:w="1647" w:type="dxa"/>
          </w:tcPr>
          <w:p w14:paraId="2E465518" w14:textId="505F5F06" w:rsidR="006D7EF2" w:rsidRDefault="006D7EF2" w:rsidP="006D7EF2">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Yes</w:t>
            </w:r>
          </w:p>
        </w:tc>
        <w:tc>
          <w:tcPr>
            <w:tcW w:w="1654" w:type="dxa"/>
          </w:tcPr>
          <w:p w14:paraId="5B3B46E5" w14:textId="7821F5CF" w:rsidR="006D7EF2" w:rsidRDefault="006D7EF2" w:rsidP="006D7EF2">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 xml:space="preserve">SD or </w:t>
            </w:r>
            <w:proofErr w:type="spellStart"/>
            <w:r>
              <w:rPr>
                <w:bCs/>
                <w:snapToGrid/>
                <w:color w:val="auto"/>
                <w:sz w:val="20"/>
              </w:rPr>
              <w:t>PD</w:t>
            </w:r>
            <w:r>
              <w:rPr>
                <w:bCs/>
                <w:snapToGrid/>
                <w:color w:val="auto"/>
                <w:sz w:val="20"/>
                <w:vertAlign w:val="superscript"/>
              </w:rPr>
              <w:t>f</w:t>
            </w:r>
            <w:proofErr w:type="spellEnd"/>
          </w:p>
        </w:tc>
      </w:tr>
      <w:tr w:rsidR="006D7EF2" w14:paraId="13956F25" w14:textId="77777777" w:rsidTr="00822457">
        <w:tc>
          <w:tcPr>
            <w:cnfStyle w:val="001000000000" w:firstRow="0" w:lastRow="0" w:firstColumn="1" w:lastColumn="0" w:oddVBand="0" w:evenVBand="0" w:oddHBand="0" w:evenHBand="0" w:firstRowFirstColumn="0" w:firstRowLastColumn="0" w:lastRowFirstColumn="0" w:lastRowLastColumn="0"/>
            <w:tcW w:w="1649" w:type="dxa"/>
          </w:tcPr>
          <w:p w14:paraId="0D4B8B74" w14:textId="22BA1A1A" w:rsidR="006D7EF2" w:rsidRPr="00822457" w:rsidRDefault="006D7EF2" w:rsidP="006D7EF2">
            <w:pPr>
              <w:widowControl/>
              <w:rPr>
                <w:b w:val="0"/>
                <w:snapToGrid/>
                <w:color w:val="auto"/>
                <w:sz w:val="20"/>
              </w:rPr>
            </w:pPr>
            <w:r w:rsidRPr="00822457">
              <w:rPr>
                <w:b w:val="0"/>
                <w:snapToGrid/>
                <w:color w:val="auto"/>
                <w:sz w:val="20"/>
              </w:rPr>
              <w:t>PD</w:t>
            </w:r>
          </w:p>
        </w:tc>
        <w:tc>
          <w:tcPr>
            <w:tcW w:w="1839" w:type="dxa"/>
          </w:tcPr>
          <w:p w14:paraId="2631A567" w14:textId="028873D4" w:rsidR="006D7EF2" w:rsidRDefault="006D7EF2" w:rsidP="006D7EF2">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Baseline/SD/PR/CR</w:t>
            </w:r>
          </w:p>
        </w:tc>
        <w:tc>
          <w:tcPr>
            <w:tcW w:w="1662" w:type="dxa"/>
          </w:tcPr>
          <w:p w14:paraId="59A3261A" w14:textId="3B6CB46D" w:rsidR="006D7EF2" w:rsidRDefault="006D7EF2" w:rsidP="006D7EF2">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No</w:t>
            </w:r>
          </w:p>
        </w:tc>
        <w:tc>
          <w:tcPr>
            <w:tcW w:w="1675" w:type="dxa"/>
          </w:tcPr>
          <w:p w14:paraId="62F98A6F" w14:textId="5FA2EF64" w:rsidR="006D7EF2" w:rsidRDefault="006D7EF2" w:rsidP="006D7EF2">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None/stable</w:t>
            </w:r>
          </w:p>
        </w:tc>
        <w:tc>
          <w:tcPr>
            <w:tcW w:w="1649" w:type="dxa"/>
          </w:tcPr>
          <w:p w14:paraId="1A40C01C" w14:textId="0736DD5C" w:rsidR="006D7EF2" w:rsidRDefault="006D7EF2" w:rsidP="006D7EF2">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Stable/Improved</w:t>
            </w:r>
          </w:p>
        </w:tc>
        <w:tc>
          <w:tcPr>
            <w:tcW w:w="1655" w:type="dxa"/>
          </w:tcPr>
          <w:p w14:paraId="4116A858" w14:textId="359EDDF3" w:rsidR="006D7EF2" w:rsidRPr="004C37DE" w:rsidRDefault="006D7EF2" w:rsidP="006D7EF2">
            <w:pPr>
              <w:widowControl/>
              <w:cnfStyle w:val="000000000000" w:firstRow="0" w:lastRow="0" w:firstColumn="0" w:lastColumn="0" w:oddVBand="0" w:evenVBand="0" w:oddHBand="0" w:evenHBand="0" w:firstRowFirstColumn="0" w:firstRowLastColumn="0" w:lastRowFirstColumn="0" w:lastRowLastColumn="0"/>
              <w:rPr>
                <w:bCs/>
                <w:snapToGrid/>
                <w:color w:val="auto"/>
                <w:sz w:val="20"/>
                <w:vertAlign w:val="superscript"/>
              </w:rPr>
            </w:pPr>
            <w:r>
              <w:rPr>
                <w:bCs/>
                <w:snapToGrid/>
                <w:color w:val="auto"/>
                <w:sz w:val="20"/>
              </w:rPr>
              <w:t>No</w:t>
            </w:r>
            <w:r>
              <w:rPr>
                <w:bCs/>
                <w:snapToGrid/>
                <w:color w:val="auto"/>
                <w:sz w:val="20"/>
                <w:vertAlign w:val="superscript"/>
              </w:rPr>
              <w:t>c</w:t>
            </w:r>
          </w:p>
        </w:tc>
        <w:tc>
          <w:tcPr>
            <w:tcW w:w="1647" w:type="dxa"/>
          </w:tcPr>
          <w:p w14:paraId="1D451E53" w14:textId="7B96F435" w:rsidR="006D7EF2" w:rsidRDefault="006D7EF2" w:rsidP="006D7EF2">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proofErr w:type="spellStart"/>
            <w:r>
              <w:rPr>
                <w:bCs/>
                <w:snapToGrid/>
                <w:color w:val="auto"/>
                <w:sz w:val="20"/>
              </w:rPr>
              <w:t>None</w:t>
            </w:r>
            <w:r>
              <w:rPr>
                <w:bCs/>
                <w:snapToGrid/>
                <w:color w:val="auto"/>
                <w:sz w:val="20"/>
                <w:vertAlign w:val="superscript"/>
              </w:rPr>
              <w:t>c</w:t>
            </w:r>
            <w:proofErr w:type="spellEnd"/>
          </w:p>
        </w:tc>
        <w:tc>
          <w:tcPr>
            <w:tcW w:w="1654" w:type="dxa"/>
          </w:tcPr>
          <w:p w14:paraId="7FA90E45" w14:textId="1CC58890" w:rsidR="006D7EF2" w:rsidRPr="006D7EF2" w:rsidRDefault="006D7EF2" w:rsidP="006D7EF2">
            <w:pPr>
              <w:widowControl/>
              <w:cnfStyle w:val="000000000000" w:firstRow="0" w:lastRow="0" w:firstColumn="0" w:lastColumn="0" w:oddVBand="0" w:evenVBand="0" w:oddHBand="0" w:evenHBand="0" w:firstRowFirstColumn="0" w:firstRowLastColumn="0" w:lastRowFirstColumn="0" w:lastRowLastColumn="0"/>
              <w:rPr>
                <w:bCs/>
                <w:snapToGrid/>
                <w:color w:val="auto"/>
                <w:sz w:val="20"/>
                <w:vertAlign w:val="superscript"/>
              </w:rPr>
            </w:pPr>
            <w:r>
              <w:rPr>
                <w:bCs/>
                <w:snapToGrid/>
                <w:color w:val="auto"/>
                <w:sz w:val="20"/>
              </w:rPr>
              <w:t xml:space="preserve">PD or preliminary </w:t>
            </w:r>
            <w:proofErr w:type="spellStart"/>
            <w:r>
              <w:rPr>
                <w:bCs/>
                <w:snapToGrid/>
                <w:color w:val="auto"/>
                <w:sz w:val="20"/>
              </w:rPr>
              <w:t>PD</w:t>
            </w:r>
            <w:r>
              <w:rPr>
                <w:bCs/>
                <w:snapToGrid/>
                <w:color w:val="auto"/>
                <w:sz w:val="20"/>
                <w:vertAlign w:val="superscript"/>
              </w:rPr>
              <w:t>h</w:t>
            </w:r>
            <w:proofErr w:type="spellEnd"/>
          </w:p>
        </w:tc>
      </w:tr>
      <w:tr w:rsidR="006D7EF2" w14:paraId="63CDE39F" w14:textId="77777777" w:rsidTr="00822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dxa"/>
          </w:tcPr>
          <w:p w14:paraId="1FD734C0" w14:textId="6AF12ACF" w:rsidR="006D7EF2" w:rsidRPr="00822457" w:rsidRDefault="006D7EF2" w:rsidP="006D7EF2">
            <w:pPr>
              <w:widowControl/>
              <w:rPr>
                <w:b w:val="0"/>
                <w:snapToGrid/>
                <w:color w:val="auto"/>
                <w:sz w:val="20"/>
              </w:rPr>
            </w:pPr>
            <w:r w:rsidRPr="00822457">
              <w:rPr>
                <w:b w:val="0"/>
                <w:snapToGrid/>
                <w:color w:val="auto"/>
                <w:sz w:val="20"/>
              </w:rPr>
              <w:t>PD</w:t>
            </w:r>
          </w:p>
        </w:tc>
        <w:tc>
          <w:tcPr>
            <w:tcW w:w="1839" w:type="dxa"/>
          </w:tcPr>
          <w:p w14:paraId="1E0F5BCE" w14:textId="2A601C6C" w:rsidR="006D7EF2" w:rsidRPr="00FE5368" w:rsidRDefault="006D7EF2" w:rsidP="006D7EF2">
            <w:pPr>
              <w:widowControl/>
              <w:cnfStyle w:val="000000100000" w:firstRow="0" w:lastRow="0" w:firstColumn="0" w:lastColumn="0" w:oddVBand="0" w:evenVBand="0" w:oddHBand="1" w:evenHBand="0" w:firstRowFirstColumn="0" w:firstRowLastColumn="0" w:lastRowFirstColumn="0" w:lastRowLastColumn="0"/>
              <w:rPr>
                <w:bCs/>
                <w:snapToGrid/>
                <w:color w:val="auto"/>
                <w:sz w:val="20"/>
                <w:vertAlign w:val="superscript"/>
              </w:rPr>
            </w:pPr>
            <w:r>
              <w:rPr>
                <w:bCs/>
                <w:snapToGrid/>
                <w:color w:val="auto"/>
                <w:sz w:val="20"/>
              </w:rPr>
              <w:t xml:space="preserve">Preliminary </w:t>
            </w:r>
            <w:proofErr w:type="spellStart"/>
            <w:r>
              <w:rPr>
                <w:bCs/>
                <w:snapToGrid/>
                <w:color w:val="auto"/>
                <w:sz w:val="20"/>
              </w:rPr>
              <w:t>PD</w:t>
            </w:r>
            <w:r>
              <w:rPr>
                <w:bCs/>
                <w:snapToGrid/>
                <w:color w:val="auto"/>
                <w:sz w:val="20"/>
                <w:vertAlign w:val="superscript"/>
              </w:rPr>
              <w:t>g</w:t>
            </w:r>
            <w:proofErr w:type="spellEnd"/>
          </w:p>
        </w:tc>
        <w:tc>
          <w:tcPr>
            <w:tcW w:w="1662" w:type="dxa"/>
          </w:tcPr>
          <w:p w14:paraId="4E41AE33" w14:textId="7E3750FA" w:rsidR="006D7EF2" w:rsidRDefault="006D7EF2" w:rsidP="006D7EF2">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No</w:t>
            </w:r>
          </w:p>
        </w:tc>
        <w:tc>
          <w:tcPr>
            <w:tcW w:w="1675" w:type="dxa"/>
          </w:tcPr>
          <w:p w14:paraId="48C4B57D" w14:textId="5C04B202" w:rsidR="006D7EF2" w:rsidRDefault="006D7EF2" w:rsidP="006D7EF2">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None/stable</w:t>
            </w:r>
          </w:p>
        </w:tc>
        <w:tc>
          <w:tcPr>
            <w:tcW w:w="1649" w:type="dxa"/>
          </w:tcPr>
          <w:p w14:paraId="3D7369E2" w14:textId="46D88008" w:rsidR="006D7EF2" w:rsidRDefault="006D7EF2" w:rsidP="006D7EF2">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Stable/Improved</w:t>
            </w:r>
          </w:p>
        </w:tc>
        <w:tc>
          <w:tcPr>
            <w:tcW w:w="1655" w:type="dxa"/>
          </w:tcPr>
          <w:p w14:paraId="0FB1C50B" w14:textId="5E697D54" w:rsidR="006D7EF2" w:rsidRDefault="006D7EF2" w:rsidP="006D7EF2">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No</w:t>
            </w:r>
          </w:p>
        </w:tc>
        <w:tc>
          <w:tcPr>
            <w:tcW w:w="1647" w:type="dxa"/>
          </w:tcPr>
          <w:p w14:paraId="31E0E47B" w14:textId="77477143" w:rsidR="006D7EF2" w:rsidRDefault="006D7EF2" w:rsidP="006D7EF2">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None</w:t>
            </w:r>
          </w:p>
        </w:tc>
        <w:tc>
          <w:tcPr>
            <w:tcW w:w="1654" w:type="dxa"/>
          </w:tcPr>
          <w:p w14:paraId="1BA9FFFA" w14:textId="11F37447" w:rsidR="006D7EF2" w:rsidRDefault="006D7EF2" w:rsidP="006D7EF2">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Confirmed PD</w:t>
            </w:r>
          </w:p>
        </w:tc>
      </w:tr>
      <w:tr w:rsidR="006D7EF2" w14:paraId="007A823E" w14:textId="77777777" w:rsidTr="00822457">
        <w:tc>
          <w:tcPr>
            <w:cnfStyle w:val="001000000000" w:firstRow="0" w:lastRow="0" w:firstColumn="1" w:lastColumn="0" w:oddVBand="0" w:evenVBand="0" w:oddHBand="0" w:evenHBand="0" w:firstRowFirstColumn="0" w:firstRowLastColumn="0" w:lastRowFirstColumn="0" w:lastRowLastColumn="0"/>
            <w:tcW w:w="1649" w:type="dxa"/>
          </w:tcPr>
          <w:p w14:paraId="0BB5789E" w14:textId="03FF09EB" w:rsidR="006D7EF2" w:rsidRPr="00822457" w:rsidRDefault="006D7EF2" w:rsidP="006D7EF2">
            <w:pPr>
              <w:widowControl/>
              <w:rPr>
                <w:b w:val="0"/>
                <w:snapToGrid/>
                <w:color w:val="auto"/>
                <w:sz w:val="20"/>
              </w:rPr>
            </w:pPr>
            <w:r w:rsidRPr="00822457">
              <w:rPr>
                <w:b w:val="0"/>
                <w:snapToGrid/>
                <w:color w:val="auto"/>
                <w:sz w:val="20"/>
              </w:rPr>
              <w:t>PD</w:t>
            </w:r>
          </w:p>
        </w:tc>
        <w:tc>
          <w:tcPr>
            <w:tcW w:w="1839" w:type="dxa"/>
          </w:tcPr>
          <w:p w14:paraId="4BE0EBC3" w14:textId="39B79D3F" w:rsidR="006D7EF2" w:rsidRDefault="006D7EF2" w:rsidP="006D7EF2">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Baseline/SD/PR/CR</w:t>
            </w:r>
          </w:p>
        </w:tc>
        <w:tc>
          <w:tcPr>
            <w:tcW w:w="1662" w:type="dxa"/>
          </w:tcPr>
          <w:p w14:paraId="0EC171AF" w14:textId="0344655A" w:rsidR="006D7EF2" w:rsidRDefault="006D7EF2" w:rsidP="006D7EF2">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Yes</w:t>
            </w:r>
          </w:p>
        </w:tc>
        <w:tc>
          <w:tcPr>
            <w:tcW w:w="1675" w:type="dxa"/>
          </w:tcPr>
          <w:p w14:paraId="2E32F1E2" w14:textId="655C3A18" w:rsidR="006D7EF2" w:rsidRDefault="006D7EF2" w:rsidP="006D7EF2">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None/stable</w:t>
            </w:r>
          </w:p>
        </w:tc>
        <w:tc>
          <w:tcPr>
            <w:tcW w:w="1649" w:type="dxa"/>
          </w:tcPr>
          <w:p w14:paraId="7376447D" w14:textId="2BF9639F" w:rsidR="006D7EF2" w:rsidRDefault="006D7EF2" w:rsidP="006D7EF2">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Stable/Improved</w:t>
            </w:r>
          </w:p>
        </w:tc>
        <w:tc>
          <w:tcPr>
            <w:tcW w:w="1655" w:type="dxa"/>
          </w:tcPr>
          <w:p w14:paraId="1B2E6400" w14:textId="572C8F4D" w:rsidR="006D7EF2" w:rsidRDefault="006D7EF2" w:rsidP="006D7EF2">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No</w:t>
            </w:r>
          </w:p>
        </w:tc>
        <w:tc>
          <w:tcPr>
            <w:tcW w:w="1647" w:type="dxa"/>
          </w:tcPr>
          <w:p w14:paraId="5DBF1FC0" w14:textId="4A28B118" w:rsidR="006D7EF2" w:rsidRDefault="006D7EF2" w:rsidP="006D7EF2">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None</w:t>
            </w:r>
          </w:p>
        </w:tc>
        <w:tc>
          <w:tcPr>
            <w:tcW w:w="1654" w:type="dxa"/>
          </w:tcPr>
          <w:p w14:paraId="0831FB18" w14:textId="240C0273" w:rsidR="006D7EF2" w:rsidRPr="006D7EF2" w:rsidRDefault="006D7EF2" w:rsidP="006D7EF2">
            <w:pPr>
              <w:widowControl/>
              <w:cnfStyle w:val="000000000000" w:firstRow="0" w:lastRow="0" w:firstColumn="0" w:lastColumn="0" w:oddVBand="0" w:evenVBand="0" w:oddHBand="0" w:evenHBand="0" w:firstRowFirstColumn="0" w:firstRowLastColumn="0" w:lastRowFirstColumn="0" w:lastRowLastColumn="0"/>
              <w:rPr>
                <w:bCs/>
                <w:snapToGrid/>
                <w:color w:val="auto"/>
                <w:sz w:val="20"/>
                <w:vertAlign w:val="superscript"/>
              </w:rPr>
            </w:pPr>
            <w:proofErr w:type="spellStart"/>
            <w:r>
              <w:rPr>
                <w:bCs/>
                <w:snapToGrid/>
                <w:color w:val="auto"/>
                <w:sz w:val="20"/>
              </w:rPr>
              <w:t>PD</w:t>
            </w:r>
            <w:r>
              <w:rPr>
                <w:bCs/>
                <w:snapToGrid/>
                <w:color w:val="auto"/>
                <w:sz w:val="20"/>
                <w:vertAlign w:val="superscript"/>
              </w:rPr>
              <w:t>d</w:t>
            </w:r>
            <w:proofErr w:type="spellEnd"/>
          </w:p>
        </w:tc>
      </w:tr>
      <w:tr w:rsidR="006D7EF2" w14:paraId="3D84A1A9" w14:textId="77777777" w:rsidTr="00822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dxa"/>
          </w:tcPr>
          <w:p w14:paraId="2949E8EC" w14:textId="1926D33C" w:rsidR="006D7EF2" w:rsidRPr="00822457" w:rsidRDefault="006D7EF2" w:rsidP="006D7EF2">
            <w:pPr>
              <w:widowControl/>
              <w:rPr>
                <w:b w:val="0"/>
                <w:snapToGrid/>
                <w:color w:val="auto"/>
                <w:sz w:val="20"/>
              </w:rPr>
            </w:pPr>
            <w:r w:rsidRPr="00822457">
              <w:rPr>
                <w:b w:val="0"/>
                <w:snapToGrid/>
                <w:color w:val="auto"/>
                <w:sz w:val="20"/>
              </w:rPr>
              <w:t>PD</w:t>
            </w:r>
          </w:p>
        </w:tc>
        <w:tc>
          <w:tcPr>
            <w:tcW w:w="1839" w:type="dxa"/>
          </w:tcPr>
          <w:p w14:paraId="13798160" w14:textId="30F94625" w:rsidR="006D7EF2" w:rsidRDefault="006D7EF2" w:rsidP="006D7EF2">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Baseline/SD/PR/CR</w:t>
            </w:r>
          </w:p>
        </w:tc>
        <w:tc>
          <w:tcPr>
            <w:tcW w:w="1662" w:type="dxa"/>
          </w:tcPr>
          <w:p w14:paraId="3764F8F9" w14:textId="3F689BA1" w:rsidR="006D7EF2" w:rsidRDefault="006D7EF2" w:rsidP="006D7EF2">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No</w:t>
            </w:r>
          </w:p>
        </w:tc>
        <w:tc>
          <w:tcPr>
            <w:tcW w:w="1675" w:type="dxa"/>
          </w:tcPr>
          <w:p w14:paraId="37B02BAB" w14:textId="3CD8F29B" w:rsidR="006D7EF2" w:rsidRDefault="006D7EF2" w:rsidP="006D7EF2">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None/stable</w:t>
            </w:r>
          </w:p>
        </w:tc>
        <w:tc>
          <w:tcPr>
            <w:tcW w:w="1649" w:type="dxa"/>
          </w:tcPr>
          <w:p w14:paraId="7C881656" w14:textId="2DE15F19" w:rsidR="006D7EF2" w:rsidRDefault="006D7EF2" w:rsidP="006D7EF2">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Worse</w:t>
            </w:r>
          </w:p>
        </w:tc>
        <w:tc>
          <w:tcPr>
            <w:tcW w:w="1655" w:type="dxa"/>
          </w:tcPr>
          <w:p w14:paraId="0BCDCB92" w14:textId="655FD6E4" w:rsidR="006D7EF2" w:rsidRDefault="006D7EF2" w:rsidP="006D7EF2">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No</w:t>
            </w:r>
          </w:p>
        </w:tc>
        <w:tc>
          <w:tcPr>
            <w:tcW w:w="1647" w:type="dxa"/>
          </w:tcPr>
          <w:p w14:paraId="710749EC" w14:textId="03098B11" w:rsidR="006D7EF2" w:rsidRDefault="006D7EF2" w:rsidP="006D7EF2">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None</w:t>
            </w:r>
          </w:p>
        </w:tc>
        <w:tc>
          <w:tcPr>
            <w:tcW w:w="1654" w:type="dxa"/>
          </w:tcPr>
          <w:p w14:paraId="3FABD12E" w14:textId="474C0DEE" w:rsidR="006D7EF2" w:rsidRDefault="006D7EF2" w:rsidP="006D7EF2">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PD</w:t>
            </w:r>
          </w:p>
        </w:tc>
      </w:tr>
      <w:tr w:rsidR="006D7EF2" w14:paraId="780D3062" w14:textId="77777777" w:rsidTr="00822457">
        <w:tc>
          <w:tcPr>
            <w:cnfStyle w:val="001000000000" w:firstRow="0" w:lastRow="0" w:firstColumn="1" w:lastColumn="0" w:oddVBand="0" w:evenVBand="0" w:oddHBand="0" w:evenHBand="0" w:firstRowFirstColumn="0" w:firstRowLastColumn="0" w:lastRowFirstColumn="0" w:lastRowLastColumn="0"/>
            <w:tcW w:w="1649" w:type="dxa"/>
          </w:tcPr>
          <w:p w14:paraId="74DF1915" w14:textId="036D361D" w:rsidR="006D7EF2" w:rsidRPr="00822457" w:rsidRDefault="006D7EF2" w:rsidP="006D7EF2">
            <w:pPr>
              <w:widowControl/>
              <w:rPr>
                <w:b w:val="0"/>
                <w:snapToGrid/>
                <w:color w:val="auto"/>
                <w:sz w:val="20"/>
              </w:rPr>
            </w:pPr>
            <w:r w:rsidRPr="00822457">
              <w:rPr>
                <w:b w:val="0"/>
                <w:snapToGrid/>
                <w:color w:val="auto"/>
                <w:sz w:val="20"/>
              </w:rPr>
              <w:t>PD</w:t>
            </w:r>
          </w:p>
        </w:tc>
        <w:tc>
          <w:tcPr>
            <w:tcW w:w="1839" w:type="dxa"/>
          </w:tcPr>
          <w:p w14:paraId="2DD22687" w14:textId="7F36B08F" w:rsidR="006D7EF2" w:rsidRDefault="006D7EF2" w:rsidP="006D7EF2">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Baseline/SD/PR/CR</w:t>
            </w:r>
          </w:p>
        </w:tc>
        <w:tc>
          <w:tcPr>
            <w:tcW w:w="1662" w:type="dxa"/>
          </w:tcPr>
          <w:p w14:paraId="721CD218" w14:textId="14CFE792" w:rsidR="006D7EF2" w:rsidRDefault="006D7EF2" w:rsidP="006D7EF2">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No</w:t>
            </w:r>
          </w:p>
        </w:tc>
        <w:tc>
          <w:tcPr>
            <w:tcW w:w="1675" w:type="dxa"/>
          </w:tcPr>
          <w:p w14:paraId="56B4E6BE" w14:textId="2194BBEE" w:rsidR="006D7EF2" w:rsidRDefault="006D7EF2" w:rsidP="006D7EF2">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proofErr w:type="spellStart"/>
            <w:r>
              <w:rPr>
                <w:bCs/>
                <w:snapToGrid/>
                <w:color w:val="auto"/>
                <w:sz w:val="20"/>
              </w:rPr>
              <w:t>Worse</w:t>
            </w:r>
            <w:r>
              <w:rPr>
                <w:bCs/>
                <w:snapToGrid/>
                <w:color w:val="auto"/>
                <w:sz w:val="20"/>
                <w:vertAlign w:val="superscript"/>
              </w:rPr>
              <w:t>e</w:t>
            </w:r>
            <w:proofErr w:type="spellEnd"/>
          </w:p>
        </w:tc>
        <w:tc>
          <w:tcPr>
            <w:tcW w:w="1649" w:type="dxa"/>
          </w:tcPr>
          <w:p w14:paraId="7504E2F5" w14:textId="510D5F9A" w:rsidR="006D7EF2" w:rsidRDefault="006D7EF2" w:rsidP="006D7EF2">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Stable/Improved</w:t>
            </w:r>
          </w:p>
        </w:tc>
        <w:tc>
          <w:tcPr>
            <w:tcW w:w="1655" w:type="dxa"/>
          </w:tcPr>
          <w:p w14:paraId="5783CC56" w14:textId="42278FA3" w:rsidR="006D7EF2" w:rsidRDefault="006D7EF2" w:rsidP="006D7EF2">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No</w:t>
            </w:r>
          </w:p>
        </w:tc>
        <w:tc>
          <w:tcPr>
            <w:tcW w:w="1647" w:type="dxa"/>
          </w:tcPr>
          <w:p w14:paraId="7642D87B" w14:textId="3CA7CE18" w:rsidR="006D7EF2" w:rsidRDefault="006D7EF2" w:rsidP="006D7EF2">
            <w:pPr>
              <w:widowControl/>
              <w:cnfStyle w:val="000000000000" w:firstRow="0" w:lastRow="0" w:firstColumn="0" w:lastColumn="0" w:oddVBand="0" w:evenVBand="0" w:oddHBand="0" w:evenHBand="0" w:firstRowFirstColumn="0" w:firstRowLastColumn="0" w:lastRowFirstColumn="0" w:lastRowLastColumn="0"/>
              <w:rPr>
                <w:bCs/>
                <w:snapToGrid/>
                <w:color w:val="auto"/>
                <w:sz w:val="20"/>
              </w:rPr>
            </w:pPr>
            <w:r>
              <w:rPr>
                <w:bCs/>
                <w:snapToGrid/>
                <w:color w:val="auto"/>
                <w:sz w:val="20"/>
              </w:rPr>
              <w:t>None</w:t>
            </w:r>
          </w:p>
        </w:tc>
        <w:tc>
          <w:tcPr>
            <w:tcW w:w="1654" w:type="dxa"/>
          </w:tcPr>
          <w:p w14:paraId="7D77CD55" w14:textId="3C2E1664" w:rsidR="006D7EF2" w:rsidRPr="006D7EF2" w:rsidRDefault="006D7EF2" w:rsidP="006D7EF2">
            <w:pPr>
              <w:widowControl/>
              <w:cnfStyle w:val="000000000000" w:firstRow="0" w:lastRow="0" w:firstColumn="0" w:lastColumn="0" w:oddVBand="0" w:evenVBand="0" w:oddHBand="0" w:evenHBand="0" w:firstRowFirstColumn="0" w:firstRowLastColumn="0" w:lastRowFirstColumn="0" w:lastRowLastColumn="0"/>
              <w:rPr>
                <w:bCs/>
                <w:snapToGrid/>
                <w:color w:val="auto"/>
                <w:sz w:val="20"/>
                <w:vertAlign w:val="superscript"/>
              </w:rPr>
            </w:pPr>
            <w:proofErr w:type="spellStart"/>
            <w:r>
              <w:rPr>
                <w:bCs/>
                <w:snapToGrid/>
                <w:color w:val="auto"/>
                <w:sz w:val="20"/>
              </w:rPr>
              <w:t>PD</w:t>
            </w:r>
            <w:r>
              <w:rPr>
                <w:bCs/>
                <w:snapToGrid/>
                <w:color w:val="auto"/>
                <w:sz w:val="20"/>
                <w:vertAlign w:val="superscript"/>
              </w:rPr>
              <w:t>e</w:t>
            </w:r>
            <w:proofErr w:type="spellEnd"/>
          </w:p>
        </w:tc>
      </w:tr>
      <w:tr w:rsidR="006D7EF2" w14:paraId="29F288C4" w14:textId="77777777" w:rsidTr="00822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dxa"/>
          </w:tcPr>
          <w:p w14:paraId="72811384" w14:textId="580BD084" w:rsidR="006D7EF2" w:rsidRPr="00822457" w:rsidRDefault="006D7EF2" w:rsidP="006D7EF2">
            <w:pPr>
              <w:widowControl/>
              <w:rPr>
                <w:b w:val="0"/>
                <w:snapToGrid/>
                <w:color w:val="auto"/>
                <w:sz w:val="20"/>
              </w:rPr>
            </w:pPr>
            <w:r w:rsidRPr="00822457">
              <w:rPr>
                <w:b w:val="0"/>
                <w:snapToGrid/>
                <w:color w:val="auto"/>
                <w:sz w:val="20"/>
              </w:rPr>
              <w:t>PD</w:t>
            </w:r>
          </w:p>
        </w:tc>
        <w:tc>
          <w:tcPr>
            <w:tcW w:w="1839" w:type="dxa"/>
          </w:tcPr>
          <w:p w14:paraId="5CD6AE41" w14:textId="6237F37D" w:rsidR="006D7EF2" w:rsidRDefault="006D7EF2" w:rsidP="006D7EF2">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Baseline/SD/PR/CR</w:t>
            </w:r>
          </w:p>
        </w:tc>
        <w:tc>
          <w:tcPr>
            <w:tcW w:w="1662" w:type="dxa"/>
          </w:tcPr>
          <w:p w14:paraId="32E7E4D5" w14:textId="393D65BA" w:rsidR="006D7EF2" w:rsidRDefault="006D7EF2" w:rsidP="006D7EF2">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No</w:t>
            </w:r>
          </w:p>
        </w:tc>
        <w:tc>
          <w:tcPr>
            <w:tcW w:w="1675" w:type="dxa"/>
          </w:tcPr>
          <w:p w14:paraId="05428477" w14:textId="5F8CE47A" w:rsidR="006D7EF2" w:rsidRDefault="006D7EF2" w:rsidP="006D7EF2">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None/stable</w:t>
            </w:r>
          </w:p>
        </w:tc>
        <w:tc>
          <w:tcPr>
            <w:tcW w:w="1649" w:type="dxa"/>
          </w:tcPr>
          <w:p w14:paraId="63E08ED6" w14:textId="4CF3B849" w:rsidR="006D7EF2" w:rsidRDefault="006D7EF2" w:rsidP="006D7EF2">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Stable/Improved</w:t>
            </w:r>
          </w:p>
        </w:tc>
        <w:tc>
          <w:tcPr>
            <w:tcW w:w="1655" w:type="dxa"/>
          </w:tcPr>
          <w:p w14:paraId="38D49E21" w14:textId="28368B18" w:rsidR="006D7EF2" w:rsidRDefault="006D7EF2" w:rsidP="006D7EF2">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Yes</w:t>
            </w:r>
          </w:p>
        </w:tc>
        <w:tc>
          <w:tcPr>
            <w:tcW w:w="1647" w:type="dxa"/>
          </w:tcPr>
          <w:p w14:paraId="4FC33187" w14:textId="3497FD29" w:rsidR="006D7EF2" w:rsidRDefault="006D7EF2" w:rsidP="006D7EF2">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Yes</w:t>
            </w:r>
          </w:p>
        </w:tc>
        <w:tc>
          <w:tcPr>
            <w:tcW w:w="1654" w:type="dxa"/>
          </w:tcPr>
          <w:p w14:paraId="0E4FE435" w14:textId="00C42F56" w:rsidR="006D7EF2" w:rsidRDefault="006D7EF2" w:rsidP="006D7EF2">
            <w:pPr>
              <w:widowControl/>
              <w:cnfStyle w:val="000000100000" w:firstRow="0" w:lastRow="0" w:firstColumn="0" w:lastColumn="0" w:oddVBand="0" w:evenVBand="0" w:oddHBand="1" w:evenHBand="0" w:firstRowFirstColumn="0" w:firstRowLastColumn="0" w:lastRowFirstColumn="0" w:lastRowLastColumn="0"/>
              <w:rPr>
                <w:bCs/>
                <w:snapToGrid/>
                <w:color w:val="auto"/>
                <w:sz w:val="20"/>
              </w:rPr>
            </w:pPr>
            <w:r>
              <w:rPr>
                <w:bCs/>
                <w:snapToGrid/>
                <w:color w:val="auto"/>
                <w:sz w:val="20"/>
              </w:rPr>
              <w:t>PD</w:t>
            </w:r>
          </w:p>
        </w:tc>
      </w:tr>
    </w:tbl>
    <w:p w14:paraId="25ECF774" w14:textId="12C8C047" w:rsidR="008E0A21" w:rsidRDefault="00E867A4">
      <w:pPr>
        <w:widowControl/>
        <w:rPr>
          <w:bCs/>
          <w:snapToGrid/>
          <w:color w:val="auto"/>
          <w:sz w:val="20"/>
        </w:rPr>
      </w:pPr>
      <w:r>
        <w:rPr>
          <w:bCs/>
          <w:snapToGrid/>
          <w:color w:val="auto"/>
          <w:sz w:val="20"/>
        </w:rPr>
        <w:t xml:space="preserve">NOTE. For patients who have both enhancing and </w:t>
      </w:r>
      <w:proofErr w:type="spellStart"/>
      <w:r>
        <w:rPr>
          <w:bCs/>
          <w:snapToGrid/>
          <w:color w:val="auto"/>
          <w:sz w:val="20"/>
        </w:rPr>
        <w:t>nonenhancing</w:t>
      </w:r>
      <w:proofErr w:type="spellEnd"/>
      <w:r>
        <w:rPr>
          <w:bCs/>
          <w:snapToGrid/>
          <w:color w:val="auto"/>
          <w:sz w:val="20"/>
        </w:rPr>
        <w:t xml:space="preserve"> lesions evaluated, CR and PR for either contrast-enhancing or T2/FLAIR lesions must be accompanied by at least SD in the other lesions.  PD in either contrast-enhancing or T2/FLAIR lesions will qualify as progression, regardless of the response in other lesions.</w:t>
      </w:r>
    </w:p>
    <w:p w14:paraId="1D39B67E" w14:textId="438CFC86" w:rsidR="000D5F69" w:rsidRDefault="000D5F69">
      <w:pPr>
        <w:widowControl/>
        <w:rPr>
          <w:bCs/>
          <w:snapToGrid/>
          <w:color w:val="auto"/>
          <w:sz w:val="20"/>
        </w:rPr>
      </w:pPr>
      <w:r>
        <w:rPr>
          <w:bCs/>
          <w:snapToGrid/>
          <w:color w:val="auto"/>
          <w:sz w:val="20"/>
        </w:rPr>
        <w:t>Abbreviations:  CR, complete response; FLAIR, fluid-attenuated inversion recovery; MR, minor response; MRI, magnetic resonance imaging; PD, progressive disease; PR, partial response; SD, stable disease.</w:t>
      </w:r>
    </w:p>
    <w:p w14:paraId="6D3E8F82" w14:textId="04702E5B" w:rsidR="000D5F69" w:rsidRDefault="00CD112A">
      <w:pPr>
        <w:widowControl/>
        <w:rPr>
          <w:bCs/>
          <w:snapToGrid/>
          <w:color w:val="auto"/>
          <w:sz w:val="20"/>
        </w:rPr>
      </w:pPr>
      <w:proofErr w:type="spellStart"/>
      <w:r>
        <w:rPr>
          <w:bCs/>
          <w:snapToGrid/>
          <w:color w:val="auto"/>
          <w:sz w:val="20"/>
          <w:vertAlign w:val="superscript"/>
        </w:rPr>
        <w:t>a</w:t>
      </w:r>
      <w:r w:rsidR="000D5F69">
        <w:rPr>
          <w:bCs/>
          <w:snapToGrid/>
          <w:color w:val="auto"/>
          <w:sz w:val="20"/>
        </w:rPr>
        <w:t>Contrast</w:t>
      </w:r>
      <w:proofErr w:type="spellEnd"/>
      <w:r w:rsidR="000D5F69">
        <w:rPr>
          <w:bCs/>
          <w:snapToGrid/>
          <w:color w:val="auto"/>
          <w:sz w:val="20"/>
        </w:rPr>
        <w:t>-enhancing or non-contrast-enhancing lesion(s) or both depending on the criteria used.</w:t>
      </w:r>
    </w:p>
    <w:p w14:paraId="09E48687" w14:textId="67A021AA" w:rsidR="00CD112A" w:rsidRDefault="00CD112A" w:rsidP="00CD112A">
      <w:pPr>
        <w:widowControl/>
        <w:rPr>
          <w:bCs/>
          <w:snapToGrid/>
          <w:color w:val="auto"/>
          <w:sz w:val="20"/>
        </w:rPr>
      </w:pPr>
      <w:proofErr w:type="spellStart"/>
      <w:r>
        <w:rPr>
          <w:bCs/>
          <w:snapToGrid/>
          <w:color w:val="auto"/>
          <w:sz w:val="20"/>
          <w:vertAlign w:val="superscript"/>
        </w:rPr>
        <w:t>b</w:t>
      </w:r>
      <w:r>
        <w:rPr>
          <w:bCs/>
          <w:snapToGrid/>
          <w:color w:val="auto"/>
          <w:sz w:val="20"/>
        </w:rPr>
        <w:t>Contrast</w:t>
      </w:r>
      <w:proofErr w:type="spellEnd"/>
      <w:r>
        <w:rPr>
          <w:bCs/>
          <w:snapToGrid/>
          <w:color w:val="auto"/>
          <w:sz w:val="20"/>
        </w:rPr>
        <w:t>-enhancing or non-contrast-enhancing lesion(s) or both depending on the criteria used.</w:t>
      </w:r>
    </w:p>
    <w:p w14:paraId="55D06857" w14:textId="1D9FBF0B" w:rsidR="00CD112A" w:rsidRDefault="00BD2121">
      <w:pPr>
        <w:widowControl/>
        <w:rPr>
          <w:bCs/>
          <w:snapToGrid/>
          <w:color w:val="auto"/>
          <w:sz w:val="20"/>
        </w:rPr>
      </w:pPr>
      <w:proofErr w:type="spellStart"/>
      <w:r>
        <w:rPr>
          <w:bCs/>
          <w:snapToGrid/>
          <w:color w:val="auto"/>
          <w:sz w:val="20"/>
          <w:vertAlign w:val="superscript"/>
        </w:rPr>
        <w:t>c</w:t>
      </w:r>
      <w:r w:rsidR="00CD112A">
        <w:rPr>
          <w:bCs/>
          <w:snapToGrid/>
          <w:color w:val="auto"/>
          <w:sz w:val="20"/>
        </w:rPr>
        <w:t>None</w:t>
      </w:r>
      <w:proofErr w:type="spellEnd"/>
      <w:r w:rsidR="00CD112A">
        <w:rPr>
          <w:bCs/>
          <w:snapToGrid/>
          <w:color w:val="auto"/>
          <w:sz w:val="20"/>
        </w:rPr>
        <w:t xml:space="preserve"> or physiologic replacement doses.</w:t>
      </w:r>
    </w:p>
    <w:p w14:paraId="7D683EA3" w14:textId="4D0FA5D4" w:rsidR="00BD2121" w:rsidRPr="0029498E" w:rsidRDefault="00BD2121">
      <w:pPr>
        <w:widowControl/>
        <w:rPr>
          <w:bCs/>
          <w:snapToGrid/>
          <w:color w:val="auto"/>
          <w:sz w:val="20"/>
        </w:rPr>
      </w:pPr>
      <w:proofErr w:type="spellStart"/>
      <w:r>
        <w:rPr>
          <w:bCs/>
          <w:snapToGrid/>
          <w:color w:val="auto"/>
          <w:sz w:val="20"/>
          <w:vertAlign w:val="superscript"/>
        </w:rPr>
        <w:t>d</w:t>
      </w:r>
      <w:r w:rsidR="0029498E">
        <w:rPr>
          <w:bCs/>
          <w:snapToGrid/>
          <w:color w:val="auto"/>
          <w:sz w:val="20"/>
        </w:rPr>
        <w:t>New</w:t>
      </w:r>
      <w:proofErr w:type="spellEnd"/>
      <w:r w:rsidR="0029498E">
        <w:rPr>
          <w:bCs/>
          <w:snapToGrid/>
          <w:color w:val="auto"/>
          <w:sz w:val="20"/>
        </w:rPr>
        <w:t xml:space="preserve"> sites</w:t>
      </w:r>
      <w:r w:rsidR="00E14009">
        <w:rPr>
          <w:bCs/>
          <w:snapToGrid/>
          <w:color w:val="auto"/>
          <w:sz w:val="20"/>
        </w:rPr>
        <w:t xml:space="preserve"> of measurable disease constitute PD in the case of no measurable disease at baseline or best response.  If confirmation scans are </w:t>
      </w:r>
      <w:r w:rsidR="00474E01">
        <w:rPr>
          <w:bCs/>
          <w:snapToGrid/>
          <w:color w:val="auto"/>
          <w:sz w:val="20"/>
        </w:rPr>
        <w:t>required, new sites are added to the sum of bidimensional products or total lesion volume.  The new lesion will be considered PD if confirmed by a subsequent scan ≥</w:t>
      </w:r>
      <w:r w:rsidR="005F061A">
        <w:rPr>
          <w:bCs/>
          <w:snapToGrid/>
          <w:color w:val="auto"/>
          <w:sz w:val="20"/>
        </w:rPr>
        <w:t>4 weeks later exhibiting ≥25% increase in sum of perpendicular diameters or ≥40% increase in total volume of enhancing lesions relative to the scan first illustrating new measurable disease.</w:t>
      </w:r>
    </w:p>
    <w:p w14:paraId="08F40070" w14:textId="58B03346" w:rsidR="00BD2121" w:rsidRPr="0029498E" w:rsidRDefault="00BD2121">
      <w:pPr>
        <w:widowControl/>
        <w:rPr>
          <w:bCs/>
          <w:snapToGrid/>
          <w:color w:val="auto"/>
          <w:sz w:val="20"/>
        </w:rPr>
      </w:pPr>
      <w:proofErr w:type="spellStart"/>
      <w:r>
        <w:rPr>
          <w:bCs/>
          <w:snapToGrid/>
          <w:color w:val="auto"/>
          <w:sz w:val="20"/>
          <w:vertAlign w:val="superscript"/>
        </w:rPr>
        <w:t>e</w:t>
      </w:r>
      <w:r w:rsidR="0029498E">
        <w:rPr>
          <w:bCs/>
          <w:snapToGrid/>
          <w:color w:val="auto"/>
          <w:sz w:val="20"/>
        </w:rPr>
        <w:t>Progression</w:t>
      </w:r>
      <w:proofErr w:type="spellEnd"/>
      <w:r w:rsidR="0029498E">
        <w:rPr>
          <w:bCs/>
          <w:snapToGrid/>
          <w:color w:val="auto"/>
          <w:sz w:val="20"/>
        </w:rPr>
        <w:t xml:space="preserve"> of </w:t>
      </w:r>
      <w:proofErr w:type="spellStart"/>
      <w:r w:rsidR="0029498E">
        <w:rPr>
          <w:bCs/>
          <w:snapToGrid/>
          <w:color w:val="auto"/>
          <w:sz w:val="20"/>
        </w:rPr>
        <w:t>nonmeasurable</w:t>
      </w:r>
      <w:proofErr w:type="spellEnd"/>
      <w:r w:rsidR="0029498E">
        <w:rPr>
          <w:bCs/>
          <w:snapToGrid/>
          <w:color w:val="auto"/>
          <w:sz w:val="20"/>
        </w:rPr>
        <w:t xml:space="preserve"> lesions</w:t>
      </w:r>
      <w:r w:rsidR="00512386">
        <w:rPr>
          <w:bCs/>
          <w:snapToGrid/>
          <w:color w:val="auto"/>
          <w:sz w:val="20"/>
        </w:rPr>
        <w:t xml:space="preserve"> occurs when lesions that are not measurable become measurable (10 x 10 mm).  Nontarget lesions qualify for progression if there is ≥25%</w:t>
      </w:r>
      <w:r w:rsidR="002453C9">
        <w:rPr>
          <w:bCs/>
          <w:snapToGrid/>
          <w:color w:val="auto"/>
          <w:sz w:val="20"/>
        </w:rPr>
        <w:t xml:space="preserve"> increase in area or ≥40% increase in volume.  For both </w:t>
      </w:r>
      <w:proofErr w:type="spellStart"/>
      <w:r w:rsidR="002453C9">
        <w:rPr>
          <w:bCs/>
          <w:snapToGrid/>
          <w:color w:val="auto"/>
          <w:sz w:val="20"/>
        </w:rPr>
        <w:t>nonmeasurable</w:t>
      </w:r>
      <w:proofErr w:type="spellEnd"/>
      <w:r w:rsidR="002453C9">
        <w:rPr>
          <w:bCs/>
          <w:snapToGrid/>
          <w:color w:val="auto"/>
          <w:sz w:val="20"/>
        </w:rPr>
        <w:t xml:space="preserve"> and nontarget lesions, the increase should be added to the sum of the target lesions.  The designation of overall progression requires ≥25% increase in sum of products of perpendicular diameters or ≥40% increase in volume of the target lesions together with the </w:t>
      </w:r>
      <w:proofErr w:type="spellStart"/>
      <w:r w:rsidR="002453C9">
        <w:rPr>
          <w:bCs/>
          <w:snapToGrid/>
          <w:color w:val="auto"/>
          <w:sz w:val="20"/>
        </w:rPr>
        <w:t>nonmeasurable</w:t>
      </w:r>
      <w:proofErr w:type="spellEnd"/>
      <w:r w:rsidR="002453C9">
        <w:rPr>
          <w:bCs/>
          <w:snapToGrid/>
          <w:color w:val="auto"/>
          <w:sz w:val="20"/>
        </w:rPr>
        <w:t xml:space="preserve"> or nontarget lesion(s).</w:t>
      </w:r>
    </w:p>
    <w:p w14:paraId="7205902B" w14:textId="22A6147A" w:rsidR="00BD2121" w:rsidRPr="0029498E" w:rsidRDefault="00BD2121">
      <w:pPr>
        <w:widowControl/>
        <w:rPr>
          <w:bCs/>
          <w:snapToGrid/>
          <w:color w:val="auto"/>
          <w:sz w:val="20"/>
        </w:rPr>
      </w:pPr>
      <w:proofErr w:type="spellStart"/>
      <w:r>
        <w:rPr>
          <w:bCs/>
          <w:snapToGrid/>
          <w:color w:val="auto"/>
          <w:sz w:val="20"/>
          <w:vertAlign w:val="superscript"/>
        </w:rPr>
        <w:lastRenderedPageBreak/>
        <w:t>f</w:t>
      </w:r>
      <w:r w:rsidR="0029498E">
        <w:rPr>
          <w:bCs/>
          <w:snapToGrid/>
          <w:color w:val="auto"/>
          <w:sz w:val="20"/>
        </w:rPr>
        <w:t>Increase</w:t>
      </w:r>
      <w:proofErr w:type="spellEnd"/>
      <w:r w:rsidR="0029498E">
        <w:rPr>
          <w:bCs/>
          <w:snapToGrid/>
          <w:color w:val="auto"/>
          <w:sz w:val="20"/>
        </w:rPr>
        <w:t xml:space="preserve"> in corticosteroid dose alone,</w:t>
      </w:r>
      <w:r w:rsidR="00FE668C">
        <w:rPr>
          <w:bCs/>
          <w:snapToGrid/>
          <w:color w:val="auto"/>
          <w:sz w:val="20"/>
        </w:rPr>
        <w:t xml:space="preserve"> in the absence of clinical deterioration</w:t>
      </w:r>
      <w:r w:rsidR="003128AC">
        <w:rPr>
          <w:bCs/>
          <w:snapToGrid/>
          <w:color w:val="auto"/>
          <w:sz w:val="20"/>
        </w:rPr>
        <w:t xml:space="preserve"> related to tumor, will not be used as a determinant of progression.  Patients with stable imaging studies whose corticosteroid dose was increased for reasons other than clinical deterioration related to tumor do not qualify for SD or progression.  They should be observed closely. If their corticosteroid dose can be reduced back to baseline, they will be considered as having SD; if further clinical deterioration related to tumor becomes apparent, they will be considered to have progression.  The date of progression should be the first time point at which corticosteroid increase was necessary.</w:t>
      </w:r>
      <w:r w:rsidR="00FE668C">
        <w:rPr>
          <w:bCs/>
          <w:snapToGrid/>
          <w:color w:val="auto"/>
          <w:sz w:val="20"/>
        </w:rPr>
        <w:t xml:space="preserve"> </w:t>
      </w:r>
    </w:p>
    <w:p w14:paraId="661D0E47" w14:textId="05E9F466" w:rsidR="00BD2121" w:rsidRPr="00BD2121" w:rsidRDefault="00BD2121">
      <w:pPr>
        <w:widowControl/>
        <w:rPr>
          <w:bCs/>
          <w:snapToGrid/>
          <w:color w:val="auto"/>
          <w:sz w:val="20"/>
        </w:rPr>
      </w:pPr>
      <w:proofErr w:type="spellStart"/>
      <w:r>
        <w:rPr>
          <w:bCs/>
          <w:snapToGrid/>
          <w:color w:val="auto"/>
          <w:sz w:val="20"/>
          <w:vertAlign w:val="superscript"/>
        </w:rPr>
        <w:t>g</w:t>
      </w:r>
      <w:r>
        <w:rPr>
          <w:bCs/>
          <w:snapToGrid/>
          <w:color w:val="auto"/>
          <w:sz w:val="20"/>
        </w:rPr>
        <w:t>Only</w:t>
      </w:r>
      <w:proofErr w:type="spellEnd"/>
      <w:r>
        <w:rPr>
          <w:bCs/>
          <w:snapToGrid/>
          <w:color w:val="auto"/>
          <w:sz w:val="20"/>
        </w:rPr>
        <w:t xml:space="preserve"> relevant when confirmation of progression is required.</w:t>
      </w:r>
    </w:p>
    <w:p w14:paraId="11BB51BA" w14:textId="058771B5" w:rsidR="00BD2121" w:rsidRDefault="00BD2121">
      <w:pPr>
        <w:widowControl/>
        <w:rPr>
          <w:bCs/>
          <w:snapToGrid/>
          <w:color w:val="auto"/>
          <w:sz w:val="20"/>
        </w:rPr>
      </w:pPr>
      <w:proofErr w:type="spellStart"/>
      <w:r>
        <w:rPr>
          <w:bCs/>
          <w:snapToGrid/>
          <w:color w:val="auto"/>
          <w:sz w:val="20"/>
          <w:vertAlign w:val="superscript"/>
        </w:rPr>
        <w:t>h</w:t>
      </w:r>
      <w:r w:rsidR="0029498E">
        <w:rPr>
          <w:bCs/>
          <w:snapToGrid/>
          <w:color w:val="auto"/>
          <w:sz w:val="20"/>
        </w:rPr>
        <w:t>PD</w:t>
      </w:r>
      <w:proofErr w:type="spellEnd"/>
      <w:r w:rsidR="0029498E">
        <w:rPr>
          <w:bCs/>
          <w:snapToGrid/>
          <w:color w:val="auto"/>
          <w:sz w:val="20"/>
        </w:rPr>
        <w:t xml:space="preserve"> if no confirmation of progression required</w:t>
      </w:r>
      <w:r w:rsidR="00123A6F">
        <w:rPr>
          <w:bCs/>
          <w:snapToGrid/>
          <w:color w:val="auto"/>
          <w:sz w:val="20"/>
        </w:rPr>
        <w:t xml:space="preserve">; preliminary PD if confirmation of progression required.  If next scan shows </w:t>
      </w:r>
      <w:r w:rsidR="004D3B49" w:rsidRPr="00FD3427">
        <w:rPr>
          <w:bCs/>
          <w:snapToGrid/>
          <w:color w:val="auto"/>
          <w:sz w:val="20"/>
        </w:rPr>
        <w:t>S</w:t>
      </w:r>
      <w:r w:rsidR="00123A6F" w:rsidRPr="00FD3427">
        <w:rPr>
          <w:bCs/>
          <w:snapToGrid/>
          <w:color w:val="auto"/>
          <w:sz w:val="20"/>
        </w:rPr>
        <w:t>D/</w:t>
      </w:r>
      <w:r w:rsidR="008A6281" w:rsidRPr="00FD3427">
        <w:rPr>
          <w:bCs/>
          <w:snapToGrid/>
          <w:color w:val="auto"/>
          <w:sz w:val="20"/>
        </w:rPr>
        <w:t>PR/CR</w:t>
      </w:r>
      <w:r w:rsidR="008A6281">
        <w:rPr>
          <w:bCs/>
          <w:snapToGrid/>
          <w:color w:val="auto"/>
          <w:sz w:val="20"/>
        </w:rPr>
        <w:t xml:space="preserve">, then progression is not confirmed and the previous scan </w:t>
      </w:r>
      <w:r w:rsidR="00F7602A">
        <w:rPr>
          <w:bCs/>
          <w:snapToGrid/>
          <w:color w:val="auto"/>
          <w:sz w:val="20"/>
        </w:rPr>
        <w:t xml:space="preserve">showing </w:t>
      </w:r>
      <w:r w:rsidR="008A6281">
        <w:rPr>
          <w:bCs/>
          <w:snapToGrid/>
          <w:color w:val="auto"/>
          <w:sz w:val="20"/>
        </w:rPr>
        <w:t xml:space="preserve">preliminary PD is noted as pseudo-progression and the patient continued on therapy.  The original MRI showing preliminary PD or the second scan, depending on which scan has the smallest </w:t>
      </w:r>
      <w:r w:rsidR="00F7602A">
        <w:rPr>
          <w:bCs/>
          <w:snapToGrid/>
          <w:color w:val="auto"/>
          <w:sz w:val="20"/>
        </w:rPr>
        <w:t>sum of the products of the perpendicular diameters or volume, will serve as the baseline for future comparison.</w:t>
      </w:r>
    </w:p>
    <w:p w14:paraId="5FEB54EB" w14:textId="77777777" w:rsidR="00700060" w:rsidRDefault="00700060">
      <w:pPr>
        <w:widowControl/>
        <w:rPr>
          <w:bCs/>
          <w:snapToGrid/>
          <w:color w:val="auto"/>
          <w:sz w:val="20"/>
        </w:rPr>
      </w:pPr>
    </w:p>
    <w:p w14:paraId="5F5F1CA7" w14:textId="7111400D" w:rsidR="00700060" w:rsidRDefault="00846D25">
      <w:pPr>
        <w:widowControl/>
        <w:rPr>
          <w:bCs/>
          <w:snapToGrid/>
          <w:color w:val="auto"/>
          <w:sz w:val="20"/>
          <w:u w:val="single"/>
        </w:rPr>
      </w:pPr>
      <w:r>
        <w:rPr>
          <w:bCs/>
          <w:snapToGrid/>
          <w:color w:val="auto"/>
          <w:sz w:val="20"/>
          <w:u w:val="single"/>
        </w:rPr>
        <w:t>Reference</w:t>
      </w:r>
      <w:r w:rsidR="000B343F">
        <w:rPr>
          <w:bCs/>
          <w:snapToGrid/>
          <w:color w:val="auto"/>
          <w:sz w:val="20"/>
          <w:u w:val="single"/>
        </w:rPr>
        <w:t>s</w:t>
      </w:r>
    </w:p>
    <w:p w14:paraId="29AA0DFD" w14:textId="14F10C60" w:rsidR="00846D25" w:rsidRPr="000B343F" w:rsidRDefault="00846D25" w:rsidP="000B343F">
      <w:pPr>
        <w:pStyle w:val="ListParagraph"/>
        <w:widowControl/>
        <w:numPr>
          <w:ilvl w:val="0"/>
          <w:numId w:val="306"/>
        </w:numPr>
        <w:rPr>
          <w:bCs/>
          <w:snapToGrid/>
          <w:color w:val="auto"/>
          <w:sz w:val="20"/>
        </w:rPr>
      </w:pPr>
      <w:r w:rsidRPr="000B343F">
        <w:rPr>
          <w:bCs/>
          <w:snapToGrid/>
          <w:color w:val="auto"/>
          <w:sz w:val="20"/>
        </w:rPr>
        <w:t xml:space="preserve">Wen, P.Y., M. van den Bent, G. Youssef, </w:t>
      </w:r>
      <w:r w:rsidRPr="000B343F">
        <w:rPr>
          <w:bCs/>
          <w:i/>
          <w:iCs/>
          <w:snapToGrid/>
          <w:color w:val="auto"/>
          <w:sz w:val="20"/>
        </w:rPr>
        <w:t xml:space="preserve">et al.  </w:t>
      </w:r>
      <w:r w:rsidRPr="000B343F">
        <w:rPr>
          <w:bCs/>
          <w:snapToGrid/>
          <w:color w:val="auto"/>
          <w:sz w:val="20"/>
        </w:rPr>
        <w:t xml:space="preserve">(2023).  RANO 2.0: Update to the response assessment in neuro-oncology criteria for high- and low-grade gliomas in adults.  </w:t>
      </w:r>
      <w:r w:rsidRPr="000B343F">
        <w:rPr>
          <w:bCs/>
          <w:i/>
          <w:iCs/>
          <w:snapToGrid/>
          <w:color w:val="auto"/>
          <w:sz w:val="20"/>
        </w:rPr>
        <w:t xml:space="preserve">J Clin Oncol.  </w:t>
      </w:r>
      <w:r w:rsidR="000B343F" w:rsidRPr="000B343F">
        <w:rPr>
          <w:bCs/>
          <w:snapToGrid/>
          <w:color w:val="auto"/>
          <w:sz w:val="20"/>
        </w:rPr>
        <w:t>41(33):5187-5199.</w:t>
      </w:r>
    </w:p>
    <w:p w14:paraId="6D6D8C8E" w14:textId="77777777" w:rsidR="00BD2121" w:rsidRDefault="00BD2121">
      <w:pPr>
        <w:widowControl/>
        <w:rPr>
          <w:bCs/>
          <w:snapToGrid/>
          <w:color w:val="auto"/>
          <w:sz w:val="20"/>
        </w:rPr>
      </w:pPr>
    </w:p>
    <w:p w14:paraId="4B1BC444" w14:textId="5AE231AC" w:rsidR="005555FD" w:rsidRDefault="005555FD">
      <w:pPr>
        <w:widowControl/>
        <w:rPr>
          <w:bCs/>
          <w:snapToGrid/>
          <w:color w:val="auto"/>
          <w:sz w:val="20"/>
        </w:rPr>
      </w:pPr>
      <w:r>
        <w:rPr>
          <w:bCs/>
          <w:snapToGrid/>
          <w:color w:val="auto"/>
          <w:sz w:val="20"/>
        </w:rPr>
        <w:br w:type="page"/>
      </w:r>
    </w:p>
    <w:p w14:paraId="329882FB" w14:textId="77777777" w:rsidR="00DF3BFD" w:rsidRDefault="00DF3BFD">
      <w:pPr>
        <w:widowControl/>
        <w:rPr>
          <w:bCs/>
          <w:snapToGrid/>
          <w:color w:val="auto"/>
          <w:sz w:val="20"/>
        </w:rPr>
      </w:pPr>
    </w:p>
    <w:p w14:paraId="3D35E1BD" w14:textId="4D5491FE" w:rsidR="00DB131D" w:rsidRDefault="005555FD" w:rsidP="005555FD">
      <w:pPr>
        <w:pStyle w:val="Heading1"/>
        <w:numPr>
          <w:ilvl w:val="0"/>
          <w:numId w:val="0"/>
        </w:numPr>
        <w:ind w:left="180"/>
      </w:pPr>
      <w:bookmarkStart w:id="413" w:name="AppendixF"/>
      <w:bookmarkStart w:id="414" w:name="_APPENDIX_F_PK"/>
      <w:bookmarkEnd w:id="414"/>
      <w:r w:rsidRPr="0049660A">
        <w:t xml:space="preserve">APPENDIX </w:t>
      </w:r>
      <w:r>
        <w:t>F</w:t>
      </w:r>
      <w:r>
        <w:tab/>
        <w:t>PK Sample Collection Flowsheet (All patients)</w:t>
      </w:r>
    </w:p>
    <w:bookmarkEnd w:id="413"/>
    <w:p w14:paraId="60151231" w14:textId="77777777" w:rsidR="001A23B5" w:rsidRPr="001A23B5" w:rsidRDefault="001A23B5" w:rsidP="00CE1D05"/>
    <w:p w14:paraId="1C641352" w14:textId="6CE51DB8" w:rsidR="005555FD" w:rsidRDefault="001A23B5" w:rsidP="00CE1D05">
      <w:pPr>
        <w:widowControl/>
        <w:jc w:val="both"/>
      </w:pPr>
      <w:r w:rsidRPr="001A23B5">
        <w:rPr>
          <w:noProof/>
        </w:rPr>
        <w:drawing>
          <wp:inline distT="0" distB="0" distL="0" distR="0" wp14:anchorId="26464D82" wp14:editId="5338A6B6">
            <wp:extent cx="6769100" cy="5684520"/>
            <wp:effectExtent l="0" t="0" r="0" b="0"/>
            <wp:docPr id="209789184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6769100" cy="5684520"/>
                    </a:xfrm>
                    <a:prstGeom prst="rect">
                      <a:avLst/>
                    </a:prstGeom>
                    <a:noFill/>
                    <a:ln>
                      <a:noFill/>
                    </a:ln>
                  </pic:spPr>
                </pic:pic>
              </a:graphicData>
            </a:graphic>
          </wp:inline>
        </w:drawing>
      </w:r>
    </w:p>
    <w:p w14:paraId="1795CE9F" w14:textId="77777777" w:rsidR="001A23B5" w:rsidRDefault="001A23B5">
      <w:pPr>
        <w:widowControl/>
        <w:rPr>
          <w:b/>
          <w:caps/>
          <w:color w:val="000000" w:themeColor="text1"/>
        </w:rPr>
      </w:pPr>
      <w:r>
        <w:br w:type="page"/>
      </w:r>
    </w:p>
    <w:p w14:paraId="53255D47" w14:textId="1FBBD54B" w:rsidR="005555FD" w:rsidRDefault="005555FD" w:rsidP="005555FD">
      <w:pPr>
        <w:pStyle w:val="Heading1"/>
        <w:numPr>
          <w:ilvl w:val="0"/>
          <w:numId w:val="0"/>
        </w:numPr>
        <w:ind w:left="180"/>
      </w:pPr>
      <w:bookmarkStart w:id="415" w:name="AppendixG"/>
      <w:bookmarkStart w:id="416" w:name="_APPENDIX_G_PK"/>
      <w:bookmarkEnd w:id="416"/>
      <w:r w:rsidRPr="0049660A">
        <w:lastRenderedPageBreak/>
        <w:t xml:space="preserve">APPENDIX </w:t>
      </w:r>
      <w:r>
        <w:t>G</w:t>
      </w:r>
      <w:r>
        <w:tab/>
        <w:t>PK Sample Collection Flowsheet (Microdialysis substudy patients</w:t>
      </w:r>
      <w:r w:rsidR="0008398C">
        <w:t xml:space="preserve"> ONLY</w:t>
      </w:r>
      <w:r>
        <w:t>)</w:t>
      </w:r>
    </w:p>
    <w:bookmarkEnd w:id="415"/>
    <w:p w14:paraId="2EECD827" w14:textId="77777777" w:rsidR="005555FD" w:rsidRDefault="005555FD" w:rsidP="005555FD"/>
    <w:p w14:paraId="44E71CCC" w14:textId="3D9A9697" w:rsidR="005555FD" w:rsidRDefault="001A23B5">
      <w:r w:rsidRPr="001A23B5">
        <w:rPr>
          <w:noProof/>
        </w:rPr>
        <w:drawing>
          <wp:inline distT="0" distB="0" distL="0" distR="0" wp14:anchorId="6945274F" wp14:editId="6E1118EA">
            <wp:extent cx="6769100" cy="4928870"/>
            <wp:effectExtent l="0" t="0" r="0" b="5080"/>
            <wp:docPr id="75085605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6769100" cy="4928870"/>
                    </a:xfrm>
                    <a:prstGeom prst="rect">
                      <a:avLst/>
                    </a:prstGeom>
                    <a:noFill/>
                    <a:ln>
                      <a:noFill/>
                    </a:ln>
                  </pic:spPr>
                </pic:pic>
              </a:graphicData>
            </a:graphic>
          </wp:inline>
        </w:drawing>
      </w:r>
    </w:p>
    <w:p w14:paraId="590F57D6" w14:textId="26447968" w:rsidR="005F49A2" w:rsidRDefault="005F49A2">
      <w:pPr>
        <w:widowControl/>
      </w:pPr>
      <w:r>
        <w:br w:type="page"/>
      </w:r>
    </w:p>
    <w:p w14:paraId="525A302C" w14:textId="474BBD63" w:rsidR="005F49A2" w:rsidRDefault="005F49A2" w:rsidP="005F49A2">
      <w:pPr>
        <w:pStyle w:val="Heading1"/>
        <w:numPr>
          <w:ilvl w:val="0"/>
          <w:numId w:val="0"/>
        </w:numPr>
        <w:ind w:left="180"/>
      </w:pPr>
      <w:bookmarkStart w:id="417" w:name="_APPENDIX_H_Microdialysis"/>
      <w:bookmarkEnd w:id="417"/>
      <w:r w:rsidRPr="0049660A">
        <w:lastRenderedPageBreak/>
        <w:t xml:space="preserve">APPENDIX </w:t>
      </w:r>
      <w:r>
        <w:t>H</w:t>
      </w:r>
      <w:r>
        <w:tab/>
        <w:t>Microdialysis Sample Collection Flowsheet (Microdialysis substudy patients ONLY)</w:t>
      </w:r>
    </w:p>
    <w:p w14:paraId="7ED321F2" w14:textId="77777777" w:rsidR="005F49A2" w:rsidRPr="005F49A2" w:rsidRDefault="005F49A2" w:rsidP="00CE1D05"/>
    <w:p w14:paraId="21865188" w14:textId="77777777" w:rsidR="005F49A2" w:rsidRPr="00A65D3C" w:rsidRDefault="005F49A2" w:rsidP="005F49A2">
      <w:pPr>
        <w:pStyle w:val="Header"/>
        <w:jc w:val="center"/>
        <w:rPr>
          <w:b/>
          <w:u w:val="single"/>
        </w:rPr>
      </w:pPr>
      <w:r w:rsidRPr="00A65D3C">
        <w:rPr>
          <w:b/>
        </w:rPr>
        <w:t xml:space="preserve">PI:  Dr. Yoon: </w:t>
      </w:r>
      <w:r w:rsidRPr="005E2CEF">
        <w:rPr>
          <w:b/>
          <w:u w:val="single"/>
        </w:rPr>
        <w:t>pager</w:t>
      </w:r>
      <w:r>
        <w:rPr>
          <w:b/>
        </w:rPr>
        <w:t xml:space="preserve"> – (</w:t>
      </w:r>
      <w:r w:rsidRPr="00A65D3C">
        <w:rPr>
          <w:b/>
          <w:color w:val="333333"/>
          <w:shd w:val="clear" w:color="auto" w:fill="FFFFFF"/>
        </w:rPr>
        <w:t>626</w:t>
      </w:r>
      <w:r>
        <w:rPr>
          <w:b/>
          <w:color w:val="333333"/>
          <w:shd w:val="clear" w:color="auto" w:fill="FFFFFF"/>
        </w:rPr>
        <w:t xml:space="preserve">) </w:t>
      </w:r>
      <w:r w:rsidRPr="00A65D3C">
        <w:rPr>
          <w:b/>
          <w:color w:val="333333"/>
          <w:shd w:val="clear" w:color="auto" w:fill="FFFFFF"/>
        </w:rPr>
        <w:t>231-4641</w:t>
      </w:r>
      <w:r w:rsidRPr="005E2CEF">
        <w:rPr>
          <w:b/>
        </w:rPr>
        <w:t xml:space="preserve">; </w:t>
      </w:r>
      <w:r w:rsidRPr="005E2CEF">
        <w:rPr>
          <w:b/>
          <w:u w:val="single"/>
        </w:rPr>
        <w:t xml:space="preserve">cell </w:t>
      </w:r>
      <w:r w:rsidRPr="005E2CEF">
        <w:rPr>
          <w:b/>
        </w:rPr>
        <w:t>–</w:t>
      </w:r>
      <w:r w:rsidRPr="00A65D3C">
        <w:rPr>
          <w:b/>
          <w:color w:val="333333"/>
          <w:shd w:val="clear" w:color="auto" w:fill="FFFFFF"/>
        </w:rPr>
        <w:t xml:space="preserve"> </w:t>
      </w:r>
      <w:r>
        <w:rPr>
          <w:b/>
          <w:color w:val="333333"/>
          <w:shd w:val="clear" w:color="auto" w:fill="FFFFFF"/>
        </w:rPr>
        <w:t>(</w:t>
      </w:r>
      <w:r w:rsidRPr="00A65D3C">
        <w:rPr>
          <w:b/>
          <w:color w:val="333333"/>
          <w:shd w:val="clear" w:color="auto" w:fill="FFFFFF"/>
        </w:rPr>
        <w:t>626</w:t>
      </w:r>
      <w:r>
        <w:rPr>
          <w:b/>
          <w:color w:val="333333"/>
          <w:shd w:val="clear" w:color="auto" w:fill="FFFFFF"/>
        </w:rPr>
        <w:t xml:space="preserve">) </w:t>
      </w:r>
      <w:r w:rsidRPr="00A65D3C">
        <w:rPr>
          <w:b/>
          <w:color w:val="333333"/>
          <w:shd w:val="clear" w:color="auto" w:fill="FFFFFF"/>
        </w:rPr>
        <w:t>873-5241</w:t>
      </w:r>
    </w:p>
    <w:p w14:paraId="38F29D9B" w14:textId="77777777" w:rsidR="005F49A2" w:rsidRPr="00A65D3C" w:rsidRDefault="005F49A2" w:rsidP="005F49A2">
      <w:pPr>
        <w:pStyle w:val="Header"/>
        <w:jc w:val="center"/>
        <w:rPr>
          <w:b/>
        </w:rPr>
      </w:pPr>
      <w:r w:rsidRPr="00A65D3C">
        <w:rPr>
          <w:b/>
        </w:rPr>
        <w:t xml:space="preserve">Lab director: </w:t>
      </w:r>
      <w:r>
        <w:rPr>
          <w:b/>
        </w:rPr>
        <w:t xml:space="preserve">Dr. </w:t>
      </w:r>
      <w:r w:rsidRPr="00A65D3C">
        <w:rPr>
          <w:b/>
        </w:rPr>
        <w:t xml:space="preserve">Tim Synold; </w:t>
      </w:r>
      <w:r w:rsidRPr="005E2CEF">
        <w:rPr>
          <w:b/>
          <w:u w:val="single"/>
        </w:rPr>
        <w:t xml:space="preserve">cell </w:t>
      </w:r>
      <w:r w:rsidRPr="00A65D3C">
        <w:rPr>
          <w:b/>
        </w:rPr>
        <w:t xml:space="preserve">– (626) 485-8178; </w:t>
      </w:r>
      <w:r w:rsidRPr="005E2CEF">
        <w:rPr>
          <w:b/>
          <w:u w:val="single"/>
        </w:rPr>
        <w:t xml:space="preserve">office </w:t>
      </w:r>
      <w:r w:rsidRPr="00A65D3C">
        <w:rPr>
          <w:b/>
        </w:rPr>
        <w:t>– (626) 218-1110</w:t>
      </w:r>
    </w:p>
    <w:tbl>
      <w:tblPr>
        <w:tblpPr w:leftFromText="180" w:rightFromText="180" w:vertAnchor="text" w:horzAnchor="margin" w:tblpXSpec="center" w:tblpY="420"/>
        <w:tblW w:w="43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246"/>
        <w:gridCol w:w="1385"/>
        <w:gridCol w:w="1023"/>
        <w:gridCol w:w="1145"/>
        <w:gridCol w:w="1885"/>
        <w:gridCol w:w="1862"/>
      </w:tblGrid>
      <w:tr w:rsidR="005F49A2" w:rsidRPr="00B3694A" w14:paraId="411CCAC0" w14:textId="77777777" w:rsidTr="00591F38">
        <w:trPr>
          <w:trHeight w:val="1251"/>
        </w:trPr>
        <w:tc>
          <w:tcPr>
            <w:tcW w:w="388" w:type="pct"/>
            <w:vAlign w:val="center"/>
          </w:tcPr>
          <w:p w14:paraId="4E951CEC" w14:textId="77777777" w:rsidR="005F49A2" w:rsidRPr="00CE1D05" w:rsidRDefault="005F49A2" w:rsidP="00591F38">
            <w:pPr>
              <w:rPr>
                <w:rFonts w:ascii="Bookman Old Style" w:hAnsi="Bookman Old Style"/>
                <w:b/>
                <w:sz w:val="20"/>
                <w:szCs w:val="20"/>
              </w:rPr>
            </w:pPr>
            <w:r w:rsidRPr="00CE1D05">
              <w:rPr>
                <w:rFonts w:ascii="Bookman Old Style" w:hAnsi="Bookman Old Style"/>
                <w:b/>
                <w:sz w:val="20"/>
                <w:szCs w:val="20"/>
              </w:rPr>
              <w:t>Date</w:t>
            </w:r>
          </w:p>
        </w:tc>
        <w:tc>
          <w:tcPr>
            <w:tcW w:w="672" w:type="pct"/>
            <w:vAlign w:val="center"/>
          </w:tcPr>
          <w:p w14:paraId="49836CDD" w14:textId="77777777" w:rsidR="005F49A2" w:rsidRPr="00CE1D05" w:rsidRDefault="005F49A2" w:rsidP="00591F38">
            <w:pPr>
              <w:jc w:val="center"/>
              <w:rPr>
                <w:rFonts w:ascii="Bookman Old Style" w:hAnsi="Bookman Old Style"/>
                <w:b/>
                <w:sz w:val="20"/>
                <w:szCs w:val="20"/>
              </w:rPr>
            </w:pPr>
            <w:r w:rsidRPr="00CE1D05">
              <w:rPr>
                <w:rFonts w:ascii="Bookman Old Style" w:hAnsi="Bookman Old Style"/>
                <w:b/>
                <w:sz w:val="20"/>
                <w:szCs w:val="20"/>
              </w:rPr>
              <w:t>Dialysate                                                                     Sample</w:t>
            </w:r>
          </w:p>
        </w:tc>
        <w:tc>
          <w:tcPr>
            <w:tcW w:w="747" w:type="pct"/>
            <w:vAlign w:val="center"/>
          </w:tcPr>
          <w:p w14:paraId="51F44009" w14:textId="77777777" w:rsidR="005F49A2" w:rsidRPr="00CE1D05" w:rsidRDefault="005F49A2" w:rsidP="00591F38">
            <w:pPr>
              <w:jc w:val="center"/>
              <w:rPr>
                <w:rFonts w:ascii="Bookman Old Style" w:hAnsi="Bookman Old Style"/>
                <w:b/>
                <w:sz w:val="20"/>
                <w:szCs w:val="20"/>
              </w:rPr>
            </w:pPr>
            <w:r w:rsidRPr="00CE1D05">
              <w:rPr>
                <w:rFonts w:ascii="Bookman Old Style" w:hAnsi="Bookman Old Style"/>
                <w:b/>
                <w:sz w:val="20"/>
                <w:szCs w:val="20"/>
              </w:rPr>
              <w:t>Sample collection</w:t>
            </w:r>
          </w:p>
          <w:p w14:paraId="22498CBC" w14:textId="77777777" w:rsidR="005F49A2" w:rsidRPr="00CE1D05" w:rsidRDefault="005F49A2" w:rsidP="00591F38">
            <w:pPr>
              <w:jc w:val="center"/>
              <w:rPr>
                <w:rFonts w:ascii="Bookman Old Style" w:hAnsi="Bookman Old Style"/>
                <w:b/>
                <w:sz w:val="20"/>
                <w:szCs w:val="20"/>
              </w:rPr>
            </w:pPr>
            <w:r w:rsidRPr="00CE1D05">
              <w:rPr>
                <w:rFonts w:ascii="Bookman Old Style" w:hAnsi="Bookman Old Style"/>
                <w:b/>
                <w:sz w:val="20"/>
                <w:szCs w:val="20"/>
              </w:rPr>
              <w:t>Frequency</w:t>
            </w:r>
          </w:p>
        </w:tc>
        <w:tc>
          <w:tcPr>
            <w:tcW w:w="552" w:type="pct"/>
            <w:vAlign w:val="center"/>
          </w:tcPr>
          <w:p w14:paraId="7AA8DE9C" w14:textId="77777777" w:rsidR="005F49A2" w:rsidRPr="00CE1D05" w:rsidRDefault="005F49A2" w:rsidP="00591F38">
            <w:pPr>
              <w:jc w:val="center"/>
              <w:rPr>
                <w:rFonts w:ascii="Bookman Old Style" w:hAnsi="Bookman Old Style"/>
                <w:b/>
                <w:sz w:val="20"/>
                <w:szCs w:val="20"/>
              </w:rPr>
            </w:pPr>
            <w:r w:rsidRPr="00CE1D05">
              <w:rPr>
                <w:rFonts w:ascii="Bookman Old Style" w:hAnsi="Bookman Old Style"/>
                <w:b/>
                <w:sz w:val="20"/>
                <w:szCs w:val="20"/>
              </w:rPr>
              <w:t>*Actual Time</w:t>
            </w:r>
          </w:p>
        </w:tc>
        <w:tc>
          <w:tcPr>
            <w:tcW w:w="618" w:type="pct"/>
            <w:vAlign w:val="center"/>
          </w:tcPr>
          <w:p w14:paraId="3B711077" w14:textId="77777777" w:rsidR="005F49A2" w:rsidRPr="00CE1D05" w:rsidRDefault="005F49A2" w:rsidP="00591F38">
            <w:pPr>
              <w:jc w:val="center"/>
              <w:rPr>
                <w:rFonts w:ascii="Bookman Old Style" w:hAnsi="Bookman Old Style"/>
                <w:b/>
                <w:sz w:val="20"/>
                <w:szCs w:val="20"/>
              </w:rPr>
            </w:pPr>
            <w:r w:rsidRPr="00CE1D05">
              <w:rPr>
                <w:rFonts w:ascii="Bookman Old Style" w:hAnsi="Bookman Old Style"/>
                <w:b/>
                <w:sz w:val="20"/>
                <w:szCs w:val="20"/>
              </w:rPr>
              <w:t>Vial changed by (Initials)</w:t>
            </w:r>
          </w:p>
        </w:tc>
        <w:tc>
          <w:tcPr>
            <w:tcW w:w="1017" w:type="pct"/>
            <w:vAlign w:val="center"/>
          </w:tcPr>
          <w:p w14:paraId="7B918091" w14:textId="77777777" w:rsidR="005F49A2" w:rsidRPr="00CE1D05" w:rsidRDefault="005F49A2" w:rsidP="00591F38">
            <w:pPr>
              <w:jc w:val="center"/>
              <w:rPr>
                <w:rFonts w:ascii="Bookman Old Style" w:hAnsi="Bookman Old Style"/>
                <w:b/>
                <w:sz w:val="20"/>
                <w:szCs w:val="20"/>
              </w:rPr>
            </w:pPr>
            <w:r w:rsidRPr="00CE1D05">
              <w:rPr>
                <w:rFonts w:ascii="Bookman Old Style" w:hAnsi="Bookman Old Style"/>
                <w:b/>
                <w:sz w:val="20"/>
                <w:szCs w:val="20"/>
              </w:rPr>
              <w:t>Time of triapine administration</w:t>
            </w:r>
          </w:p>
          <w:p w14:paraId="17FE24A1" w14:textId="77777777" w:rsidR="005F49A2" w:rsidRPr="00CE1D05" w:rsidRDefault="005F49A2" w:rsidP="00591F38">
            <w:pPr>
              <w:jc w:val="center"/>
              <w:rPr>
                <w:rFonts w:ascii="Bookman Old Style" w:hAnsi="Bookman Old Style"/>
                <w:b/>
                <w:sz w:val="20"/>
                <w:szCs w:val="20"/>
              </w:rPr>
            </w:pPr>
            <w:r w:rsidRPr="00CE1D05">
              <w:rPr>
                <w:rFonts w:ascii="Bookman Old Style" w:hAnsi="Bookman Old Style"/>
                <w:b/>
                <w:sz w:val="20"/>
                <w:szCs w:val="20"/>
              </w:rPr>
              <w:t>(record below)</w:t>
            </w:r>
          </w:p>
        </w:tc>
        <w:tc>
          <w:tcPr>
            <w:tcW w:w="1005" w:type="pct"/>
            <w:vAlign w:val="center"/>
          </w:tcPr>
          <w:p w14:paraId="0BCFE1F9" w14:textId="77777777" w:rsidR="005F49A2" w:rsidRPr="00CE1D05" w:rsidRDefault="005F49A2" w:rsidP="00591F38">
            <w:pPr>
              <w:jc w:val="center"/>
              <w:rPr>
                <w:rFonts w:ascii="Bookman Old Style" w:hAnsi="Bookman Old Style"/>
                <w:b/>
                <w:sz w:val="20"/>
                <w:szCs w:val="20"/>
              </w:rPr>
            </w:pPr>
            <w:r w:rsidRPr="00CE1D05">
              <w:rPr>
                <w:rFonts w:ascii="Bookman Old Style" w:hAnsi="Bookman Old Style"/>
                <w:b/>
                <w:sz w:val="20"/>
                <w:szCs w:val="20"/>
              </w:rPr>
              <w:t>Comments/PK</w:t>
            </w:r>
          </w:p>
        </w:tc>
      </w:tr>
      <w:tr w:rsidR="005F49A2" w14:paraId="2622FAA8" w14:textId="77777777" w:rsidTr="00591F38">
        <w:trPr>
          <w:trHeight w:val="458"/>
        </w:trPr>
        <w:tc>
          <w:tcPr>
            <w:tcW w:w="388" w:type="pct"/>
          </w:tcPr>
          <w:p w14:paraId="089AF18F" w14:textId="77777777" w:rsidR="005F49A2" w:rsidRDefault="005F49A2" w:rsidP="00591F38"/>
        </w:tc>
        <w:tc>
          <w:tcPr>
            <w:tcW w:w="672" w:type="pct"/>
          </w:tcPr>
          <w:p w14:paraId="3B31AB34" w14:textId="77777777" w:rsidR="005F49A2" w:rsidRDefault="005F49A2" w:rsidP="00591F38">
            <w:pPr>
              <w:jc w:val="center"/>
            </w:pPr>
            <w:r>
              <w:t>1</w:t>
            </w:r>
          </w:p>
        </w:tc>
        <w:tc>
          <w:tcPr>
            <w:tcW w:w="747" w:type="pct"/>
          </w:tcPr>
          <w:p w14:paraId="7B81C2D4" w14:textId="77777777" w:rsidR="005F49A2" w:rsidRPr="006942D9" w:rsidRDefault="005F49A2" w:rsidP="00591F38">
            <w:pPr>
              <w:jc w:val="center"/>
              <w:rPr>
                <w:sz w:val="20"/>
                <w:szCs w:val="20"/>
              </w:rPr>
            </w:pPr>
            <w:r w:rsidRPr="005B1C68">
              <w:rPr>
                <w:bCs/>
                <w:sz w:val="20"/>
                <w:szCs w:val="20"/>
              </w:rPr>
              <w:t>At</w:t>
            </w:r>
            <w:r w:rsidRPr="006942D9">
              <w:rPr>
                <w:sz w:val="20"/>
                <w:szCs w:val="20"/>
              </w:rPr>
              <w:t xml:space="preserve"> start of pump-change  </w:t>
            </w:r>
            <w:r>
              <w:rPr>
                <w:sz w:val="20"/>
                <w:szCs w:val="20"/>
              </w:rPr>
              <w:t>q</w:t>
            </w:r>
            <w:r w:rsidRPr="006942D9">
              <w:rPr>
                <w:sz w:val="20"/>
                <w:szCs w:val="20"/>
              </w:rPr>
              <w:t xml:space="preserve">3 hours </w:t>
            </w:r>
            <w:r>
              <w:rPr>
                <w:sz w:val="20"/>
                <w:szCs w:val="20"/>
              </w:rPr>
              <w:t>until triapine administration</w:t>
            </w:r>
          </w:p>
        </w:tc>
        <w:tc>
          <w:tcPr>
            <w:tcW w:w="552" w:type="pct"/>
          </w:tcPr>
          <w:p w14:paraId="3C1C3028" w14:textId="77777777" w:rsidR="005F49A2" w:rsidRDefault="005F49A2" w:rsidP="00591F38"/>
        </w:tc>
        <w:tc>
          <w:tcPr>
            <w:tcW w:w="618" w:type="pct"/>
          </w:tcPr>
          <w:p w14:paraId="2070532A" w14:textId="77777777" w:rsidR="005F49A2" w:rsidRDefault="005F49A2" w:rsidP="00591F38"/>
        </w:tc>
        <w:tc>
          <w:tcPr>
            <w:tcW w:w="1017" w:type="pct"/>
          </w:tcPr>
          <w:p w14:paraId="10332390" w14:textId="77777777" w:rsidR="005F49A2" w:rsidRPr="00B3694A" w:rsidRDefault="005F49A2" w:rsidP="00591F38">
            <w:pPr>
              <w:rPr>
                <w:b/>
              </w:rPr>
            </w:pPr>
          </w:p>
        </w:tc>
        <w:tc>
          <w:tcPr>
            <w:tcW w:w="1005" w:type="pct"/>
          </w:tcPr>
          <w:p w14:paraId="14E812B9" w14:textId="77777777" w:rsidR="005F49A2" w:rsidRPr="00B3694A" w:rsidRDefault="005F49A2" w:rsidP="00591F38">
            <w:pPr>
              <w:rPr>
                <w:b/>
              </w:rPr>
            </w:pPr>
          </w:p>
        </w:tc>
      </w:tr>
      <w:tr w:rsidR="005F49A2" w14:paraId="6943E382" w14:textId="77777777" w:rsidTr="00591F38">
        <w:trPr>
          <w:trHeight w:val="530"/>
        </w:trPr>
        <w:tc>
          <w:tcPr>
            <w:tcW w:w="388" w:type="pct"/>
          </w:tcPr>
          <w:p w14:paraId="26F6C265" w14:textId="77777777" w:rsidR="005F49A2" w:rsidRDefault="005F49A2" w:rsidP="00591F38"/>
        </w:tc>
        <w:tc>
          <w:tcPr>
            <w:tcW w:w="672" w:type="pct"/>
          </w:tcPr>
          <w:p w14:paraId="638C5B7B" w14:textId="77777777" w:rsidR="005F49A2" w:rsidRDefault="005F49A2" w:rsidP="00591F38">
            <w:pPr>
              <w:jc w:val="center"/>
            </w:pPr>
            <w:r>
              <w:t>2</w:t>
            </w:r>
          </w:p>
        </w:tc>
        <w:tc>
          <w:tcPr>
            <w:tcW w:w="747" w:type="pct"/>
          </w:tcPr>
          <w:p w14:paraId="1A9E5FC4" w14:textId="77777777" w:rsidR="005F49A2" w:rsidRDefault="005F49A2" w:rsidP="00591F38"/>
        </w:tc>
        <w:tc>
          <w:tcPr>
            <w:tcW w:w="552" w:type="pct"/>
          </w:tcPr>
          <w:p w14:paraId="48CCB320" w14:textId="77777777" w:rsidR="005F49A2" w:rsidRDefault="005F49A2" w:rsidP="00591F38"/>
        </w:tc>
        <w:tc>
          <w:tcPr>
            <w:tcW w:w="618" w:type="pct"/>
          </w:tcPr>
          <w:p w14:paraId="7000B30E" w14:textId="77777777" w:rsidR="005F49A2" w:rsidRDefault="005F49A2" w:rsidP="00591F38"/>
        </w:tc>
        <w:tc>
          <w:tcPr>
            <w:tcW w:w="1017" w:type="pct"/>
          </w:tcPr>
          <w:p w14:paraId="65E21785" w14:textId="77777777" w:rsidR="005F49A2" w:rsidRDefault="005F49A2" w:rsidP="00591F38"/>
        </w:tc>
        <w:tc>
          <w:tcPr>
            <w:tcW w:w="1005" w:type="pct"/>
          </w:tcPr>
          <w:p w14:paraId="2DAD37D6" w14:textId="77777777" w:rsidR="005F49A2" w:rsidRDefault="005F49A2" w:rsidP="00591F38"/>
        </w:tc>
      </w:tr>
      <w:tr w:rsidR="005F49A2" w14:paraId="40D152E7" w14:textId="77777777" w:rsidTr="00591F38">
        <w:trPr>
          <w:trHeight w:val="530"/>
        </w:trPr>
        <w:tc>
          <w:tcPr>
            <w:tcW w:w="388" w:type="pct"/>
          </w:tcPr>
          <w:p w14:paraId="6C7BD91A" w14:textId="77777777" w:rsidR="005F49A2" w:rsidRDefault="005F49A2" w:rsidP="00591F38"/>
        </w:tc>
        <w:tc>
          <w:tcPr>
            <w:tcW w:w="672" w:type="pct"/>
          </w:tcPr>
          <w:p w14:paraId="6644A358" w14:textId="77777777" w:rsidR="005F49A2" w:rsidRDefault="005F49A2" w:rsidP="00591F38">
            <w:pPr>
              <w:jc w:val="center"/>
            </w:pPr>
            <w:r>
              <w:t>3</w:t>
            </w:r>
          </w:p>
        </w:tc>
        <w:tc>
          <w:tcPr>
            <w:tcW w:w="747" w:type="pct"/>
          </w:tcPr>
          <w:p w14:paraId="723B4C32" w14:textId="77777777" w:rsidR="005F49A2" w:rsidRDefault="005F49A2" w:rsidP="00591F38"/>
        </w:tc>
        <w:tc>
          <w:tcPr>
            <w:tcW w:w="552" w:type="pct"/>
          </w:tcPr>
          <w:p w14:paraId="67E70336" w14:textId="77777777" w:rsidR="005F49A2" w:rsidRDefault="005F49A2" w:rsidP="00591F38"/>
        </w:tc>
        <w:tc>
          <w:tcPr>
            <w:tcW w:w="618" w:type="pct"/>
          </w:tcPr>
          <w:p w14:paraId="247321EF" w14:textId="77777777" w:rsidR="005F49A2" w:rsidRDefault="005F49A2" w:rsidP="00591F38"/>
        </w:tc>
        <w:tc>
          <w:tcPr>
            <w:tcW w:w="1017" w:type="pct"/>
          </w:tcPr>
          <w:p w14:paraId="6FE99634" w14:textId="77777777" w:rsidR="005F49A2" w:rsidRDefault="005F49A2" w:rsidP="00591F38"/>
        </w:tc>
        <w:tc>
          <w:tcPr>
            <w:tcW w:w="1005" w:type="pct"/>
          </w:tcPr>
          <w:p w14:paraId="6F34348F" w14:textId="77777777" w:rsidR="005F49A2" w:rsidRDefault="005F49A2" w:rsidP="00591F38"/>
        </w:tc>
      </w:tr>
      <w:tr w:rsidR="005F49A2" w14:paraId="563FFDED" w14:textId="77777777" w:rsidTr="00591F38">
        <w:trPr>
          <w:trHeight w:val="530"/>
        </w:trPr>
        <w:tc>
          <w:tcPr>
            <w:tcW w:w="388" w:type="pct"/>
          </w:tcPr>
          <w:p w14:paraId="3966329F" w14:textId="77777777" w:rsidR="005F49A2" w:rsidRDefault="005F49A2" w:rsidP="00591F38"/>
        </w:tc>
        <w:tc>
          <w:tcPr>
            <w:tcW w:w="672" w:type="pct"/>
          </w:tcPr>
          <w:p w14:paraId="20B0DB46" w14:textId="77777777" w:rsidR="005F49A2" w:rsidRDefault="005F49A2" w:rsidP="00591F38">
            <w:pPr>
              <w:jc w:val="center"/>
            </w:pPr>
            <w:r>
              <w:t>4</w:t>
            </w:r>
          </w:p>
        </w:tc>
        <w:tc>
          <w:tcPr>
            <w:tcW w:w="747" w:type="pct"/>
          </w:tcPr>
          <w:p w14:paraId="3BD8DA48" w14:textId="77777777" w:rsidR="005F49A2" w:rsidRDefault="005F49A2" w:rsidP="00591F38"/>
        </w:tc>
        <w:tc>
          <w:tcPr>
            <w:tcW w:w="552" w:type="pct"/>
          </w:tcPr>
          <w:p w14:paraId="093ACB6F" w14:textId="77777777" w:rsidR="005F49A2" w:rsidRDefault="005F49A2" w:rsidP="00591F38"/>
        </w:tc>
        <w:tc>
          <w:tcPr>
            <w:tcW w:w="618" w:type="pct"/>
          </w:tcPr>
          <w:p w14:paraId="2F9B1B8B" w14:textId="77777777" w:rsidR="005F49A2" w:rsidRDefault="005F49A2" w:rsidP="00591F38"/>
        </w:tc>
        <w:tc>
          <w:tcPr>
            <w:tcW w:w="1017" w:type="pct"/>
          </w:tcPr>
          <w:p w14:paraId="6C7C8281" w14:textId="77777777" w:rsidR="005F49A2" w:rsidRDefault="005F49A2" w:rsidP="00591F38"/>
        </w:tc>
        <w:tc>
          <w:tcPr>
            <w:tcW w:w="1005" w:type="pct"/>
          </w:tcPr>
          <w:p w14:paraId="7FA774FD" w14:textId="77777777" w:rsidR="005F49A2" w:rsidRDefault="005F49A2" w:rsidP="00591F38"/>
        </w:tc>
      </w:tr>
      <w:tr w:rsidR="005F49A2" w14:paraId="70CB820F" w14:textId="77777777" w:rsidTr="00591F38">
        <w:trPr>
          <w:trHeight w:val="530"/>
        </w:trPr>
        <w:tc>
          <w:tcPr>
            <w:tcW w:w="388" w:type="pct"/>
          </w:tcPr>
          <w:p w14:paraId="6FFD5C37" w14:textId="77777777" w:rsidR="005F49A2" w:rsidRDefault="005F49A2" w:rsidP="00591F38"/>
        </w:tc>
        <w:tc>
          <w:tcPr>
            <w:tcW w:w="672" w:type="pct"/>
          </w:tcPr>
          <w:p w14:paraId="65C79221" w14:textId="77777777" w:rsidR="005F49A2" w:rsidRDefault="005F49A2" w:rsidP="00591F38">
            <w:pPr>
              <w:jc w:val="center"/>
            </w:pPr>
            <w:r>
              <w:t>5</w:t>
            </w:r>
          </w:p>
        </w:tc>
        <w:tc>
          <w:tcPr>
            <w:tcW w:w="747" w:type="pct"/>
          </w:tcPr>
          <w:p w14:paraId="343DE869" w14:textId="77777777" w:rsidR="005F49A2" w:rsidRDefault="005F49A2" w:rsidP="00591F38"/>
        </w:tc>
        <w:tc>
          <w:tcPr>
            <w:tcW w:w="552" w:type="pct"/>
          </w:tcPr>
          <w:p w14:paraId="4609D79D" w14:textId="77777777" w:rsidR="005F49A2" w:rsidRDefault="005F49A2" w:rsidP="00591F38"/>
        </w:tc>
        <w:tc>
          <w:tcPr>
            <w:tcW w:w="618" w:type="pct"/>
          </w:tcPr>
          <w:p w14:paraId="02A18937" w14:textId="77777777" w:rsidR="005F49A2" w:rsidRDefault="005F49A2" w:rsidP="00591F38"/>
        </w:tc>
        <w:tc>
          <w:tcPr>
            <w:tcW w:w="1017" w:type="pct"/>
          </w:tcPr>
          <w:p w14:paraId="0A19BB08" w14:textId="77777777" w:rsidR="005F49A2" w:rsidRDefault="005F49A2" w:rsidP="00591F38"/>
        </w:tc>
        <w:tc>
          <w:tcPr>
            <w:tcW w:w="1005" w:type="pct"/>
          </w:tcPr>
          <w:p w14:paraId="1828D04B" w14:textId="77777777" w:rsidR="005F49A2" w:rsidRDefault="005F49A2" w:rsidP="00591F38"/>
        </w:tc>
      </w:tr>
      <w:tr w:rsidR="005F49A2" w14:paraId="693FF4C6" w14:textId="77777777" w:rsidTr="00591F38">
        <w:trPr>
          <w:trHeight w:val="530"/>
        </w:trPr>
        <w:tc>
          <w:tcPr>
            <w:tcW w:w="388" w:type="pct"/>
          </w:tcPr>
          <w:p w14:paraId="4A496C94" w14:textId="77777777" w:rsidR="005F49A2" w:rsidRDefault="005F49A2" w:rsidP="00591F38"/>
        </w:tc>
        <w:tc>
          <w:tcPr>
            <w:tcW w:w="672" w:type="pct"/>
          </w:tcPr>
          <w:p w14:paraId="7DD73404" w14:textId="77777777" w:rsidR="005F49A2" w:rsidRDefault="005F49A2" w:rsidP="00591F38">
            <w:pPr>
              <w:jc w:val="center"/>
            </w:pPr>
            <w:r>
              <w:t>6</w:t>
            </w:r>
          </w:p>
        </w:tc>
        <w:tc>
          <w:tcPr>
            <w:tcW w:w="747" w:type="pct"/>
          </w:tcPr>
          <w:p w14:paraId="43F37DE1" w14:textId="77777777" w:rsidR="005F49A2" w:rsidRDefault="005F49A2" w:rsidP="00591F38"/>
        </w:tc>
        <w:tc>
          <w:tcPr>
            <w:tcW w:w="552" w:type="pct"/>
          </w:tcPr>
          <w:p w14:paraId="6F310776" w14:textId="77777777" w:rsidR="005F49A2" w:rsidRDefault="005F49A2" w:rsidP="00591F38"/>
        </w:tc>
        <w:tc>
          <w:tcPr>
            <w:tcW w:w="618" w:type="pct"/>
          </w:tcPr>
          <w:p w14:paraId="46F83B31" w14:textId="77777777" w:rsidR="005F49A2" w:rsidRDefault="005F49A2" w:rsidP="00591F38"/>
        </w:tc>
        <w:tc>
          <w:tcPr>
            <w:tcW w:w="1017" w:type="pct"/>
          </w:tcPr>
          <w:p w14:paraId="3C03B46C" w14:textId="77777777" w:rsidR="005F49A2" w:rsidRDefault="005F49A2" w:rsidP="00591F38"/>
        </w:tc>
        <w:tc>
          <w:tcPr>
            <w:tcW w:w="1005" w:type="pct"/>
          </w:tcPr>
          <w:p w14:paraId="752D631B" w14:textId="77777777" w:rsidR="005F49A2" w:rsidRDefault="005F49A2" w:rsidP="00591F38"/>
        </w:tc>
      </w:tr>
      <w:tr w:rsidR="005F49A2" w14:paraId="7F704D14" w14:textId="77777777" w:rsidTr="00591F38">
        <w:trPr>
          <w:trHeight w:val="530"/>
        </w:trPr>
        <w:tc>
          <w:tcPr>
            <w:tcW w:w="388" w:type="pct"/>
          </w:tcPr>
          <w:p w14:paraId="559E3468" w14:textId="77777777" w:rsidR="005F49A2" w:rsidRDefault="005F49A2" w:rsidP="00591F38"/>
        </w:tc>
        <w:tc>
          <w:tcPr>
            <w:tcW w:w="672" w:type="pct"/>
          </w:tcPr>
          <w:p w14:paraId="314D69E0" w14:textId="77777777" w:rsidR="005F49A2" w:rsidRDefault="005F49A2" w:rsidP="00591F38">
            <w:pPr>
              <w:jc w:val="center"/>
            </w:pPr>
            <w:r>
              <w:t>7</w:t>
            </w:r>
          </w:p>
        </w:tc>
        <w:tc>
          <w:tcPr>
            <w:tcW w:w="747" w:type="pct"/>
          </w:tcPr>
          <w:p w14:paraId="01E38607" w14:textId="77777777" w:rsidR="005F49A2" w:rsidRDefault="005F49A2" w:rsidP="00591F38"/>
        </w:tc>
        <w:tc>
          <w:tcPr>
            <w:tcW w:w="552" w:type="pct"/>
          </w:tcPr>
          <w:p w14:paraId="1099713E" w14:textId="77777777" w:rsidR="005F49A2" w:rsidRDefault="005F49A2" w:rsidP="00591F38"/>
        </w:tc>
        <w:tc>
          <w:tcPr>
            <w:tcW w:w="618" w:type="pct"/>
          </w:tcPr>
          <w:p w14:paraId="699A21ED" w14:textId="77777777" w:rsidR="005F49A2" w:rsidRDefault="005F49A2" w:rsidP="00591F38"/>
        </w:tc>
        <w:tc>
          <w:tcPr>
            <w:tcW w:w="1017" w:type="pct"/>
          </w:tcPr>
          <w:p w14:paraId="5914801A" w14:textId="77777777" w:rsidR="005F49A2" w:rsidRDefault="005F49A2" w:rsidP="00591F38"/>
        </w:tc>
        <w:tc>
          <w:tcPr>
            <w:tcW w:w="1005" w:type="pct"/>
          </w:tcPr>
          <w:p w14:paraId="02833AB8" w14:textId="77777777" w:rsidR="005F49A2" w:rsidRDefault="005F49A2" w:rsidP="00591F38"/>
        </w:tc>
      </w:tr>
      <w:tr w:rsidR="005F49A2" w14:paraId="4F420A0B" w14:textId="77777777" w:rsidTr="00591F38">
        <w:trPr>
          <w:trHeight w:val="530"/>
        </w:trPr>
        <w:tc>
          <w:tcPr>
            <w:tcW w:w="388" w:type="pct"/>
          </w:tcPr>
          <w:p w14:paraId="1249E6DE" w14:textId="77777777" w:rsidR="005F49A2" w:rsidRDefault="005F49A2" w:rsidP="00591F38"/>
        </w:tc>
        <w:tc>
          <w:tcPr>
            <w:tcW w:w="672" w:type="pct"/>
          </w:tcPr>
          <w:p w14:paraId="382A7ABC" w14:textId="77777777" w:rsidR="005F49A2" w:rsidRDefault="005F49A2" w:rsidP="00591F38">
            <w:pPr>
              <w:jc w:val="center"/>
            </w:pPr>
            <w:r>
              <w:t>8</w:t>
            </w:r>
          </w:p>
        </w:tc>
        <w:tc>
          <w:tcPr>
            <w:tcW w:w="747" w:type="pct"/>
          </w:tcPr>
          <w:p w14:paraId="50B35EF4" w14:textId="77777777" w:rsidR="005F49A2" w:rsidRDefault="005F49A2" w:rsidP="00591F38">
            <w:pPr>
              <w:jc w:val="center"/>
            </w:pPr>
            <w:r w:rsidRPr="00227F7D">
              <w:rPr>
                <w:bCs/>
                <w:sz w:val="20"/>
                <w:szCs w:val="20"/>
              </w:rPr>
              <w:t>Record</w:t>
            </w:r>
            <w:r>
              <w:rPr>
                <w:bCs/>
                <w:sz w:val="20"/>
                <w:szCs w:val="20"/>
              </w:rPr>
              <w:t xml:space="preserve"> </w:t>
            </w:r>
            <w:r w:rsidRPr="00227F7D">
              <w:rPr>
                <w:bCs/>
                <w:sz w:val="20"/>
                <w:szCs w:val="20"/>
              </w:rPr>
              <w:t>time of triapine administration</w:t>
            </w:r>
            <w:r>
              <w:rPr>
                <w:bCs/>
                <w:sz w:val="20"/>
                <w:szCs w:val="20"/>
              </w:rPr>
              <w:t xml:space="preserve">- </w:t>
            </w:r>
            <w:r w:rsidRPr="00227F7D">
              <w:rPr>
                <w:bCs/>
                <w:sz w:val="20"/>
                <w:szCs w:val="20"/>
              </w:rPr>
              <w:t>change vials</w:t>
            </w:r>
            <w:r>
              <w:rPr>
                <w:bCs/>
                <w:sz w:val="20"/>
                <w:szCs w:val="20"/>
              </w:rPr>
              <w:t xml:space="preserve"> q1</w:t>
            </w:r>
            <w:r w:rsidRPr="00227F7D">
              <w:rPr>
                <w:bCs/>
                <w:sz w:val="20"/>
                <w:szCs w:val="20"/>
              </w:rPr>
              <w:t xml:space="preserve"> hour</w:t>
            </w:r>
          </w:p>
        </w:tc>
        <w:tc>
          <w:tcPr>
            <w:tcW w:w="552" w:type="pct"/>
          </w:tcPr>
          <w:p w14:paraId="0C4E9C9F" w14:textId="77777777" w:rsidR="005F49A2" w:rsidRDefault="005F49A2" w:rsidP="00591F38"/>
        </w:tc>
        <w:tc>
          <w:tcPr>
            <w:tcW w:w="618" w:type="pct"/>
          </w:tcPr>
          <w:p w14:paraId="3EDB3B68" w14:textId="77777777" w:rsidR="005F49A2" w:rsidRDefault="005F49A2" w:rsidP="00591F38"/>
        </w:tc>
        <w:tc>
          <w:tcPr>
            <w:tcW w:w="1017" w:type="pct"/>
          </w:tcPr>
          <w:p w14:paraId="7B82CEBB" w14:textId="77777777" w:rsidR="005F49A2" w:rsidRDefault="005F49A2" w:rsidP="00591F38"/>
        </w:tc>
        <w:tc>
          <w:tcPr>
            <w:tcW w:w="1005" w:type="pct"/>
          </w:tcPr>
          <w:p w14:paraId="6441E6D9" w14:textId="77777777" w:rsidR="005F49A2" w:rsidRDefault="005F49A2" w:rsidP="00591F38"/>
        </w:tc>
      </w:tr>
      <w:tr w:rsidR="005F49A2" w14:paraId="503D9D58" w14:textId="77777777" w:rsidTr="00591F38">
        <w:trPr>
          <w:trHeight w:val="530"/>
        </w:trPr>
        <w:tc>
          <w:tcPr>
            <w:tcW w:w="388" w:type="pct"/>
          </w:tcPr>
          <w:p w14:paraId="33882176" w14:textId="77777777" w:rsidR="005F49A2" w:rsidRDefault="005F49A2" w:rsidP="00591F38"/>
        </w:tc>
        <w:tc>
          <w:tcPr>
            <w:tcW w:w="672" w:type="pct"/>
          </w:tcPr>
          <w:p w14:paraId="08788110" w14:textId="77777777" w:rsidR="005F49A2" w:rsidRDefault="005F49A2" w:rsidP="00591F38">
            <w:pPr>
              <w:jc w:val="center"/>
            </w:pPr>
            <w:r>
              <w:t>9</w:t>
            </w:r>
          </w:p>
        </w:tc>
        <w:tc>
          <w:tcPr>
            <w:tcW w:w="747" w:type="pct"/>
          </w:tcPr>
          <w:p w14:paraId="11FC0A72" w14:textId="77777777" w:rsidR="005F49A2" w:rsidRDefault="005F49A2" w:rsidP="00591F38"/>
        </w:tc>
        <w:tc>
          <w:tcPr>
            <w:tcW w:w="552" w:type="pct"/>
          </w:tcPr>
          <w:p w14:paraId="0D2983C5" w14:textId="77777777" w:rsidR="005F49A2" w:rsidRDefault="005F49A2" w:rsidP="00591F38"/>
        </w:tc>
        <w:tc>
          <w:tcPr>
            <w:tcW w:w="618" w:type="pct"/>
          </w:tcPr>
          <w:p w14:paraId="0CB0D391" w14:textId="77777777" w:rsidR="005F49A2" w:rsidRDefault="005F49A2" w:rsidP="00591F38"/>
        </w:tc>
        <w:tc>
          <w:tcPr>
            <w:tcW w:w="1017" w:type="pct"/>
          </w:tcPr>
          <w:p w14:paraId="76B12196" w14:textId="77777777" w:rsidR="005F49A2" w:rsidRPr="00B3694A" w:rsidRDefault="005F49A2" w:rsidP="00591F38">
            <w:pPr>
              <w:rPr>
                <w:b/>
              </w:rPr>
            </w:pPr>
          </w:p>
        </w:tc>
        <w:tc>
          <w:tcPr>
            <w:tcW w:w="1005" w:type="pct"/>
          </w:tcPr>
          <w:p w14:paraId="04627560" w14:textId="77777777" w:rsidR="005F49A2" w:rsidRPr="00B3694A" w:rsidRDefault="005F49A2" w:rsidP="00591F38">
            <w:pPr>
              <w:rPr>
                <w:b/>
              </w:rPr>
            </w:pPr>
          </w:p>
        </w:tc>
      </w:tr>
      <w:tr w:rsidR="005F49A2" w14:paraId="7DCCB3D9" w14:textId="77777777" w:rsidTr="00591F38">
        <w:trPr>
          <w:trHeight w:val="530"/>
        </w:trPr>
        <w:tc>
          <w:tcPr>
            <w:tcW w:w="388" w:type="pct"/>
          </w:tcPr>
          <w:p w14:paraId="66CA1F05" w14:textId="77777777" w:rsidR="005F49A2" w:rsidRDefault="005F49A2" w:rsidP="00591F38"/>
        </w:tc>
        <w:tc>
          <w:tcPr>
            <w:tcW w:w="672" w:type="pct"/>
          </w:tcPr>
          <w:p w14:paraId="7314EBCA" w14:textId="77777777" w:rsidR="005F49A2" w:rsidRDefault="005F49A2" w:rsidP="00591F38">
            <w:pPr>
              <w:jc w:val="center"/>
            </w:pPr>
            <w:r>
              <w:t>10</w:t>
            </w:r>
          </w:p>
        </w:tc>
        <w:tc>
          <w:tcPr>
            <w:tcW w:w="747" w:type="pct"/>
          </w:tcPr>
          <w:p w14:paraId="04A69095" w14:textId="77777777" w:rsidR="005F49A2" w:rsidRDefault="005F49A2" w:rsidP="00591F38"/>
        </w:tc>
        <w:tc>
          <w:tcPr>
            <w:tcW w:w="552" w:type="pct"/>
          </w:tcPr>
          <w:p w14:paraId="050562B3" w14:textId="77777777" w:rsidR="005F49A2" w:rsidRDefault="005F49A2" w:rsidP="00591F38"/>
        </w:tc>
        <w:tc>
          <w:tcPr>
            <w:tcW w:w="618" w:type="pct"/>
          </w:tcPr>
          <w:p w14:paraId="3AA813D7" w14:textId="77777777" w:rsidR="005F49A2" w:rsidRDefault="005F49A2" w:rsidP="00591F38"/>
        </w:tc>
        <w:tc>
          <w:tcPr>
            <w:tcW w:w="1017" w:type="pct"/>
          </w:tcPr>
          <w:p w14:paraId="5D0DFC64" w14:textId="77777777" w:rsidR="005F49A2" w:rsidRPr="00B3694A" w:rsidRDefault="005F49A2" w:rsidP="00591F38">
            <w:pPr>
              <w:rPr>
                <w:b/>
              </w:rPr>
            </w:pPr>
          </w:p>
        </w:tc>
        <w:tc>
          <w:tcPr>
            <w:tcW w:w="1005" w:type="pct"/>
          </w:tcPr>
          <w:p w14:paraId="7C9867A2" w14:textId="77777777" w:rsidR="005F49A2" w:rsidRPr="00B3694A" w:rsidRDefault="005F49A2" w:rsidP="00591F38">
            <w:pPr>
              <w:rPr>
                <w:b/>
              </w:rPr>
            </w:pPr>
          </w:p>
        </w:tc>
      </w:tr>
      <w:tr w:rsidR="005F49A2" w14:paraId="69BA8774" w14:textId="77777777" w:rsidTr="00591F38">
        <w:trPr>
          <w:trHeight w:val="530"/>
        </w:trPr>
        <w:tc>
          <w:tcPr>
            <w:tcW w:w="388" w:type="pct"/>
          </w:tcPr>
          <w:p w14:paraId="311C91BB" w14:textId="77777777" w:rsidR="005F49A2" w:rsidRDefault="005F49A2" w:rsidP="00591F38"/>
        </w:tc>
        <w:tc>
          <w:tcPr>
            <w:tcW w:w="672" w:type="pct"/>
          </w:tcPr>
          <w:p w14:paraId="300F7D30" w14:textId="77777777" w:rsidR="005F49A2" w:rsidRDefault="005F49A2" w:rsidP="00591F38">
            <w:pPr>
              <w:jc w:val="center"/>
            </w:pPr>
            <w:r>
              <w:t>11</w:t>
            </w:r>
          </w:p>
        </w:tc>
        <w:tc>
          <w:tcPr>
            <w:tcW w:w="747" w:type="pct"/>
          </w:tcPr>
          <w:p w14:paraId="5D427480" w14:textId="77777777" w:rsidR="005F49A2" w:rsidRDefault="005F49A2" w:rsidP="00591F38"/>
        </w:tc>
        <w:tc>
          <w:tcPr>
            <w:tcW w:w="552" w:type="pct"/>
          </w:tcPr>
          <w:p w14:paraId="597C3913" w14:textId="77777777" w:rsidR="005F49A2" w:rsidRDefault="005F49A2" w:rsidP="00591F38"/>
        </w:tc>
        <w:tc>
          <w:tcPr>
            <w:tcW w:w="618" w:type="pct"/>
          </w:tcPr>
          <w:p w14:paraId="0DA6814C" w14:textId="77777777" w:rsidR="005F49A2" w:rsidRDefault="005F49A2" w:rsidP="00591F38"/>
        </w:tc>
        <w:tc>
          <w:tcPr>
            <w:tcW w:w="1017" w:type="pct"/>
          </w:tcPr>
          <w:p w14:paraId="47BAE998" w14:textId="77777777" w:rsidR="005F49A2" w:rsidRDefault="005F49A2" w:rsidP="00591F38"/>
        </w:tc>
        <w:tc>
          <w:tcPr>
            <w:tcW w:w="1005" w:type="pct"/>
          </w:tcPr>
          <w:p w14:paraId="68A053C4" w14:textId="77777777" w:rsidR="005F49A2" w:rsidRDefault="005F49A2" w:rsidP="00591F38"/>
        </w:tc>
      </w:tr>
      <w:tr w:rsidR="005F49A2" w14:paraId="7849ED46" w14:textId="77777777" w:rsidTr="00591F38">
        <w:trPr>
          <w:trHeight w:val="575"/>
        </w:trPr>
        <w:tc>
          <w:tcPr>
            <w:tcW w:w="388" w:type="pct"/>
          </w:tcPr>
          <w:p w14:paraId="33EB53A5" w14:textId="77777777" w:rsidR="005F49A2" w:rsidRDefault="005F49A2" w:rsidP="00591F38"/>
        </w:tc>
        <w:tc>
          <w:tcPr>
            <w:tcW w:w="672" w:type="pct"/>
          </w:tcPr>
          <w:p w14:paraId="65F4A6FF" w14:textId="77777777" w:rsidR="005F49A2" w:rsidRDefault="005F49A2" w:rsidP="00591F38">
            <w:pPr>
              <w:jc w:val="center"/>
            </w:pPr>
            <w:r>
              <w:t>12</w:t>
            </w:r>
          </w:p>
        </w:tc>
        <w:tc>
          <w:tcPr>
            <w:tcW w:w="747" w:type="pct"/>
          </w:tcPr>
          <w:p w14:paraId="75B77E78" w14:textId="77777777" w:rsidR="005F49A2" w:rsidRDefault="005F49A2" w:rsidP="00591F38"/>
        </w:tc>
        <w:tc>
          <w:tcPr>
            <w:tcW w:w="552" w:type="pct"/>
          </w:tcPr>
          <w:p w14:paraId="1B7BA8C6" w14:textId="77777777" w:rsidR="005F49A2" w:rsidRDefault="005F49A2" w:rsidP="00591F38"/>
        </w:tc>
        <w:tc>
          <w:tcPr>
            <w:tcW w:w="618" w:type="pct"/>
          </w:tcPr>
          <w:p w14:paraId="72066C0C" w14:textId="77777777" w:rsidR="005F49A2" w:rsidRDefault="005F49A2" w:rsidP="00591F38"/>
        </w:tc>
        <w:tc>
          <w:tcPr>
            <w:tcW w:w="1017" w:type="pct"/>
          </w:tcPr>
          <w:p w14:paraId="7B6C0A6E" w14:textId="77777777" w:rsidR="005F49A2" w:rsidRDefault="005F49A2" w:rsidP="00591F38"/>
        </w:tc>
        <w:tc>
          <w:tcPr>
            <w:tcW w:w="1005" w:type="pct"/>
          </w:tcPr>
          <w:p w14:paraId="7AD92ABF" w14:textId="77777777" w:rsidR="005F49A2" w:rsidRDefault="005F49A2" w:rsidP="00591F38"/>
        </w:tc>
      </w:tr>
      <w:tr w:rsidR="005F49A2" w14:paraId="401881EE" w14:textId="77777777" w:rsidTr="00591F38">
        <w:trPr>
          <w:trHeight w:val="530"/>
        </w:trPr>
        <w:tc>
          <w:tcPr>
            <w:tcW w:w="388" w:type="pct"/>
          </w:tcPr>
          <w:p w14:paraId="47209B6D" w14:textId="77777777" w:rsidR="005F49A2" w:rsidRDefault="005F49A2" w:rsidP="00591F38"/>
        </w:tc>
        <w:tc>
          <w:tcPr>
            <w:tcW w:w="672" w:type="pct"/>
          </w:tcPr>
          <w:p w14:paraId="48F78E52" w14:textId="77777777" w:rsidR="005F49A2" w:rsidRDefault="005F49A2" w:rsidP="00591F38">
            <w:pPr>
              <w:jc w:val="center"/>
            </w:pPr>
            <w:r>
              <w:t>13</w:t>
            </w:r>
          </w:p>
        </w:tc>
        <w:tc>
          <w:tcPr>
            <w:tcW w:w="747" w:type="pct"/>
          </w:tcPr>
          <w:p w14:paraId="5C1BC4F1" w14:textId="77777777" w:rsidR="005F49A2" w:rsidRDefault="005F49A2" w:rsidP="00591F38"/>
        </w:tc>
        <w:tc>
          <w:tcPr>
            <w:tcW w:w="552" w:type="pct"/>
          </w:tcPr>
          <w:p w14:paraId="305F33A2" w14:textId="77777777" w:rsidR="005F49A2" w:rsidRDefault="005F49A2" w:rsidP="00591F38"/>
        </w:tc>
        <w:tc>
          <w:tcPr>
            <w:tcW w:w="618" w:type="pct"/>
          </w:tcPr>
          <w:p w14:paraId="4F4C9EC6" w14:textId="77777777" w:rsidR="005F49A2" w:rsidRDefault="005F49A2" w:rsidP="00591F38"/>
        </w:tc>
        <w:tc>
          <w:tcPr>
            <w:tcW w:w="1017" w:type="pct"/>
          </w:tcPr>
          <w:p w14:paraId="4973F25D" w14:textId="77777777" w:rsidR="005F49A2" w:rsidRPr="00B3694A" w:rsidRDefault="005F49A2" w:rsidP="00591F38">
            <w:pPr>
              <w:rPr>
                <w:b/>
              </w:rPr>
            </w:pPr>
          </w:p>
        </w:tc>
        <w:tc>
          <w:tcPr>
            <w:tcW w:w="1005" w:type="pct"/>
          </w:tcPr>
          <w:p w14:paraId="0025AADD" w14:textId="77777777" w:rsidR="005F49A2" w:rsidRPr="00B3694A" w:rsidRDefault="005F49A2" w:rsidP="00591F38">
            <w:pPr>
              <w:rPr>
                <w:b/>
              </w:rPr>
            </w:pPr>
          </w:p>
        </w:tc>
      </w:tr>
      <w:tr w:rsidR="005F49A2" w14:paraId="1F29B3D6" w14:textId="77777777" w:rsidTr="00591F38">
        <w:trPr>
          <w:trHeight w:val="530"/>
        </w:trPr>
        <w:tc>
          <w:tcPr>
            <w:tcW w:w="388" w:type="pct"/>
          </w:tcPr>
          <w:p w14:paraId="073D504C" w14:textId="77777777" w:rsidR="005F49A2" w:rsidRDefault="005F49A2" w:rsidP="00591F38"/>
        </w:tc>
        <w:tc>
          <w:tcPr>
            <w:tcW w:w="672" w:type="pct"/>
          </w:tcPr>
          <w:p w14:paraId="563E2463" w14:textId="77777777" w:rsidR="005F49A2" w:rsidRDefault="005F49A2" w:rsidP="00591F38">
            <w:pPr>
              <w:jc w:val="center"/>
            </w:pPr>
            <w:r>
              <w:t>14</w:t>
            </w:r>
          </w:p>
        </w:tc>
        <w:tc>
          <w:tcPr>
            <w:tcW w:w="747" w:type="pct"/>
          </w:tcPr>
          <w:p w14:paraId="2906CD52" w14:textId="77777777" w:rsidR="005F49A2" w:rsidRDefault="005F49A2" w:rsidP="00591F38"/>
        </w:tc>
        <w:tc>
          <w:tcPr>
            <w:tcW w:w="552" w:type="pct"/>
          </w:tcPr>
          <w:p w14:paraId="04FF9716" w14:textId="77777777" w:rsidR="005F49A2" w:rsidRDefault="005F49A2" w:rsidP="00591F38"/>
        </w:tc>
        <w:tc>
          <w:tcPr>
            <w:tcW w:w="618" w:type="pct"/>
          </w:tcPr>
          <w:p w14:paraId="5C53E7BB" w14:textId="77777777" w:rsidR="005F49A2" w:rsidRDefault="005F49A2" w:rsidP="00591F38"/>
        </w:tc>
        <w:tc>
          <w:tcPr>
            <w:tcW w:w="1017" w:type="pct"/>
          </w:tcPr>
          <w:p w14:paraId="19EDC861" w14:textId="77777777" w:rsidR="005F49A2" w:rsidRPr="00B3694A" w:rsidRDefault="005F49A2" w:rsidP="00591F38">
            <w:pPr>
              <w:rPr>
                <w:b/>
              </w:rPr>
            </w:pPr>
          </w:p>
        </w:tc>
        <w:tc>
          <w:tcPr>
            <w:tcW w:w="1005" w:type="pct"/>
          </w:tcPr>
          <w:p w14:paraId="522CE3BD" w14:textId="77777777" w:rsidR="005F49A2" w:rsidRPr="00B3694A" w:rsidRDefault="005F49A2" w:rsidP="00591F38">
            <w:pPr>
              <w:rPr>
                <w:b/>
              </w:rPr>
            </w:pPr>
          </w:p>
        </w:tc>
      </w:tr>
      <w:tr w:rsidR="005F49A2" w14:paraId="4D0BF697" w14:textId="77777777" w:rsidTr="00591F38">
        <w:trPr>
          <w:trHeight w:val="530"/>
        </w:trPr>
        <w:tc>
          <w:tcPr>
            <w:tcW w:w="388" w:type="pct"/>
          </w:tcPr>
          <w:p w14:paraId="1DE4DAFB" w14:textId="77777777" w:rsidR="005F49A2" w:rsidRDefault="005F49A2" w:rsidP="00591F38"/>
        </w:tc>
        <w:tc>
          <w:tcPr>
            <w:tcW w:w="672" w:type="pct"/>
          </w:tcPr>
          <w:p w14:paraId="6FB19889" w14:textId="77777777" w:rsidR="005F49A2" w:rsidRDefault="005F49A2" w:rsidP="00591F38">
            <w:pPr>
              <w:jc w:val="center"/>
            </w:pPr>
            <w:r>
              <w:t>15</w:t>
            </w:r>
          </w:p>
        </w:tc>
        <w:tc>
          <w:tcPr>
            <w:tcW w:w="747" w:type="pct"/>
          </w:tcPr>
          <w:p w14:paraId="0B35B94F" w14:textId="77777777" w:rsidR="005F49A2" w:rsidRDefault="005F49A2" w:rsidP="00591F38"/>
        </w:tc>
        <w:tc>
          <w:tcPr>
            <w:tcW w:w="552" w:type="pct"/>
          </w:tcPr>
          <w:p w14:paraId="2712B0CA" w14:textId="77777777" w:rsidR="005F49A2" w:rsidRDefault="005F49A2" w:rsidP="00591F38"/>
        </w:tc>
        <w:tc>
          <w:tcPr>
            <w:tcW w:w="618" w:type="pct"/>
          </w:tcPr>
          <w:p w14:paraId="13150BDA" w14:textId="77777777" w:rsidR="005F49A2" w:rsidRDefault="005F49A2" w:rsidP="00591F38"/>
        </w:tc>
        <w:tc>
          <w:tcPr>
            <w:tcW w:w="1017" w:type="pct"/>
          </w:tcPr>
          <w:p w14:paraId="29747533" w14:textId="77777777" w:rsidR="005F49A2" w:rsidRPr="00B3694A" w:rsidRDefault="005F49A2" w:rsidP="00591F38">
            <w:pPr>
              <w:rPr>
                <w:b/>
              </w:rPr>
            </w:pPr>
          </w:p>
        </w:tc>
        <w:tc>
          <w:tcPr>
            <w:tcW w:w="1005" w:type="pct"/>
          </w:tcPr>
          <w:p w14:paraId="73C0F88C" w14:textId="77777777" w:rsidR="005F49A2" w:rsidRPr="00B3694A" w:rsidRDefault="005F49A2" w:rsidP="00591F38">
            <w:pPr>
              <w:rPr>
                <w:b/>
              </w:rPr>
            </w:pPr>
          </w:p>
        </w:tc>
      </w:tr>
      <w:tr w:rsidR="005F49A2" w:rsidRPr="004233BE" w14:paraId="32B93D20" w14:textId="77777777" w:rsidTr="00591F38">
        <w:trPr>
          <w:trHeight w:val="530"/>
        </w:trPr>
        <w:tc>
          <w:tcPr>
            <w:tcW w:w="388" w:type="pct"/>
          </w:tcPr>
          <w:p w14:paraId="5EFFCFB4" w14:textId="77777777" w:rsidR="005F49A2" w:rsidRPr="004233BE" w:rsidRDefault="005F49A2" w:rsidP="00591F38">
            <w:pPr>
              <w:rPr>
                <w:sz w:val="20"/>
                <w:szCs w:val="20"/>
              </w:rPr>
            </w:pPr>
          </w:p>
        </w:tc>
        <w:tc>
          <w:tcPr>
            <w:tcW w:w="672" w:type="pct"/>
          </w:tcPr>
          <w:p w14:paraId="16D005DC" w14:textId="77777777" w:rsidR="005F49A2" w:rsidRPr="004233BE" w:rsidRDefault="005F49A2" w:rsidP="00591F38">
            <w:pPr>
              <w:jc w:val="center"/>
              <w:rPr>
                <w:sz w:val="20"/>
                <w:szCs w:val="20"/>
              </w:rPr>
            </w:pPr>
            <w:r w:rsidRPr="004233BE">
              <w:rPr>
                <w:sz w:val="20"/>
                <w:szCs w:val="20"/>
              </w:rPr>
              <w:t>16</w:t>
            </w:r>
          </w:p>
        </w:tc>
        <w:tc>
          <w:tcPr>
            <w:tcW w:w="747" w:type="pct"/>
          </w:tcPr>
          <w:p w14:paraId="457D77C1" w14:textId="77777777" w:rsidR="005F49A2" w:rsidRPr="004233BE" w:rsidRDefault="005F49A2" w:rsidP="00591F38">
            <w:pPr>
              <w:rPr>
                <w:sz w:val="20"/>
                <w:szCs w:val="20"/>
              </w:rPr>
            </w:pPr>
          </w:p>
        </w:tc>
        <w:tc>
          <w:tcPr>
            <w:tcW w:w="552" w:type="pct"/>
          </w:tcPr>
          <w:p w14:paraId="7967EEBE" w14:textId="77777777" w:rsidR="005F49A2" w:rsidRPr="004233BE" w:rsidRDefault="005F49A2" w:rsidP="00591F38">
            <w:pPr>
              <w:rPr>
                <w:sz w:val="20"/>
                <w:szCs w:val="20"/>
              </w:rPr>
            </w:pPr>
          </w:p>
        </w:tc>
        <w:tc>
          <w:tcPr>
            <w:tcW w:w="618" w:type="pct"/>
          </w:tcPr>
          <w:p w14:paraId="233EE1BE" w14:textId="77777777" w:rsidR="005F49A2" w:rsidRPr="004233BE" w:rsidRDefault="005F49A2" w:rsidP="00591F38">
            <w:pPr>
              <w:rPr>
                <w:sz w:val="20"/>
                <w:szCs w:val="20"/>
              </w:rPr>
            </w:pPr>
          </w:p>
        </w:tc>
        <w:tc>
          <w:tcPr>
            <w:tcW w:w="1017" w:type="pct"/>
          </w:tcPr>
          <w:p w14:paraId="3E66ED19" w14:textId="77777777" w:rsidR="005F49A2" w:rsidRPr="004233BE" w:rsidRDefault="005F49A2" w:rsidP="00591F38">
            <w:pPr>
              <w:rPr>
                <w:b/>
                <w:sz w:val="20"/>
                <w:szCs w:val="20"/>
              </w:rPr>
            </w:pPr>
          </w:p>
        </w:tc>
        <w:tc>
          <w:tcPr>
            <w:tcW w:w="1005" w:type="pct"/>
          </w:tcPr>
          <w:p w14:paraId="0DA29EF8" w14:textId="77777777" w:rsidR="005F49A2" w:rsidRPr="004233BE" w:rsidRDefault="005F49A2" w:rsidP="00591F38">
            <w:pPr>
              <w:rPr>
                <w:b/>
                <w:sz w:val="20"/>
                <w:szCs w:val="20"/>
              </w:rPr>
            </w:pPr>
          </w:p>
        </w:tc>
      </w:tr>
      <w:tr w:rsidR="005F49A2" w:rsidRPr="004233BE" w14:paraId="256A90D6" w14:textId="77777777" w:rsidTr="00591F38">
        <w:trPr>
          <w:trHeight w:val="530"/>
        </w:trPr>
        <w:tc>
          <w:tcPr>
            <w:tcW w:w="388" w:type="pct"/>
          </w:tcPr>
          <w:p w14:paraId="076AD4D6" w14:textId="77777777" w:rsidR="005F49A2" w:rsidRPr="004233BE" w:rsidRDefault="005F49A2" w:rsidP="00591F38">
            <w:pPr>
              <w:rPr>
                <w:sz w:val="20"/>
                <w:szCs w:val="20"/>
              </w:rPr>
            </w:pPr>
          </w:p>
        </w:tc>
        <w:tc>
          <w:tcPr>
            <w:tcW w:w="672" w:type="pct"/>
          </w:tcPr>
          <w:p w14:paraId="2873D1E9" w14:textId="77777777" w:rsidR="005F49A2" w:rsidRPr="004233BE" w:rsidRDefault="005F49A2" w:rsidP="00591F38">
            <w:pPr>
              <w:jc w:val="center"/>
              <w:rPr>
                <w:sz w:val="20"/>
                <w:szCs w:val="20"/>
              </w:rPr>
            </w:pPr>
            <w:r>
              <w:rPr>
                <w:sz w:val="20"/>
                <w:szCs w:val="20"/>
              </w:rPr>
              <w:t>17</w:t>
            </w:r>
          </w:p>
        </w:tc>
        <w:tc>
          <w:tcPr>
            <w:tcW w:w="747" w:type="pct"/>
          </w:tcPr>
          <w:p w14:paraId="7E48AC03" w14:textId="77777777" w:rsidR="005F49A2" w:rsidRPr="004233BE" w:rsidRDefault="005F49A2" w:rsidP="00591F38">
            <w:pPr>
              <w:rPr>
                <w:sz w:val="20"/>
                <w:szCs w:val="20"/>
              </w:rPr>
            </w:pPr>
          </w:p>
        </w:tc>
        <w:tc>
          <w:tcPr>
            <w:tcW w:w="552" w:type="pct"/>
          </w:tcPr>
          <w:p w14:paraId="44FBDD29" w14:textId="77777777" w:rsidR="005F49A2" w:rsidRPr="004233BE" w:rsidRDefault="005F49A2" w:rsidP="00591F38">
            <w:pPr>
              <w:rPr>
                <w:sz w:val="20"/>
                <w:szCs w:val="20"/>
              </w:rPr>
            </w:pPr>
          </w:p>
        </w:tc>
        <w:tc>
          <w:tcPr>
            <w:tcW w:w="618" w:type="pct"/>
          </w:tcPr>
          <w:p w14:paraId="0D60414B" w14:textId="77777777" w:rsidR="005F49A2" w:rsidRPr="004233BE" w:rsidRDefault="005F49A2" w:rsidP="00591F38">
            <w:pPr>
              <w:rPr>
                <w:sz w:val="20"/>
                <w:szCs w:val="20"/>
              </w:rPr>
            </w:pPr>
          </w:p>
        </w:tc>
        <w:tc>
          <w:tcPr>
            <w:tcW w:w="1017" w:type="pct"/>
          </w:tcPr>
          <w:p w14:paraId="40B59417" w14:textId="77777777" w:rsidR="005F49A2" w:rsidRPr="004233BE" w:rsidRDefault="005F49A2" w:rsidP="00591F38">
            <w:pPr>
              <w:rPr>
                <w:b/>
                <w:sz w:val="20"/>
                <w:szCs w:val="20"/>
              </w:rPr>
            </w:pPr>
          </w:p>
        </w:tc>
        <w:tc>
          <w:tcPr>
            <w:tcW w:w="1005" w:type="pct"/>
          </w:tcPr>
          <w:p w14:paraId="10FF18E4" w14:textId="77777777" w:rsidR="005F49A2" w:rsidRPr="004233BE" w:rsidRDefault="005F49A2" w:rsidP="00591F38">
            <w:pPr>
              <w:rPr>
                <w:b/>
                <w:sz w:val="20"/>
                <w:szCs w:val="20"/>
              </w:rPr>
            </w:pPr>
          </w:p>
        </w:tc>
      </w:tr>
      <w:tr w:rsidR="005F49A2" w:rsidRPr="004233BE" w14:paraId="1A649E89" w14:textId="77777777" w:rsidTr="00591F38">
        <w:trPr>
          <w:trHeight w:val="530"/>
        </w:trPr>
        <w:tc>
          <w:tcPr>
            <w:tcW w:w="388" w:type="pct"/>
          </w:tcPr>
          <w:p w14:paraId="04432974" w14:textId="77777777" w:rsidR="005F49A2" w:rsidRPr="004233BE" w:rsidRDefault="005F49A2" w:rsidP="00591F38">
            <w:pPr>
              <w:rPr>
                <w:sz w:val="20"/>
                <w:szCs w:val="20"/>
              </w:rPr>
            </w:pPr>
          </w:p>
        </w:tc>
        <w:tc>
          <w:tcPr>
            <w:tcW w:w="672" w:type="pct"/>
          </w:tcPr>
          <w:p w14:paraId="1F99F41A" w14:textId="77777777" w:rsidR="005F49A2" w:rsidRPr="004233BE" w:rsidRDefault="005F49A2" w:rsidP="00591F38">
            <w:pPr>
              <w:jc w:val="center"/>
              <w:rPr>
                <w:sz w:val="20"/>
                <w:szCs w:val="20"/>
              </w:rPr>
            </w:pPr>
            <w:r>
              <w:rPr>
                <w:sz w:val="20"/>
                <w:szCs w:val="20"/>
              </w:rPr>
              <w:t>18</w:t>
            </w:r>
          </w:p>
        </w:tc>
        <w:tc>
          <w:tcPr>
            <w:tcW w:w="747" w:type="pct"/>
          </w:tcPr>
          <w:p w14:paraId="70363C52" w14:textId="77777777" w:rsidR="005F49A2" w:rsidRPr="004233BE" w:rsidRDefault="005F49A2" w:rsidP="00591F38">
            <w:pPr>
              <w:rPr>
                <w:sz w:val="20"/>
                <w:szCs w:val="20"/>
              </w:rPr>
            </w:pPr>
          </w:p>
        </w:tc>
        <w:tc>
          <w:tcPr>
            <w:tcW w:w="552" w:type="pct"/>
          </w:tcPr>
          <w:p w14:paraId="6BB4FC70" w14:textId="77777777" w:rsidR="005F49A2" w:rsidRPr="004233BE" w:rsidRDefault="005F49A2" w:rsidP="00591F38">
            <w:pPr>
              <w:rPr>
                <w:sz w:val="20"/>
                <w:szCs w:val="20"/>
              </w:rPr>
            </w:pPr>
          </w:p>
        </w:tc>
        <w:tc>
          <w:tcPr>
            <w:tcW w:w="618" w:type="pct"/>
          </w:tcPr>
          <w:p w14:paraId="19454F33" w14:textId="77777777" w:rsidR="005F49A2" w:rsidRPr="004233BE" w:rsidRDefault="005F49A2" w:rsidP="00591F38">
            <w:pPr>
              <w:rPr>
                <w:sz w:val="20"/>
                <w:szCs w:val="20"/>
              </w:rPr>
            </w:pPr>
          </w:p>
        </w:tc>
        <w:tc>
          <w:tcPr>
            <w:tcW w:w="1017" w:type="pct"/>
          </w:tcPr>
          <w:p w14:paraId="12FC0A68" w14:textId="77777777" w:rsidR="005F49A2" w:rsidRPr="004233BE" w:rsidRDefault="005F49A2" w:rsidP="00591F38">
            <w:pPr>
              <w:rPr>
                <w:b/>
                <w:sz w:val="20"/>
                <w:szCs w:val="20"/>
              </w:rPr>
            </w:pPr>
          </w:p>
        </w:tc>
        <w:tc>
          <w:tcPr>
            <w:tcW w:w="1005" w:type="pct"/>
          </w:tcPr>
          <w:p w14:paraId="6A27F811" w14:textId="77777777" w:rsidR="005F49A2" w:rsidRPr="004233BE" w:rsidRDefault="005F49A2" w:rsidP="00591F38">
            <w:pPr>
              <w:rPr>
                <w:b/>
                <w:sz w:val="20"/>
                <w:szCs w:val="20"/>
              </w:rPr>
            </w:pPr>
          </w:p>
        </w:tc>
      </w:tr>
      <w:tr w:rsidR="005F49A2" w:rsidRPr="004233BE" w14:paraId="40CEB7D3" w14:textId="77777777" w:rsidTr="00591F38">
        <w:trPr>
          <w:trHeight w:val="530"/>
        </w:trPr>
        <w:tc>
          <w:tcPr>
            <w:tcW w:w="388" w:type="pct"/>
          </w:tcPr>
          <w:p w14:paraId="2122B900" w14:textId="77777777" w:rsidR="005F49A2" w:rsidRPr="004233BE" w:rsidRDefault="005F49A2" w:rsidP="00591F38">
            <w:pPr>
              <w:rPr>
                <w:sz w:val="20"/>
                <w:szCs w:val="20"/>
              </w:rPr>
            </w:pPr>
          </w:p>
        </w:tc>
        <w:tc>
          <w:tcPr>
            <w:tcW w:w="672" w:type="pct"/>
          </w:tcPr>
          <w:p w14:paraId="4C1FF690" w14:textId="77777777" w:rsidR="005F49A2" w:rsidRPr="004233BE" w:rsidRDefault="005F49A2" w:rsidP="00591F38">
            <w:pPr>
              <w:jc w:val="center"/>
              <w:rPr>
                <w:sz w:val="20"/>
                <w:szCs w:val="20"/>
              </w:rPr>
            </w:pPr>
            <w:r>
              <w:rPr>
                <w:sz w:val="20"/>
                <w:szCs w:val="20"/>
              </w:rPr>
              <w:t>19</w:t>
            </w:r>
          </w:p>
        </w:tc>
        <w:tc>
          <w:tcPr>
            <w:tcW w:w="747" w:type="pct"/>
          </w:tcPr>
          <w:p w14:paraId="0142C9AF" w14:textId="77777777" w:rsidR="005F49A2" w:rsidRPr="004233BE" w:rsidRDefault="005F49A2" w:rsidP="00591F38">
            <w:pPr>
              <w:rPr>
                <w:sz w:val="20"/>
                <w:szCs w:val="20"/>
              </w:rPr>
            </w:pPr>
          </w:p>
        </w:tc>
        <w:tc>
          <w:tcPr>
            <w:tcW w:w="552" w:type="pct"/>
          </w:tcPr>
          <w:p w14:paraId="7A3FEA1B" w14:textId="77777777" w:rsidR="005F49A2" w:rsidRPr="004233BE" w:rsidRDefault="005F49A2" w:rsidP="00591F38">
            <w:pPr>
              <w:rPr>
                <w:sz w:val="20"/>
                <w:szCs w:val="20"/>
              </w:rPr>
            </w:pPr>
          </w:p>
        </w:tc>
        <w:tc>
          <w:tcPr>
            <w:tcW w:w="618" w:type="pct"/>
          </w:tcPr>
          <w:p w14:paraId="0104FC1C" w14:textId="77777777" w:rsidR="005F49A2" w:rsidRPr="004233BE" w:rsidRDefault="005F49A2" w:rsidP="00591F38">
            <w:pPr>
              <w:rPr>
                <w:sz w:val="20"/>
                <w:szCs w:val="20"/>
              </w:rPr>
            </w:pPr>
          </w:p>
        </w:tc>
        <w:tc>
          <w:tcPr>
            <w:tcW w:w="1017" w:type="pct"/>
          </w:tcPr>
          <w:p w14:paraId="37486536" w14:textId="77777777" w:rsidR="005F49A2" w:rsidRPr="004233BE" w:rsidRDefault="005F49A2" w:rsidP="00591F38">
            <w:pPr>
              <w:rPr>
                <w:b/>
                <w:sz w:val="20"/>
                <w:szCs w:val="20"/>
              </w:rPr>
            </w:pPr>
          </w:p>
        </w:tc>
        <w:tc>
          <w:tcPr>
            <w:tcW w:w="1005" w:type="pct"/>
          </w:tcPr>
          <w:p w14:paraId="6F5F9471" w14:textId="77777777" w:rsidR="005F49A2" w:rsidRPr="004233BE" w:rsidRDefault="005F49A2" w:rsidP="00591F38">
            <w:pPr>
              <w:rPr>
                <w:b/>
                <w:sz w:val="20"/>
                <w:szCs w:val="20"/>
              </w:rPr>
            </w:pPr>
          </w:p>
        </w:tc>
      </w:tr>
      <w:tr w:rsidR="005F49A2" w:rsidRPr="004233BE" w14:paraId="160419F9" w14:textId="77777777" w:rsidTr="00591F38">
        <w:trPr>
          <w:trHeight w:val="530"/>
        </w:trPr>
        <w:tc>
          <w:tcPr>
            <w:tcW w:w="388" w:type="pct"/>
          </w:tcPr>
          <w:p w14:paraId="556EEE65" w14:textId="77777777" w:rsidR="005F49A2" w:rsidRPr="004233BE" w:rsidRDefault="005F49A2" w:rsidP="00591F38">
            <w:pPr>
              <w:rPr>
                <w:sz w:val="20"/>
                <w:szCs w:val="20"/>
              </w:rPr>
            </w:pPr>
          </w:p>
        </w:tc>
        <w:tc>
          <w:tcPr>
            <w:tcW w:w="672" w:type="pct"/>
          </w:tcPr>
          <w:p w14:paraId="1BBC833E" w14:textId="77777777" w:rsidR="005F49A2" w:rsidRPr="004233BE" w:rsidRDefault="005F49A2" w:rsidP="00591F38">
            <w:pPr>
              <w:jc w:val="center"/>
              <w:rPr>
                <w:sz w:val="20"/>
                <w:szCs w:val="20"/>
              </w:rPr>
            </w:pPr>
            <w:r>
              <w:rPr>
                <w:sz w:val="20"/>
                <w:szCs w:val="20"/>
              </w:rPr>
              <w:t>20</w:t>
            </w:r>
          </w:p>
        </w:tc>
        <w:tc>
          <w:tcPr>
            <w:tcW w:w="747" w:type="pct"/>
          </w:tcPr>
          <w:p w14:paraId="2A03A03D" w14:textId="77777777" w:rsidR="005F49A2" w:rsidRPr="004233BE" w:rsidRDefault="005F49A2" w:rsidP="00591F38">
            <w:pPr>
              <w:rPr>
                <w:sz w:val="20"/>
                <w:szCs w:val="20"/>
              </w:rPr>
            </w:pPr>
          </w:p>
        </w:tc>
        <w:tc>
          <w:tcPr>
            <w:tcW w:w="552" w:type="pct"/>
          </w:tcPr>
          <w:p w14:paraId="68271F45" w14:textId="77777777" w:rsidR="005F49A2" w:rsidRPr="004233BE" w:rsidRDefault="005F49A2" w:rsidP="00591F38">
            <w:pPr>
              <w:rPr>
                <w:sz w:val="20"/>
                <w:szCs w:val="20"/>
              </w:rPr>
            </w:pPr>
          </w:p>
        </w:tc>
        <w:tc>
          <w:tcPr>
            <w:tcW w:w="618" w:type="pct"/>
          </w:tcPr>
          <w:p w14:paraId="3FE79579" w14:textId="77777777" w:rsidR="005F49A2" w:rsidRPr="004233BE" w:rsidRDefault="005F49A2" w:rsidP="00591F38">
            <w:pPr>
              <w:rPr>
                <w:sz w:val="20"/>
                <w:szCs w:val="20"/>
              </w:rPr>
            </w:pPr>
          </w:p>
        </w:tc>
        <w:tc>
          <w:tcPr>
            <w:tcW w:w="1017" w:type="pct"/>
          </w:tcPr>
          <w:p w14:paraId="325E2304" w14:textId="77777777" w:rsidR="005F49A2" w:rsidRPr="004233BE" w:rsidRDefault="005F49A2" w:rsidP="00591F38">
            <w:pPr>
              <w:rPr>
                <w:b/>
                <w:sz w:val="20"/>
                <w:szCs w:val="20"/>
              </w:rPr>
            </w:pPr>
          </w:p>
        </w:tc>
        <w:tc>
          <w:tcPr>
            <w:tcW w:w="1005" w:type="pct"/>
          </w:tcPr>
          <w:p w14:paraId="6072250C" w14:textId="77777777" w:rsidR="005F49A2" w:rsidRPr="004233BE" w:rsidRDefault="005F49A2" w:rsidP="00591F38">
            <w:pPr>
              <w:rPr>
                <w:b/>
                <w:sz w:val="20"/>
                <w:szCs w:val="20"/>
              </w:rPr>
            </w:pPr>
          </w:p>
        </w:tc>
      </w:tr>
      <w:tr w:rsidR="005F49A2" w:rsidRPr="004233BE" w14:paraId="6BA1E3C7" w14:textId="77777777" w:rsidTr="00591F38">
        <w:trPr>
          <w:trHeight w:val="530"/>
        </w:trPr>
        <w:tc>
          <w:tcPr>
            <w:tcW w:w="388" w:type="pct"/>
          </w:tcPr>
          <w:p w14:paraId="36652C6A" w14:textId="77777777" w:rsidR="005F49A2" w:rsidRPr="004233BE" w:rsidRDefault="005F49A2" w:rsidP="00591F38">
            <w:pPr>
              <w:rPr>
                <w:sz w:val="20"/>
                <w:szCs w:val="20"/>
              </w:rPr>
            </w:pPr>
          </w:p>
        </w:tc>
        <w:tc>
          <w:tcPr>
            <w:tcW w:w="672" w:type="pct"/>
          </w:tcPr>
          <w:p w14:paraId="6265B8DF" w14:textId="77777777" w:rsidR="005F49A2" w:rsidRPr="004233BE" w:rsidRDefault="005F49A2" w:rsidP="00591F38">
            <w:pPr>
              <w:jc w:val="center"/>
              <w:rPr>
                <w:sz w:val="20"/>
                <w:szCs w:val="20"/>
              </w:rPr>
            </w:pPr>
            <w:r>
              <w:rPr>
                <w:sz w:val="20"/>
                <w:szCs w:val="20"/>
              </w:rPr>
              <w:t>21</w:t>
            </w:r>
          </w:p>
        </w:tc>
        <w:tc>
          <w:tcPr>
            <w:tcW w:w="747" w:type="pct"/>
          </w:tcPr>
          <w:p w14:paraId="73721F19" w14:textId="77777777" w:rsidR="005F49A2" w:rsidRPr="004233BE" w:rsidRDefault="005F49A2" w:rsidP="00591F38">
            <w:pPr>
              <w:rPr>
                <w:sz w:val="20"/>
                <w:szCs w:val="20"/>
              </w:rPr>
            </w:pPr>
          </w:p>
        </w:tc>
        <w:tc>
          <w:tcPr>
            <w:tcW w:w="552" w:type="pct"/>
          </w:tcPr>
          <w:p w14:paraId="7C1FE4FC" w14:textId="77777777" w:rsidR="005F49A2" w:rsidRPr="004233BE" w:rsidRDefault="005F49A2" w:rsidP="00591F38">
            <w:pPr>
              <w:rPr>
                <w:sz w:val="20"/>
                <w:szCs w:val="20"/>
              </w:rPr>
            </w:pPr>
          </w:p>
        </w:tc>
        <w:tc>
          <w:tcPr>
            <w:tcW w:w="618" w:type="pct"/>
          </w:tcPr>
          <w:p w14:paraId="6EA08EC1" w14:textId="77777777" w:rsidR="005F49A2" w:rsidRPr="004233BE" w:rsidRDefault="005F49A2" w:rsidP="00591F38">
            <w:pPr>
              <w:rPr>
                <w:sz w:val="20"/>
                <w:szCs w:val="20"/>
              </w:rPr>
            </w:pPr>
          </w:p>
        </w:tc>
        <w:tc>
          <w:tcPr>
            <w:tcW w:w="1017" w:type="pct"/>
          </w:tcPr>
          <w:p w14:paraId="20918205" w14:textId="77777777" w:rsidR="005F49A2" w:rsidRPr="004233BE" w:rsidRDefault="005F49A2" w:rsidP="00591F38">
            <w:pPr>
              <w:rPr>
                <w:b/>
                <w:sz w:val="20"/>
                <w:szCs w:val="20"/>
              </w:rPr>
            </w:pPr>
          </w:p>
        </w:tc>
        <w:tc>
          <w:tcPr>
            <w:tcW w:w="1005" w:type="pct"/>
          </w:tcPr>
          <w:p w14:paraId="0935AFB2" w14:textId="77777777" w:rsidR="005F49A2" w:rsidRPr="004233BE" w:rsidRDefault="005F49A2" w:rsidP="00591F38">
            <w:pPr>
              <w:rPr>
                <w:b/>
                <w:sz w:val="20"/>
                <w:szCs w:val="20"/>
              </w:rPr>
            </w:pPr>
          </w:p>
        </w:tc>
      </w:tr>
      <w:tr w:rsidR="005F49A2" w:rsidRPr="004233BE" w14:paraId="203FC9AB" w14:textId="77777777" w:rsidTr="00591F38">
        <w:trPr>
          <w:trHeight w:val="530"/>
        </w:trPr>
        <w:tc>
          <w:tcPr>
            <w:tcW w:w="388" w:type="pct"/>
          </w:tcPr>
          <w:p w14:paraId="3CAC3843" w14:textId="77777777" w:rsidR="005F49A2" w:rsidRPr="004233BE" w:rsidRDefault="005F49A2" w:rsidP="00591F38">
            <w:pPr>
              <w:rPr>
                <w:sz w:val="20"/>
                <w:szCs w:val="20"/>
              </w:rPr>
            </w:pPr>
          </w:p>
        </w:tc>
        <w:tc>
          <w:tcPr>
            <w:tcW w:w="672" w:type="pct"/>
          </w:tcPr>
          <w:p w14:paraId="35F73CA1" w14:textId="77777777" w:rsidR="005F49A2" w:rsidRPr="004233BE" w:rsidRDefault="005F49A2" w:rsidP="00591F38">
            <w:pPr>
              <w:jc w:val="center"/>
              <w:rPr>
                <w:sz w:val="20"/>
                <w:szCs w:val="20"/>
              </w:rPr>
            </w:pPr>
            <w:r>
              <w:rPr>
                <w:sz w:val="20"/>
                <w:szCs w:val="20"/>
              </w:rPr>
              <w:t>22</w:t>
            </w:r>
          </w:p>
        </w:tc>
        <w:tc>
          <w:tcPr>
            <w:tcW w:w="747" w:type="pct"/>
          </w:tcPr>
          <w:p w14:paraId="68DDC19B" w14:textId="77777777" w:rsidR="005F49A2" w:rsidRPr="004233BE" w:rsidRDefault="005F49A2" w:rsidP="00591F38">
            <w:pPr>
              <w:rPr>
                <w:sz w:val="20"/>
                <w:szCs w:val="20"/>
              </w:rPr>
            </w:pPr>
          </w:p>
        </w:tc>
        <w:tc>
          <w:tcPr>
            <w:tcW w:w="552" w:type="pct"/>
          </w:tcPr>
          <w:p w14:paraId="1E593E56" w14:textId="77777777" w:rsidR="005F49A2" w:rsidRPr="004233BE" w:rsidRDefault="005F49A2" w:rsidP="00591F38">
            <w:pPr>
              <w:rPr>
                <w:sz w:val="20"/>
                <w:szCs w:val="20"/>
              </w:rPr>
            </w:pPr>
          </w:p>
        </w:tc>
        <w:tc>
          <w:tcPr>
            <w:tcW w:w="618" w:type="pct"/>
          </w:tcPr>
          <w:p w14:paraId="60B939B7" w14:textId="77777777" w:rsidR="005F49A2" w:rsidRPr="004233BE" w:rsidRDefault="005F49A2" w:rsidP="00591F38">
            <w:pPr>
              <w:rPr>
                <w:sz w:val="20"/>
                <w:szCs w:val="20"/>
              </w:rPr>
            </w:pPr>
          </w:p>
        </w:tc>
        <w:tc>
          <w:tcPr>
            <w:tcW w:w="1017" w:type="pct"/>
          </w:tcPr>
          <w:p w14:paraId="3CE7FE78" w14:textId="77777777" w:rsidR="005F49A2" w:rsidRPr="004233BE" w:rsidRDefault="005F49A2" w:rsidP="00591F38">
            <w:pPr>
              <w:rPr>
                <w:b/>
                <w:sz w:val="20"/>
                <w:szCs w:val="20"/>
              </w:rPr>
            </w:pPr>
          </w:p>
        </w:tc>
        <w:tc>
          <w:tcPr>
            <w:tcW w:w="1005" w:type="pct"/>
          </w:tcPr>
          <w:p w14:paraId="2B1A0508" w14:textId="77777777" w:rsidR="005F49A2" w:rsidRPr="004233BE" w:rsidRDefault="005F49A2" w:rsidP="00591F38">
            <w:pPr>
              <w:rPr>
                <w:b/>
                <w:sz w:val="20"/>
                <w:szCs w:val="20"/>
              </w:rPr>
            </w:pPr>
          </w:p>
        </w:tc>
      </w:tr>
      <w:tr w:rsidR="005F49A2" w:rsidRPr="004233BE" w14:paraId="5074CFBA" w14:textId="77777777" w:rsidTr="00591F38">
        <w:trPr>
          <w:trHeight w:val="530"/>
        </w:trPr>
        <w:tc>
          <w:tcPr>
            <w:tcW w:w="388" w:type="pct"/>
          </w:tcPr>
          <w:p w14:paraId="4A285CB8" w14:textId="77777777" w:rsidR="005F49A2" w:rsidRPr="004233BE" w:rsidRDefault="005F49A2" w:rsidP="00591F38">
            <w:pPr>
              <w:rPr>
                <w:sz w:val="20"/>
                <w:szCs w:val="20"/>
              </w:rPr>
            </w:pPr>
          </w:p>
        </w:tc>
        <w:tc>
          <w:tcPr>
            <w:tcW w:w="672" w:type="pct"/>
          </w:tcPr>
          <w:p w14:paraId="0979D025" w14:textId="77777777" w:rsidR="005F49A2" w:rsidRDefault="005F49A2" w:rsidP="00591F38">
            <w:pPr>
              <w:jc w:val="center"/>
              <w:rPr>
                <w:sz w:val="20"/>
                <w:szCs w:val="20"/>
              </w:rPr>
            </w:pPr>
            <w:r>
              <w:rPr>
                <w:sz w:val="20"/>
                <w:szCs w:val="20"/>
              </w:rPr>
              <w:t>23</w:t>
            </w:r>
          </w:p>
        </w:tc>
        <w:tc>
          <w:tcPr>
            <w:tcW w:w="747" w:type="pct"/>
          </w:tcPr>
          <w:p w14:paraId="2132D1FE" w14:textId="77777777" w:rsidR="005F49A2" w:rsidRPr="004233BE" w:rsidRDefault="005F49A2" w:rsidP="00591F38">
            <w:pPr>
              <w:rPr>
                <w:sz w:val="20"/>
                <w:szCs w:val="20"/>
              </w:rPr>
            </w:pPr>
          </w:p>
        </w:tc>
        <w:tc>
          <w:tcPr>
            <w:tcW w:w="552" w:type="pct"/>
          </w:tcPr>
          <w:p w14:paraId="35AEB9BE" w14:textId="77777777" w:rsidR="005F49A2" w:rsidRPr="004233BE" w:rsidRDefault="005F49A2" w:rsidP="00591F38">
            <w:pPr>
              <w:rPr>
                <w:sz w:val="20"/>
                <w:szCs w:val="20"/>
              </w:rPr>
            </w:pPr>
          </w:p>
        </w:tc>
        <w:tc>
          <w:tcPr>
            <w:tcW w:w="618" w:type="pct"/>
          </w:tcPr>
          <w:p w14:paraId="0B1877E8" w14:textId="77777777" w:rsidR="005F49A2" w:rsidRPr="004233BE" w:rsidRDefault="005F49A2" w:rsidP="00591F38">
            <w:pPr>
              <w:rPr>
                <w:sz w:val="20"/>
                <w:szCs w:val="20"/>
              </w:rPr>
            </w:pPr>
          </w:p>
        </w:tc>
        <w:tc>
          <w:tcPr>
            <w:tcW w:w="1017" w:type="pct"/>
          </w:tcPr>
          <w:p w14:paraId="44BCB681" w14:textId="77777777" w:rsidR="005F49A2" w:rsidRPr="004233BE" w:rsidRDefault="005F49A2" w:rsidP="00591F38">
            <w:pPr>
              <w:rPr>
                <w:b/>
                <w:sz w:val="20"/>
                <w:szCs w:val="20"/>
              </w:rPr>
            </w:pPr>
          </w:p>
        </w:tc>
        <w:tc>
          <w:tcPr>
            <w:tcW w:w="1005" w:type="pct"/>
          </w:tcPr>
          <w:p w14:paraId="16B247AF" w14:textId="77777777" w:rsidR="005F49A2" w:rsidRPr="004233BE" w:rsidRDefault="005F49A2" w:rsidP="00591F38">
            <w:pPr>
              <w:rPr>
                <w:b/>
                <w:sz w:val="20"/>
                <w:szCs w:val="20"/>
              </w:rPr>
            </w:pPr>
          </w:p>
        </w:tc>
      </w:tr>
      <w:tr w:rsidR="005F49A2" w:rsidRPr="004233BE" w14:paraId="283A74EB" w14:textId="77777777" w:rsidTr="00591F38">
        <w:trPr>
          <w:trHeight w:val="530"/>
        </w:trPr>
        <w:tc>
          <w:tcPr>
            <w:tcW w:w="388" w:type="pct"/>
          </w:tcPr>
          <w:p w14:paraId="2C51F387" w14:textId="77777777" w:rsidR="005F49A2" w:rsidRPr="004233BE" w:rsidRDefault="005F49A2" w:rsidP="00591F38">
            <w:pPr>
              <w:rPr>
                <w:sz w:val="20"/>
                <w:szCs w:val="20"/>
              </w:rPr>
            </w:pPr>
          </w:p>
        </w:tc>
        <w:tc>
          <w:tcPr>
            <w:tcW w:w="672" w:type="pct"/>
          </w:tcPr>
          <w:p w14:paraId="5EF85D87" w14:textId="77777777" w:rsidR="005F49A2" w:rsidRDefault="005F49A2" w:rsidP="00591F38">
            <w:pPr>
              <w:jc w:val="center"/>
              <w:rPr>
                <w:sz w:val="20"/>
                <w:szCs w:val="20"/>
              </w:rPr>
            </w:pPr>
            <w:r>
              <w:rPr>
                <w:sz w:val="20"/>
                <w:szCs w:val="20"/>
              </w:rPr>
              <w:t>24</w:t>
            </w:r>
          </w:p>
        </w:tc>
        <w:tc>
          <w:tcPr>
            <w:tcW w:w="747" w:type="pct"/>
          </w:tcPr>
          <w:p w14:paraId="7928FBED" w14:textId="77777777" w:rsidR="005F49A2" w:rsidRPr="004233BE" w:rsidRDefault="005F49A2" w:rsidP="00591F38">
            <w:pPr>
              <w:rPr>
                <w:sz w:val="20"/>
                <w:szCs w:val="20"/>
              </w:rPr>
            </w:pPr>
          </w:p>
        </w:tc>
        <w:tc>
          <w:tcPr>
            <w:tcW w:w="552" w:type="pct"/>
          </w:tcPr>
          <w:p w14:paraId="3455A4EA" w14:textId="77777777" w:rsidR="005F49A2" w:rsidRPr="004233BE" w:rsidRDefault="005F49A2" w:rsidP="00591F38">
            <w:pPr>
              <w:rPr>
                <w:sz w:val="20"/>
                <w:szCs w:val="20"/>
              </w:rPr>
            </w:pPr>
          </w:p>
        </w:tc>
        <w:tc>
          <w:tcPr>
            <w:tcW w:w="618" w:type="pct"/>
          </w:tcPr>
          <w:p w14:paraId="54A47B8D" w14:textId="77777777" w:rsidR="005F49A2" w:rsidRPr="004233BE" w:rsidRDefault="005F49A2" w:rsidP="00591F38">
            <w:pPr>
              <w:rPr>
                <w:sz w:val="20"/>
                <w:szCs w:val="20"/>
              </w:rPr>
            </w:pPr>
          </w:p>
        </w:tc>
        <w:tc>
          <w:tcPr>
            <w:tcW w:w="1017" w:type="pct"/>
          </w:tcPr>
          <w:p w14:paraId="4524A232" w14:textId="77777777" w:rsidR="005F49A2" w:rsidRPr="004233BE" w:rsidRDefault="005F49A2" w:rsidP="00591F38">
            <w:pPr>
              <w:rPr>
                <w:b/>
                <w:sz w:val="20"/>
                <w:szCs w:val="20"/>
              </w:rPr>
            </w:pPr>
          </w:p>
        </w:tc>
        <w:tc>
          <w:tcPr>
            <w:tcW w:w="1005" w:type="pct"/>
          </w:tcPr>
          <w:p w14:paraId="296F2711" w14:textId="77777777" w:rsidR="005F49A2" w:rsidRPr="004233BE" w:rsidRDefault="005F49A2" w:rsidP="00591F38">
            <w:pPr>
              <w:rPr>
                <w:b/>
                <w:sz w:val="20"/>
                <w:szCs w:val="20"/>
              </w:rPr>
            </w:pPr>
          </w:p>
        </w:tc>
      </w:tr>
      <w:tr w:rsidR="005F49A2" w:rsidRPr="004233BE" w14:paraId="5B8AB9D4" w14:textId="77777777" w:rsidTr="00591F38">
        <w:trPr>
          <w:trHeight w:val="530"/>
        </w:trPr>
        <w:tc>
          <w:tcPr>
            <w:tcW w:w="388" w:type="pct"/>
          </w:tcPr>
          <w:p w14:paraId="65A4289F" w14:textId="77777777" w:rsidR="005F49A2" w:rsidRPr="004233BE" w:rsidRDefault="005F49A2" w:rsidP="00591F38">
            <w:pPr>
              <w:rPr>
                <w:sz w:val="20"/>
                <w:szCs w:val="20"/>
              </w:rPr>
            </w:pPr>
          </w:p>
        </w:tc>
        <w:tc>
          <w:tcPr>
            <w:tcW w:w="672" w:type="pct"/>
          </w:tcPr>
          <w:p w14:paraId="65B74004" w14:textId="77777777" w:rsidR="005F49A2" w:rsidRDefault="005F49A2" w:rsidP="00591F38">
            <w:pPr>
              <w:jc w:val="center"/>
              <w:rPr>
                <w:sz w:val="20"/>
                <w:szCs w:val="20"/>
              </w:rPr>
            </w:pPr>
            <w:r>
              <w:rPr>
                <w:sz w:val="20"/>
                <w:szCs w:val="20"/>
              </w:rPr>
              <w:t>25</w:t>
            </w:r>
          </w:p>
        </w:tc>
        <w:tc>
          <w:tcPr>
            <w:tcW w:w="747" w:type="pct"/>
          </w:tcPr>
          <w:p w14:paraId="421FB4A4" w14:textId="77777777" w:rsidR="005F49A2" w:rsidRPr="004233BE" w:rsidRDefault="005F49A2" w:rsidP="00591F38">
            <w:pPr>
              <w:rPr>
                <w:sz w:val="20"/>
                <w:szCs w:val="20"/>
              </w:rPr>
            </w:pPr>
          </w:p>
        </w:tc>
        <w:tc>
          <w:tcPr>
            <w:tcW w:w="552" w:type="pct"/>
          </w:tcPr>
          <w:p w14:paraId="5561D397" w14:textId="77777777" w:rsidR="005F49A2" w:rsidRPr="004233BE" w:rsidRDefault="005F49A2" w:rsidP="00591F38">
            <w:pPr>
              <w:rPr>
                <w:sz w:val="20"/>
                <w:szCs w:val="20"/>
              </w:rPr>
            </w:pPr>
          </w:p>
        </w:tc>
        <w:tc>
          <w:tcPr>
            <w:tcW w:w="618" w:type="pct"/>
          </w:tcPr>
          <w:p w14:paraId="24FF23CB" w14:textId="77777777" w:rsidR="005F49A2" w:rsidRPr="004233BE" w:rsidRDefault="005F49A2" w:rsidP="00591F38">
            <w:pPr>
              <w:rPr>
                <w:sz w:val="20"/>
                <w:szCs w:val="20"/>
              </w:rPr>
            </w:pPr>
          </w:p>
        </w:tc>
        <w:tc>
          <w:tcPr>
            <w:tcW w:w="1017" w:type="pct"/>
          </w:tcPr>
          <w:p w14:paraId="6B0CF7B6" w14:textId="77777777" w:rsidR="005F49A2" w:rsidRPr="004233BE" w:rsidRDefault="005F49A2" w:rsidP="00591F38">
            <w:pPr>
              <w:rPr>
                <w:b/>
                <w:sz w:val="20"/>
                <w:szCs w:val="20"/>
              </w:rPr>
            </w:pPr>
          </w:p>
        </w:tc>
        <w:tc>
          <w:tcPr>
            <w:tcW w:w="1005" w:type="pct"/>
          </w:tcPr>
          <w:p w14:paraId="6B880091" w14:textId="77777777" w:rsidR="005F49A2" w:rsidRPr="004233BE" w:rsidRDefault="005F49A2" w:rsidP="00591F38">
            <w:pPr>
              <w:rPr>
                <w:b/>
                <w:sz w:val="20"/>
                <w:szCs w:val="20"/>
              </w:rPr>
            </w:pPr>
          </w:p>
        </w:tc>
      </w:tr>
      <w:tr w:rsidR="005F49A2" w:rsidRPr="004233BE" w14:paraId="41CD170D" w14:textId="77777777" w:rsidTr="00591F38">
        <w:trPr>
          <w:trHeight w:val="530"/>
        </w:trPr>
        <w:tc>
          <w:tcPr>
            <w:tcW w:w="388" w:type="pct"/>
          </w:tcPr>
          <w:p w14:paraId="7407DD4B" w14:textId="77777777" w:rsidR="005F49A2" w:rsidRPr="004233BE" w:rsidRDefault="005F49A2" w:rsidP="00591F38">
            <w:pPr>
              <w:rPr>
                <w:sz w:val="20"/>
                <w:szCs w:val="20"/>
              </w:rPr>
            </w:pPr>
          </w:p>
        </w:tc>
        <w:tc>
          <w:tcPr>
            <w:tcW w:w="672" w:type="pct"/>
          </w:tcPr>
          <w:p w14:paraId="6CC179EF" w14:textId="77777777" w:rsidR="005F49A2" w:rsidRDefault="005F49A2" w:rsidP="00591F38">
            <w:pPr>
              <w:jc w:val="center"/>
              <w:rPr>
                <w:sz w:val="20"/>
                <w:szCs w:val="20"/>
              </w:rPr>
            </w:pPr>
            <w:r>
              <w:rPr>
                <w:sz w:val="20"/>
                <w:szCs w:val="20"/>
              </w:rPr>
              <w:t>26</w:t>
            </w:r>
          </w:p>
        </w:tc>
        <w:tc>
          <w:tcPr>
            <w:tcW w:w="747" w:type="pct"/>
          </w:tcPr>
          <w:p w14:paraId="556FB10C" w14:textId="77777777" w:rsidR="005F49A2" w:rsidRPr="004233BE" w:rsidRDefault="005F49A2" w:rsidP="00591F38">
            <w:pPr>
              <w:rPr>
                <w:sz w:val="20"/>
                <w:szCs w:val="20"/>
              </w:rPr>
            </w:pPr>
          </w:p>
        </w:tc>
        <w:tc>
          <w:tcPr>
            <w:tcW w:w="552" w:type="pct"/>
          </w:tcPr>
          <w:p w14:paraId="38E7F080" w14:textId="77777777" w:rsidR="005F49A2" w:rsidRPr="004233BE" w:rsidRDefault="005F49A2" w:rsidP="00591F38">
            <w:pPr>
              <w:rPr>
                <w:sz w:val="20"/>
                <w:szCs w:val="20"/>
              </w:rPr>
            </w:pPr>
          </w:p>
        </w:tc>
        <w:tc>
          <w:tcPr>
            <w:tcW w:w="618" w:type="pct"/>
          </w:tcPr>
          <w:p w14:paraId="350241DB" w14:textId="77777777" w:rsidR="005F49A2" w:rsidRPr="004233BE" w:rsidRDefault="005F49A2" w:rsidP="00591F38">
            <w:pPr>
              <w:rPr>
                <w:sz w:val="20"/>
                <w:szCs w:val="20"/>
              </w:rPr>
            </w:pPr>
          </w:p>
        </w:tc>
        <w:tc>
          <w:tcPr>
            <w:tcW w:w="1017" w:type="pct"/>
          </w:tcPr>
          <w:p w14:paraId="32A542DB" w14:textId="77777777" w:rsidR="005F49A2" w:rsidRPr="004233BE" w:rsidRDefault="005F49A2" w:rsidP="00591F38">
            <w:pPr>
              <w:rPr>
                <w:b/>
                <w:sz w:val="20"/>
                <w:szCs w:val="20"/>
              </w:rPr>
            </w:pPr>
          </w:p>
        </w:tc>
        <w:tc>
          <w:tcPr>
            <w:tcW w:w="1005" w:type="pct"/>
          </w:tcPr>
          <w:p w14:paraId="09028C4D" w14:textId="77777777" w:rsidR="005F49A2" w:rsidRPr="004233BE" w:rsidRDefault="005F49A2" w:rsidP="00591F38">
            <w:pPr>
              <w:rPr>
                <w:b/>
                <w:sz w:val="20"/>
                <w:szCs w:val="20"/>
              </w:rPr>
            </w:pPr>
          </w:p>
        </w:tc>
      </w:tr>
      <w:tr w:rsidR="005F49A2" w:rsidRPr="004233BE" w14:paraId="6045571F" w14:textId="77777777" w:rsidTr="00591F38">
        <w:trPr>
          <w:trHeight w:val="530"/>
        </w:trPr>
        <w:tc>
          <w:tcPr>
            <w:tcW w:w="388" w:type="pct"/>
          </w:tcPr>
          <w:p w14:paraId="73FA2696" w14:textId="77777777" w:rsidR="005F49A2" w:rsidRPr="004233BE" w:rsidRDefault="005F49A2" w:rsidP="00591F38">
            <w:pPr>
              <w:rPr>
                <w:sz w:val="20"/>
                <w:szCs w:val="20"/>
              </w:rPr>
            </w:pPr>
          </w:p>
        </w:tc>
        <w:tc>
          <w:tcPr>
            <w:tcW w:w="672" w:type="pct"/>
          </w:tcPr>
          <w:p w14:paraId="5EA732AA" w14:textId="77777777" w:rsidR="005F49A2" w:rsidRDefault="005F49A2" w:rsidP="00591F38">
            <w:pPr>
              <w:jc w:val="center"/>
              <w:rPr>
                <w:sz w:val="20"/>
                <w:szCs w:val="20"/>
              </w:rPr>
            </w:pPr>
            <w:r>
              <w:rPr>
                <w:sz w:val="20"/>
                <w:szCs w:val="20"/>
              </w:rPr>
              <w:t>27</w:t>
            </w:r>
          </w:p>
        </w:tc>
        <w:tc>
          <w:tcPr>
            <w:tcW w:w="747" w:type="pct"/>
          </w:tcPr>
          <w:p w14:paraId="4F4F8C6F" w14:textId="77777777" w:rsidR="005F49A2" w:rsidRPr="004233BE" w:rsidRDefault="005F49A2" w:rsidP="00591F38">
            <w:pPr>
              <w:rPr>
                <w:sz w:val="20"/>
                <w:szCs w:val="20"/>
              </w:rPr>
            </w:pPr>
          </w:p>
        </w:tc>
        <w:tc>
          <w:tcPr>
            <w:tcW w:w="552" w:type="pct"/>
          </w:tcPr>
          <w:p w14:paraId="39CB4EA6" w14:textId="77777777" w:rsidR="005F49A2" w:rsidRPr="004233BE" w:rsidRDefault="005F49A2" w:rsidP="00591F38">
            <w:pPr>
              <w:rPr>
                <w:sz w:val="20"/>
                <w:szCs w:val="20"/>
              </w:rPr>
            </w:pPr>
          </w:p>
        </w:tc>
        <w:tc>
          <w:tcPr>
            <w:tcW w:w="618" w:type="pct"/>
          </w:tcPr>
          <w:p w14:paraId="4795055B" w14:textId="77777777" w:rsidR="005F49A2" w:rsidRPr="004233BE" w:rsidRDefault="005F49A2" w:rsidP="00591F38">
            <w:pPr>
              <w:rPr>
                <w:sz w:val="20"/>
                <w:szCs w:val="20"/>
              </w:rPr>
            </w:pPr>
          </w:p>
        </w:tc>
        <w:tc>
          <w:tcPr>
            <w:tcW w:w="1017" w:type="pct"/>
          </w:tcPr>
          <w:p w14:paraId="3AFB3FBD" w14:textId="77777777" w:rsidR="005F49A2" w:rsidRPr="004233BE" w:rsidRDefault="005F49A2" w:rsidP="00591F38">
            <w:pPr>
              <w:rPr>
                <w:b/>
                <w:sz w:val="20"/>
                <w:szCs w:val="20"/>
              </w:rPr>
            </w:pPr>
          </w:p>
        </w:tc>
        <w:tc>
          <w:tcPr>
            <w:tcW w:w="1005" w:type="pct"/>
          </w:tcPr>
          <w:p w14:paraId="53C8FAAB" w14:textId="77777777" w:rsidR="005F49A2" w:rsidRPr="004233BE" w:rsidRDefault="005F49A2" w:rsidP="00591F38">
            <w:pPr>
              <w:rPr>
                <w:b/>
                <w:sz w:val="20"/>
                <w:szCs w:val="20"/>
              </w:rPr>
            </w:pPr>
          </w:p>
        </w:tc>
      </w:tr>
      <w:tr w:rsidR="005F49A2" w:rsidRPr="004233BE" w14:paraId="409543E8" w14:textId="77777777" w:rsidTr="00591F38">
        <w:trPr>
          <w:trHeight w:val="530"/>
        </w:trPr>
        <w:tc>
          <w:tcPr>
            <w:tcW w:w="388" w:type="pct"/>
          </w:tcPr>
          <w:p w14:paraId="5F2C3AC5" w14:textId="77777777" w:rsidR="005F49A2" w:rsidRPr="004233BE" w:rsidRDefault="005F49A2" w:rsidP="00591F38">
            <w:pPr>
              <w:rPr>
                <w:sz w:val="20"/>
                <w:szCs w:val="20"/>
              </w:rPr>
            </w:pPr>
          </w:p>
        </w:tc>
        <w:tc>
          <w:tcPr>
            <w:tcW w:w="672" w:type="pct"/>
          </w:tcPr>
          <w:p w14:paraId="3ED770BB" w14:textId="77777777" w:rsidR="005F49A2" w:rsidRDefault="005F49A2" w:rsidP="00591F38">
            <w:pPr>
              <w:jc w:val="center"/>
              <w:rPr>
                <w:sz w:val="20"/>
                <w:szCs w:val="20"/>
              </w:rPr>
            </w:pPr>
            <w:r>
              <w:rPr>
                <w:sz w:val="20"/>
                <w:szCs w:val="20"/>
              </w:rPr>
              <w:t>28</w:t>
            </w:r>
          </w:p>
        </w:tc>
        <w:tc>
          <w:tcPr>
            <w:tcW w:w="747" w:type="pct"/>
          </w:tcPr>
          <w:p w14:paraId="6A0C959D" w14:textId="77777777" w:rsidR="005F49A2" w:rsidRPr="004233BE" w:rsidRDefault="005F49A2" w:rsidP="00591F38">
            <w:pPr>
              <w:rPr>
                <w:sz w:val="20"/>
                <w:szCs w:val="20"/>
              </w:rPr>
            </w:pPr>
          </w:p>
        </w:tc>
        <w:tc>
          <w:tcPr>
            <w:tcW w:w="552" w:type="pct"/>
          </w:tcPr>
          <w:p w14:paraId="7FD4A683" w14:textId="77777777" w:rsidR="005F49A2" w:rsidRPr="004233BE" w:rsidRDefault="005F49A2" w:rsidP="00591F38">
            <w:pPr>
              <w:rPr>
                <w:sz w:val="20"/>
                <w:szCs w:val="20"/>
              </w:rPr>
            </w:pPr>
          </w:p>
        </w:tc>
        <w:tc>
          <w:tcPr>
            <w:tcW w:w="618" w:type="pct"/>
          </w:tcPr>
          <w:p w14:paraId="1C04E0CF" w14:textId="77777777" w:rsidR="005F49A2" w:rsidRPr="004233BE" w:rsidRDefault="005F49A2" w:rsidP="00591F38">
            <w:pPr>
              <w:rPr>
                <w:sz w:val="20"/>
                <w:szCs w:val="20"/>
              </w:rPr>
            </w:pPr>
          </w:p>
        </w:tc>
        <w:tc>
          <w:tcPr>
            <w:tcW w:w="1017" w:type="pct"/>
          </w:tcPr>
          <w:p w14:paraId="02312A5D" w14:textId="77777777" w:rsidR="005F49A2" w:rsidRPr="004233BE" w:rsidRDefault="005F49A2" w:rsidP="00591F38">
            <w:pPr>
              <w:rPr>
                <w:b/>
                <w:sz w:val="20"/>
                <w:szCs w:val="20"/>
              </w:rPr>
            </w:pPr>
          </w:p>
        </w:tc>
        <w:tc>
          <w:tcPr>
            <w:tcW w:w="1005" w:type="pct"/>
          </w:tcPr>
          <w:p w14:paraId="3332D800" w14:textId="77777777" w:rsidR="005F49A2" w:rsidRPr="004233BE" w:rsidRDefault="005F49A2" w:rsidP="00591F38">
            <w:pPr>
              <w:rPr>
                <w:b/>
                <w:sz w:val="20"/>
                <w:szCs w:val="20"/>
              </w:rPr>
            </w:pPr>
          </w:p>
        </w:tc>
      </w:tr>
      <w:tr w:rsidR="005F49A2" w:rsidRPr="004233BE" w14:paraId="5CADE527" w14:textId="77777777" w:rsidTr="00591F38">
        <w:trPr>
          <w:trHeight w:val="530"/>
        </w:trPr>
        <w:tc>
          <w:tcPr>
            <w:tcW w:w="388" w:type="pct"/>
          </w:tcPr>
          <w:p w14:paraId="395AE5D6" w14:textId="77777777" w:rsidR="005F49A2" w:rsidRPr="004233BE" w:rsidRDefault="005F49A2" w:rsidP="00591F38">
            <w:pPr>
              <w:rPr>
                <w:sz w:val="20"/>
                <w:szCs w:val="20"/>
              </w:rPr>
            </w:pPr>
          </w:p>
        </w:tc>
        <w:tc>
          <w:tcPr>
            <w:tcW w:w="672" w:type="pct"/>
          </w:tcPr>
          <w:p w14:paraId="6F301250" w14:textId="77777777" w:rsidR="005F49A2" w:rsidRPr="004233BE" w:rsidRDefault="005F49A2" w:rsidP="00591F38">
            <w:pPr>
              <w:jc w:val="center"/>
              <w:rPr>
                <w:sz w:val="20"/>
                <w:szCs w:val="20"/>
              </w:rPr>
            </w:pPr>
            <w:r>
              <w:rPr>
                <w:sz w:val="20"/>
                <w:szCs w:val="20"/>
              </w:rPr>
              <w:t>29</w:t>
            </w:r>
          </w:p>
        </w:tc>
        <w:tc>
          <w:tcPr>
            <w:tcW w:w="747" w:type="pct"/>
          </w:tcPr>
          <w:p w14:paraId="223B8385" w14:textId="77777777" w:rsidR="005F49A2" w:rsidRPr="004233BE" w:rsidRDefault="005F49A2" w:rsidP="00591F38">
            <w:pPr>
              <w:rPr>
                <w:sz w:val="20"/>
                <w:szCs w:val="20"/>
              </w:rPr>
            </w:pPr>
          </w:p>
        </w:tc>
        <w:tc>
          <w:tcPr>
            <w:tcW w:w="552" w:type="pct"/>
          </w:tcPr>
          <w:p w14:paraId="603153EA" w14:textId="77777777" w:rsidR="005F49A2" w:rsidRPr="004233BE" w:rsidRDefault="005F49A2" w:rsidP="00591F38">
            <w:pPr>
              <w:rPr>
                <w:sz w:val="20"/>
                <w:szCs w:val="20"/>
              </w:rPr>
            </w:pPr>
          </w:p>
        </w:tc>
        <w:tc>
          <w:tcPr>
            <w:tcW w:w="618" w:type="pct"/>
          </w:tcPr>
          <w:p w14:paraId="5F6D269A" w14:textId="77777777" w:rsidR="005F49A2" w:rsidRPr="004233BE" w:rsidRDefault="005F49A2" w:rsidP="00591F38">
            <w:pPr>
              <w:rPr>
                <w:sz w:val="20"/>
                <w:szCs w:val="20"/>
              </w:rPr>
            </w:pPr>
          </w:p>
        </w:tc>
        <w:tc>
          <w:tcPr>
            <w:tcW w:w="1017" w:type="pct"/>
          </w:tcPr>
          <w:p w14:paraId="796EBFAD" w14:textId="77777777" w:rsidR="005F49A2" w:rsidRPr="004233BE" w:rsidRDefault="005F49A2" w:rsidP="00591F38">
            <w:pPr>
              <w:rPr>
                <w:b/>
                <w:sz w:val="20"/>
                <w:szCs w:val="20"/>
              </w:rPr>
            </w:pPr>
          </w:p>
        </w:tc>
        <w:tc>
          <w:tcPr>
            <w:tcW w:w="1005" w:type="pct"/>
          </w:tcPr>
          <w:p w14:paraId="28BC58F8" w14:textId="77777777" w:rsidR="005F49A2" w:rsidRPr="004233BE" w:rsidRDefault="005F49A2" w:rsidP="00591F38">
            <w:pPr>
              <w:rPr>
                <w:b/>
                <w:sz w:val="20"/>
                <w:szCs w:val="20"/>
              </w:rPr>
            </w:pPr>
          </w:p>
        </w:tc>
      </w:tr>
      <w:tr w:rsidR="005F49A2" w:rsidRPr="004233BE" w14:paraId="5B3EF7A0" w14:textId="77777777" w:rsidTr="00591F38">
        <w:trPr>
          <w:trHeight w:val="530"/>
        </w:trPr>
        <w:tc>
          <w:tcPr>
            <w:tcW w:w="388" w:type="pct"/>
          </w:tcPr>
          <w:p w14:paraId="163CF8D0" w14:textId="77777777" w:rsidR="005F49A2" w:rsidRPr="004233BE" w:rsidRDefault="005F49A2" w:rsidP="00591F38">
            <w:pPr>
              <w:rPr>
                <w:sz w:val="20"/>
                <w:szCs w:val="20"/>
              </w:rPr>
            </w:pPr>
          </w:p>
        </w:tc>
        <w:tc>
          <w:tcPr>
            <w:tcW w:w="672" w:type="pct"/>
          </w:tcPr>
          <w:p w14:paraId="3C220FC4" w14:textId="77777777" w:rsidR="005F49A2" w:rsidRPr="004233BE" w:rsidRDefault="005F49A2" w:rsidP="00591F38">
            <w:pPr>
              <w:jc w:val="center"/>
              <w:rPr>
                <w:sz w:val="20"/>
                <w:szCs w:val="20"/>
              </w:rPr>
            </w:pPr>
            <w:r>
              <w:rPr>
                <w:sz w:val="20"/>
                <w:szCs w:val="20"/>
              </w:rPr>
              <w:t>30</w:t>
            </w:r>
          </w:p>
        </w:tc>
        <w:tc>
          <w:tcPr>
            <w:tcW w:w="747" w:type="pct"/>
          </w:tcPr>
          <w:p w14:paraId="01C3A1A2" w14:textId="77777777" w:rsidR="005F49A2" w:rsidRPr="004233BE" w:rsidRDefault="005F49A2" w:rsidP="00591F38">
            <w:pPr>
              <w:rPr>
                <w:sz w:val="20"/>
                <w:szCs w:val="20"/>
              </w:rPr>
            </w:pPr>
          </w:p>
        </w:tc>
        <w:tc>
          <w:tcPr>
            <w:tcW w:w="552" w:type="pct"/>
          </w:tcPr>
          <w:p w14:paraId="491C65A5" w14:textId="77777777" w:rsidR="005F49A2" w:rsidRPr="004233BE" w:rsidRDefault="005F49A2" w:rsidP="00591F38">
            <w:pPr>
              <w:rPr>
                <w:sz w:val="20"/>
                <w:szCs w:val="20"/>
              </w:rPr>
            </w:pPr>
          </w:p>
        </w:tc>
        <w:tc>
          <w:tcPr>
            <w:tcW w:w="618" w:type="pct"/>
          </w:tcPr>
          <w:p w14:paraId="617441B6" w14:textId="77777777" w:rsidR="005F49A2" w:rsidRPr="004233BE" w:rsidRDefault="005F49A2" w:rsidP="00591F38">
            <w:pPr>
              <w:rPr>
                <w:sz w:val="20"/>
                <w:szCs w:val="20"/>
              </w:rPr>
            </w:pPr>
          </w:p>
        </w:tc>
        <w:tc>
          <w:tcPr>
            <w:tcW w:w="1017" w:type="pct"/>
          </w:tcPr>
          <w:p w14:paraId="4409BAA2" w14:textId="77777777" w:rsidR="005F49A2" w:rsidRPr="004233BE" w:rsidRDefault="005F49A2" w:rsidP="00591F38">
            <w:pPr>
              <w:rPr>
                <w:b/>
                <w:sz w:val="20"/>
                <w:szCs w:val="20"/>
              </w:rPr>
            </w:pPr>
          </w:p>
        </w:tc>
        <w:tc>
          <w:tcPr>
            <w:tcW w:w="1005" w:type="pct"/>
          </w:tcPr>
          <w:p w14:paraId="4449B8AF" w14:textId="77777777" w:rsidR="005F49A2" w:rsidRPr="004233BE" w:rsidRDefault="005F49A2" w:rsidP="00591F38">
            <w:pPr>
              <w:rPr>
                <w:b/>
                <w:sz w:val="20"/>
                <w:szCs w:val="20"/>
              </w:rPr>
            </w:pPr>
          </w:p>
        </w:tc>
      </w:tr>
      <w:tr w:rsidR="005F49A2" w:rsidRPr="004233BE" w14:paraId="183E9323" w14:textId="77777777" w:rsidTr="00591F38">
        <w:trPr>
          <w:trHeight w:val="530"/>
        </w:trPr>
        <w:tc>
          <w:tcPr>
            <w:tcW w:w="388" w:type="pct"/>
          </w:tcPr>
          <w:p w14:paraId="19AE9E1A" w14:textId="77777777" w:rsidR="005F49A2" w:rsidRPr="004233BE" w:rsidRDefault="005F49A2" w:rsidP="00591F38">
            <w:pPr>
              <w:rPr>
                <w:sz w:val="20"/>
                <w:szCs w:val="20"/>
              </w:rPr>
            </w:pPr>
          </w:p>
        </w:tc>
        <w:tc>
          <w:tcPr>
            <w:tcW w:w="672" w:type="pct"/>
          </w:tcPr>
          <w:p w14:paraId="5AF41147" w14:textId="77777777" w:rsidR="005F49A2" w:rsidRPr="004233BE" w:rsidRDefault="005F49A2" w:rsidP="00591F38">
            <w:pPr>
              <w:jc w:val="center"/>
              <w:rPr>
                <w:sz w:val="20"/>
                <w:szCs w:val="20"/>
              </w:rPr>
            </w:pPr>
            <w:r>
              <w:rPr>
                <w:sz w:val="20"/>
                <w:szCs w:val="20"/>
              </w:rPr>
              <w:t>31</w:t>
            </w:r>
          </w:p>
        </w:tc>
        <w:tc>
          <w:tcPr>
            <w:tcW w:w="747" w:type="pct"/>
          </w:tcPr>
          <w:p w14:paraId="6047B5B8" w14:textId="77777777" w:rsidR="005F49A2" w:rsidRPr="004233BE" w:rsidRDefault="005F49A2" w:rsidP="00591F38">
            <w:pPr>
              <w:rPr>
                <w:sz w:val="20"/>
                <w:szCs w:val="20"/>
              </w:rPr>
            </w:pPr>
          </w:p>
        </w:tc>
        <w:tc>
          <w:tcPr>
            <w:tcW w:w="552" w:type="pct"/>
          </w:tcPr>
          <w:p w14:paraId="3A134762" w14:textId="77777777" w:rsidR="005F49A2" w:rsidRPr="004233BE" w:rsidRDefault="005F49A2" w:rsidP="00591F38">
            <w:pPr>
              <w:rPr>
                <w:sz w:val="20"/>
                <w:szCs w:val="20"/>
              </w:rPr>
            </w:pPr>
          </w:p>
        </w:tc>
        <w:tc>
          <w:tcPr>
            <w:tcW w:w="618" w:type="pct"/>
          </w:tcPr>
          <w:p w14:paraId="10A657E4" w14:textId="77777777" w:rsidR="005F49A2" w:rsidRPr="004233BE" w:rsidRDefault="005F49A2" w:rsidP="00591F38">
            <w:pPr>
              <w:rPr>
                <w:sz w:val="20"/>
                <w:szCs w:val="20"/>
              </w:rPr>
            </w:pPr>
          </w:p>
        </w:tc>
        <w:tc>
          <w:tcPr>
            <w:tcW w:w="1017" w:type="pct"/>
          </w:tcPr>
          <w:p w14:paraId="58867EC6" w14:textId="77777777" w:rsidR="005F49A2" w:rsidRPr="004233BE" w:rsidRDefault="005F49A2" w:rsidP="00591F38">
            <w:pPr>
              <w:rPr>
                <w:b/>
                <w:sz w:val="20"/>
                <w:szCs w:val="20"/>
              </w:rPr>
            </w:pPr>
          </w:p>
        </w:tc>
        <w:tc>
          <w:tcPr>
            <w:tcW w:w="1005" w:type="pct"/>
          </w:tcPr>
          <w:p w14:paraId="3ABA4D91" w14:textId="77777777" w:rsidR="005F49A2" w:rsidRPr="004233BE" w:rsidRDefault="005F49A2" w:rsidP="00591F38">
            <w:pPr>
              <w:rPr>
                <w:b/>
                <w:sz w:val="20"/>
                <w:szCs w:val="20"/>
              </w:rPr>
            </w:pPr>
          </w:p>
        </w:tc>
      </w:tr>
      <w:tr w:rsidR="005F49A2" w:rsidRPr="004233BE" w14:paraId="4D7D17AF" w14:textId="77777777" w:rsidTr="00591F38">
        <w:trPr>
          <w:trHeight w:val="530"/>
        </w:trPr>
        <w:tc>
          <w:tcPr>
            <w:tcW w:w="388" w:type="pct"/>
          </w:tcPr>
          <w:p w14:paraId="339F68ED" w14:textId="77777777" w:rsidR="005F49A2" w:rsidRPr="004233BE" w:rsidRDefault="005F49A2" w:rsidP="00591F38">
            <w:pPr>
              <w:rPr>
                <w:sz w:val="20"/>
                <w:szCs w:val="20"/>
              </w:rPr>
            </w:pPr>
          </w:p>
        </w:tc>
        <w:tc>
          <w:tcPr>
            <w:tcW w:w="672" w:type="pct"/>
          </w:tcPr>
          <w:p w14:paraId="05892351" w14:textId="77777777" w:rsidR="005F49A2" w:rsidRPr="004233BE" w:rsidRDefault="005F49A2" w:rsidP="00591F38">
            <w:pPr>
              <w:jc w:val="center"/>
              <w:rPr>
                <w:sz w:val="20"/>
                <w:szCs w:val="20"/>
              </w:rPr>
            </w:pPr>
            <w:r>
              <w:rPr>
                <w:sz w:val="20"/>
                <w:szCs w:val="20"/>
              </w:rPr>
              <w:t>32</w:t>
            </w:r>
          </w:p>
        </w:tc>
        <w:tc>
          <w:tcPr>
            <w:tcW w:w="747" w:type="pct"/>
          </w:tcPr>
          <w:p w14:paraId="791C9E62" w14:textId="77777777" w:rsidR="005F49A2" w:rsidRPr="004233BE" w:rsidRDefault="005F49A2" w:rsidP="00591F38">
            <w:pPr>
              <w:rPr>
                <w:sz w:val="20"/>
                <w:szCs w:val="20"/>
              </w:rPr>
            </w:pPr>
          </w:p>
        </w:tc>
        <w:tc>
          <w:tcPr>
            <w:tcW w:w="552" w:type="pct"/>
          </w:tcPr>
          <w:p w14:paraId="59F50C23" w14:textId="77777777" w:rsidR="005F49A2" w:rsidRPr="004233BE" w:rsidRDefault="005F49A2" w:rsidP="00591F38">
            <w:pPr>
              <w:rPr>
                <w:sz w:val="20"/>
                <w:szCs w:val="20"/>
              </w:rPr>
            </w:pPr>
          </w:p>
        </w:tc>
        <w:tc>
          <w:tcPr>
            <w:tcW w:w="618" w:type="pct"/>
          </w:tcPr>
          <w:p w14:paraId="28DF8258" w14:textId="77777777" w:rsidR="005F49A2" w:rsidRPr="004233BE" w:rsidRDefault="005F49A2" w:rsidP="00591F38">
            <w:pPr>
              <w:rPr>
                <w:sz w:val="20"/>
                <w:szCs w:val="20"/>
              </w:rPr>
            </w:pPr>
          </w:p>
        </w:tc>
        <w:tc>
          <w:tcPr>
            <w:tcW w:w="1017" w:type="pct"/>
          </w:tcPr>
          <w:p w14:paraId="21982577" w14:textId="77777777" w:rsidR="005F49A2" w:rsidRPr="004233BE" w:rsidRDefault="005F49A2" w:rsidP="00591F38">
            <w:pPr>
              <w:rPr>
                <w:b/>
                <w:sz w:val="20"/>
                <w:szCs w:val="20"/>
              </w:rPr>
            </w:pPr>
          </w:p>
        </w:tc>
        <w:tc>
          <w:tcPr>
            <w:tcW w:w="1005" w:type="pct"/>
          </w:tcPr>
          <w:p w14:paraId="64E2023F" w14:textId="77777777" w:rsidR="005F49A2" w:rsidRPr="004233BE" w:rsidRDefault="005F49A2" w:rsidP="00591F38">
            <w:pPr>
              <w:rPr>
                <w:b/>
                <w:sz w:val="20"/>
                <w:szCs w:val="20"/>
              </w:rPr>
            </w:pPr>
          </w:p>
        </w:tc>
      </w:tr>
      <w:tr w:rsidR="005F49A2" w:rsidRPr="004233BE" w14:paraId="6420C840" w14:textId="77777777" w:rsidTr="00591F38">
        <w:trPr>
          <w:trHeight w:val="530"/>
        </w:trPr>
        <w:tc>
          <w:tcPr>
            <w:tcW w:w="388" w:type="pct"/>
          </w:tcPr>
          <w:p w14:paraId="53026486" w14:textId="77777777" w:rsidR="005F49A2" w:rsidRPr="004233BE" w:rsidRDefault="005F49A2" w:rsidP="00591F38">
            <w:pPr>
              <w:jc w:val="center"/>
              <w:rPr>
                <w:sz w:val="20"/>
                <w:szCs w:val="20"/>
              </w:rPr>
            </w:pPr>
          </w:p>
        </w:tc>
        <w:tc>
          <w:tcPr>
            <w:tcW w:w="672" w:type="pct"/>
          </w:tcPr>
          <w:p w14:paraId="1DD73B41" w14:textId="77777777" w:rsidR="005F49A2" w:rsidRPr="004233BE" w:rsidRDefault="005F49A2" w:rsidP="00591F38">
            <w:pPr>
              <w:jc w:val="center"/>
              <w:rPr>
                <w:sz w:val="20"/>
                <w:szCs w:val="20"/>
              </w:rPr>
            </w:pPr>
            <w:r>
              <w:rPr>
                <w:sz w:val="20"/>
                <w:szCs w:val="20"/>
              </w:rPr>
              <w:t>33</w:t>
            </w:r>
          </w:p>
        </w:tc>
        <w:tc>
          <w:tcPr>
            <w:tcW w:w="747" w:type="pct"/>
          </w:tcPr>
          <w:p w14:paraId="6508E688" w14:textId="77777777" w:rsidR="005F49A2" w:rsidRPr="004233BE" w:rsidRDefault="005F49A2" w:rsidP="00591F38">
            <w:pPr>
              <w:rPr>
                <w:sz w:val="20"/>
                <w:szCs w:val="20"/>
              </w:rPr>
            </w:pPr>
          </w:p>
        </w:tc>
        <w:tc>
          <w:tcPr>
            <w:tcW w:w="552" w:type="pct"/>
          </w:tcPr>
          <w:p w14:paraId="2180D8E8" w14:textId="77777777" w:rsidR="005F49A2" w:rsidRPr="004233BE" w:rsidRDefault="005F49A2" w:rsidP="00591F38">
            <w:pPr>
              <w:rPr>
                <w:sz w:val="20"/>
                <w:szCs w:val="20"/>
              </w:rPr>
            </w:pPr>
          </w:p>
        </w:tc>
        <w:tc>
          <w:tcPr>
            <w:tcW w:w="618" w:type="pct"/>
          </w:tcPr>
          <w:p w14:paraId="670E0C87" w14:textId="77777777" w:rsidR="005F49A2" w:rsidRPr="004233BE" w:rsidRDefault="005F49A2" w:rsidP="00591F38">
            <w:pPr>
              <w:rPr>
                <w:sz w:val="20"/>
                <w:szCs w:val="20"/>
              </w:rPr>
            </w:pPr>
          </w:p>
        </w:tc>
        <w:tc>
          <w:tcPr>
            <w:tcW w:w="1017" w:type="pct"/>
          </w:tcPr>
          <w:p w14:paraId="2103857D" w14:textId="77777777" w:rsidR="005F49A2" w:rsidRPr="004233BE" w:rsidRDefault="005F49A2" w:rsidP="00591F38">
            <w:pPr>
              <w:rPr>
                <w:b/>
                <w:sz w:val="20"/>
                <w:szCs w:val="20"/>
              </w:rPr>
            </w:pPr>
          </w:p>
        </w:tc>
        <w:tc>
          <w:tcPr>
            <w:tcW w:w="1005" w:type="pct"/>
          </w:tcPr>
          <w:p w14:paraId="1F24DC36" w14:textId="77777777" w:rsidR="005F49A2" w:rsidRPr="004233BE" w:rsidRDefault="005F49A2" w:rsidP="00591F38">
            <w:pPr>
              <w:rPr>
                <w:b/>
                <w:sz w:val="20"/>
                <w:szCs w:val="20"/>
              </w:rPr>
            </w:pPr>
          </w:p>
        </w:tc>
      </w:tr>
      <w:tr w:rsidR="005F49A2" w:rsidRPr="004233BE" w14:paraId="5B8BBA38" w14:textId="77777777" w:rsidTr="00591F38">
        <w:trPr>
          <w:trHeight w:val="530"/>
        </w:trPr>
        <w:tc>
          <w:tcPr>
            <w:tcW w:w="388" w:type="pct"/>
          </w:tcPr>
          <w:p w14:paraId="58AF27C6" w14:textId="77777777" w:rsidR="005F49A2" w:rsidRPr="004233BE" w:rsidRDefault="005F49A2" w:rsidP="00591F38">
            <w:pPr>
              <w:rPr>
                <w:sz w:val="20"/>
                <w:szCs w:val="20"/>
              </w:rPr>
            </w:pPr>
          </w:p>
        </w:tc>
        <w:tc>
          <w:tcPr>
            <w:tcW w:w="672" w:type="pct"/>
          </w:tcPr>
          <w:p w14:paraId="5295BFAE" w14:textId="77777777" w:rsidR="005F49A2" w:rsidRPr="004233BE" w:rsidRDefault="005F49A2" w:rsidP="00591F38">
            <w:pPr>
              <w:jc w:val="center"/>
              <w:rPr>
                <w:sz w:val="20"/>
                <w:szCs w:val="20"/>
              </w:rPr>
            </w:pPr>
            <w:r>
              <w:rPr>
                <w:sz w:val="20"/>
                <w:szCs w:val="20"/>
              </w:rPr>
              <w:t>34</w:t>
            </w:r>
          </w:p>
        </w:tc>
        <w:tc>
          <w:tcPr>
            <w:tcW w:w="747" w:type="pct"/>
          </w:tcPr>
          <w:p w14:paraId="55E74D80" w14:textId="77777777" w:rsidR="005F49A2" w:rsidRPr="004233BE" w:rsidRDefault="005F49A2" w:rsidP="00591F38">
            <w:pPr>
              <w:rPr>
                <w:sz w:val="20"/>
                <w:szCs w:val="20"/>
              </w:rPr>
            </w:pPr>
          </w:p>
        </w:tc>
        <w:tc>
          <w:tcPr>
            <w:tcW w:w="552" w:type="pct"/>
          </w:tcPr>
          <w:p w14:paraId="259518CB" w14:textId="77777777" w:rsidR="005F49A2" w:rsidRPr="004233BE" w:rsidRDefault="005F49A2" w:rsidP="00591F38">
            <w:pPr>
              <w:rPr>
                <w:sz w:val="20"/>
                <w:szCs w:val="20"/>
              </w:rPr>
            </w:pPr>
          </w:p>
        </w:tc>
        <w:tc>
          <w:tcPr>
            <w:tcW w:w="618" w:type="pct"/>
          </w:tcPr>
          <w:p w14:paraId="63E4EFCC" w14:textId="77777777" w:rsidR="005F49A2" w:rsidRPr="004233BE" w:rsidRDefault="005F49A2" w:rsidP="00591F38">
            <w:pPr>
              <w:rPr>
                <w:sz w:val="20"/>
                <w:szCs w:val="20"/>
              </w:rPr>
            </w:pPr>
          </w:p>
        </w:tc>
        <w:tc>
          <w:tcPr>
            <w:tcW w:w="1017" w:type="pct"/>
          </w:tcPr>
          <w:p w14:paraId="60D04CF5" w14:textId="77777777" w:rsidR="005F49A2" w:rsidRPr="004233BE" w:rsidRDefault="005F49A2" w:rsidP="00591F38">
            <w:pPr>
              <w:rPr>
                <w:b/>
                <w:sz w:val="20"/>
                <w:szCs w:val="20"/>
              </w:rPr>
            </w:pPr>
          </w:p>
        </w:tc>
        <w:tc>
          <w:tcPr>
            <w:tcW w:w="1005" w:type="pct"/>
          </w:tcPr>
          <w:p w14:paraId="322549C4" w14:textId="77777777" w:rsidR="005F49A2" w:rsidRPr="004233BE" w:rsidRDefault="005F49A2" w:rsidP="00591F38">
            <w:pPr>
              <w:rPr>
                <w:b/>
                <w:sz w:val="20"/>
                <w:szCs w:val="20"/>
              </w:rPr>
            </w:pPr>
          </w:p>
        </w:tc>
      </w:tr>
      <w:tr w:rsidR="005F49A2" w:rsidRPr="004233BE" w14:paraId="7C38A105" w14:textId="77777777" w:rsidTr="00591F38">
        <w:trPr>
          <w:trHeight w:val="530"/>
        </w:trPr>
        <w:tc>
          <w:tcPr>
            <w:tcW w:w="388" w:type="pct"/>
          </w:tcPr>
          <w:p w14:paraId="1A73E444" w14:textId="77777777" w:rsidR="005F49A2" w:rsidRPr="004233BE" w:rsidRDefault="005F49A2" w:rsidP="00591F38">
            <w:pPr>
              <w:rPr>
                <w:sz w:val="20"/>
                <w:szCs w:val="20"/>
              </w:rPr>
            </w:pPr>
          </w:p>
        </w:tc>
        <w:tc>
          <w:tcPr>
            <w:tcW w:w="672" w:type="pct"/>
          </w:tcPr>
          <w:p w14:paraId="6B08CA16" w14:textId="77777777" w:rsidR="005F49A2" w:rsidRDefault="005F49A2" w:rsidP="00591F38">
            <w:pPr>
              <w:jc w:val="center"/>
              <w:rPr>
                <w:sz w:val="20"/>
                <w:szCs w:val="20"/>
              </w:rPr>
            </w:pPr>
            <w:r>
              <w:rPr>
                <w:sz w:val="20"/>
                <w:szCs w:val="20"/>
              </w:rPr>
              <w:t>35</w:t>
            </w:r>
          </w:p>
        </w:tc>
        <w:tc>
          <w:tcPr>
            <w:tcW w:w="747" w:type="pct"/>
          </w:tcPr>
          <w:p w14:paraId="4B3D8F79" w14:textId="77777777" w:rsidR="005F49A2" w:rsidRPr="004233BE" w:rsidRDefault="005F49A2" w:rsidP="00591F38">
            <w:pPr>
              <w:rPr>
                <w:sz w:val="20"/>
                <w:szCs w:val="20"/>
              </w:rPr>
            </w:pPr>
          </w:p>
        </w:tc>
        <w:tc>
          <w:tcPr>
            <w:tcW w:w="552" w:type="pct"/>
          </w:tcPr>
          <w:p w14:paraId="13B5FAF0" w14:textId="77777777" w:rsidR="005F49A2" w:rsidRPr="004233BE" w:rsidRDefault="005F49A2" w:rsidP="00591F38">
            <w:pPr>
              <w:rPr>
                <w:sz w:val="20"/>
                <w:szCs w:val="20"/>
              </w:rPr>
            </w:pPr>
          </w:p>
        </w:tc>
        <w:tc>
          <w:tcPr>
            <w:tcW w:w="618" w:type="pct"/>
          </w:tcPr>
          <w:p w14:paraId="476884D5" w14:textId="77777777" w:rsidR="005F49A2" w:rsidRPr="004233BE" w:rsidRDefault="005F49A2" w:rsidP="00591F38">
            <w:pPr>
              <w:rPr>
                <w:sz w:val="20"/>
                <w:szCs w:val="20"/>
              </w:rPr>
            </w:pPr>
          </w:p>
        </w:tc>
        <w:tc>
          <w:tcPr>
            <w:tcW w:w="1017" w:type="pct"/>
          </w:tcPr>
          <w:p w14:paraId="0FBCA956" w14:textId="77777777" w:rsidR="005F49A2" w:rsidRPr="004233BE" w:rsidRDefault="005F49A2" w:rsidP="00591F38">
            <w:pPr>
              <w:rPr>
                <w:b/>
                <w:sz w:val="20"/>
                <w:szCs w:val="20"/>
              </w:rPr>
            </w:pPr>
          </w:p>
        </w:tc>
        <w:tc>
          <w:tcPr>
            <w:tcW w:w="1005" w:type="pct"/>
          </w:tcPr>
          <w:p w14:paraId="53B9066F" w14:textId="77777777" w:rsidR="005F49A2" w:rsidRPr="004233BE" w:rsidRDefault="005F49A2" w:rsidP="00591F38">
            <w:pPr>
              <w:rPr>
                <w:b/>
                <w:sz w:val="20"/>
                <w:szCs w:val="20"/>
              </w:rPr>
            </w:pPr>
          </w:p>
        </w:tc>
      </w:tr>
      <w:tr w:rsidR="005F49A2" w:rsidRPr="004233BE" w14:paraId="6964382C" w14:textId="77777777" w:rsidTr="00591F38">
        <w:trPr>
          <w:trHeight w:val="530"/>
        </w:trPr>
        <w:tc>
          <w:tcPr>
            <w:tcW w:w="388" w:type="pct"/>
          </w:tcPr>
          <w:p w14:paraId="23862EB6" w14:textId="77777777" w:rsidR="005F49A2" w:rsidRPr="004233BE" w:rsidRDefault="005F49A2" w:rsidP="00591F38">
            <w:pPr>
              <w:rPr>
                <w:sz w:val="20"/>
                <w:szCs w:val="20"/>
              </w:rPr>
            </w:pPr>
          </w:p>
        </w:tc>
        <w:tc>
          <w:tcPr>
            <w:tcW w:w="672" w:type="pct"/>
          </w:tcPr>
          <w:p w14:paraId="6DBAB330" w14:textId="77777777" w:rsidR="005F49A2" w:rsidRDefault="005F49A2" w:rsidP="00591F38">
            <w:pPr>
              <w:jc w:val="center"/>
              <w:rPr>
                <w:sz w:val="20"/>
                <w:szCs w:val="20"/>
              </w:rPr>
            </w:pPr>
            <w:r>
              <w:rPr>
                <w:sz w:val="20"/>
                <w:szCs w:val="20"/>
              </w:rPr>
              <w:t>36</w:t>
            </w:r>
          </w:p>
        </w:tc>
        <w:tc>
          <w:tcPr>
            <w:tcW w:w="747" w:type="pct"/>
          </w:tcPr>
          <w:p w14:paraId="2E7925AF" w14:textId="77777777" w:rsidR="005F49A2" w:rsidRPr="004233BE" w:rsidRDefault="005F49A2" w:rsidP="00591F38">
            <w:pPr>
              <w:rPr>
                <w:sz w:val="20"/>
                <w:szCs w:val="20"/>
              </w:rPr>
            </w:pPr>
          </w:p>
        </w:tc>
        <w:tc>
          <w:tcPr>
            <w:tcW w:w="552" w:type="pct"/>
          </w:tcPr>
          <w:p w14:paraId="78A77E1E" w14:textId="77777777" w:rsidR="005F49A2" w:rsidRPr="004233BE" w:rsidRDefault="005F49A2" w:rsidP="00591F38">
            <w:pPr>
              <w:rPr>
                <w:sz w:val="20"/>
                <w:szCs w:val="20"/>
              </w:rPr>
            </w:pPr>
          </w:p>
        </w:tc>
        <w:tc>
          <w:tcPr>
            <w:tcW w:w="618" w:type="pct"/>
          </w:tcPr>
          <w:p w14:paraId="4C9E330B" w14:textId="77777777" w:rsidR="005F49A2" w:rsidRPr="004233BE" w:rsidRDefault="005F49A2" w:rsidP="00591F38">
            <w:pPr>
              <w:rPr>
                <w:sz w:val="20"/>
                <w:szCs w:val="20"/>
              </w:rPr>
            </w:pPr>
          </w:p>
        </w:tc>
        <w:tc>
          <w:tcPr>
            <w:tcW w:w="1017" w:type="pct"/>
          </w:tcPr>
          <w:p w14:paraId="6C19076F" w14:textId="77777777" w:rsidR="005F49A2" w:rsidRPr="004233BE" w:rsidRDefault="005F49A2" w:rsidP="00591F38">
            <w:pPr>
              <w:rPr>
                <w:b/>
                <w:sz w:val="20"/>
                <w:szCs w:val="20"/>
              </w:rPr>
            </w:pPr>
          </w:p>
        </w:tc>
        <w:tc>
          <w:tcPr>
            <w:tcW w:w="1005" w:type="pct"/>
          </w:tcPr>
          <w:p w14:paraId="173F1062" w14:textId="77777777" w:rsidR="005F49A2" w:rsidRPr="004233BE" w:rsidRDefault="005F49A2" w:rsidP="00591F38">
            <w:pPr>
              <w:rPr>
                <w:b/>
                <w:sz w:val="20"/>
                <w:szCs w:val="20"/>
              </w:rPr>
            </w:pPr>
          </w:p>
        </w:tc>
      </w:tr>
    </w:tbl>
    <w:p w14:paraId="44CBCF25" w14:textId="77777777" w:rsidR="005F49A2" w:rsidRDefault="005F49A2" w:rsidP="005F49A2">
      <w:pPr>
        <w:pStyle w:val="Footer"/>
      </w:pPr>
    </w:p>
    <w:p w14:paraId="5F1DB526" w14:textId="77777777" w:rsidR="005F49A2" w:rsidRDefault="005F49A2" w:rsidP="005F49A2">
      <w:pPr>
        <w:pStyle w:val="Footer"/>
        <w:tabs>
          <w:tab w:val="left" w:pos="630"/>
        </w:tabs>
        <w:ind w:left="630"/>
        <w:rPr>
          <w:b/>
          <w:sz w:val="20"/>
          <w:szCs w:val="20"/>
        </w:rPr>
      </w:pPr>
    </w:p>
    <w:p w14:paraId="7F482C83" w14:textId="77777777" w:rsidR="005F49A2" w:rsidRDefault="005F49A2" w:rsidP="005F49A2">
      <w:pPr>
        <w:pStyle w:val="Footer"/>
        <w:tabs>
          <w:tab w:val="left" w:pos="630"/>
        </w:tabs>
        <w:ind w:left="630"/>
        <w:rPr>
          <w:b/>
          <w:sz w:val="20"/>
          <w:szCs w:val="20"/>
        </w:rPr>
      </w:pPr>
    </w:p>
    <w:p w14:paraId="42AB358E" w14:textId="77777777" w:rsidR="005F49A2" w:rsidRDefault="005F49A2" w:rsidP="005F49A2">
      <w:pPr>
        <w:pStyle w:val="Footer"/>
        <w:tabs>
          <w:tab w:val="left" w:pos="630"/>
        </w:tabs>
        <w:ind w:left="630"/>
        <w:rPr>
          <w:b/>
          <w:sz w:val="20"/>
          <w:szCs w:val="20"/>
        </w:rPr>
      </w:pPr>
    </w:p>
    <w:p w14:paraId="3D1413D3" w14:textId="77777777" w:rsidR="005F49A2" w:rsidRDefault="005F49A2" w:rsidP="005F49A2">
      <w:pPr>
        <w:pStyle w:val="Footer"/>
        <w:tabs>
          <w:tab w:val="left" w:pos="630"/>
        </w:tabs>
        <w:ind w:left="630"/>
        <w:rPr>
          <w:b/>
          <w:sz w:val="20"/>
          <w:szCs w:val="20"/>
        </w:rPr>
      </w:pPr>
    </w:p>
    <w:p w14:paraId="63457DAB" w14:textId="77777777" w:rsidR="005F49A2" w:rsidRDefault="005F49A2" w:rsidP="005F49A2">
      <w:pPr>
        <w:pStyle w:val="Footer"/>
        <w:tabs>
          <w:tab w:val="left" w:pos="630"/>
        </w:tabs>
        <w:ind w:left="630"/>
        <w:rPr>
          <w:b/>
          <w:sz w:val="20"/>
          <w:szCs w:val="20"/>
        </w:rPr>
      </w:pPr>
    </w:p>
    <w:p w14:paraId="5DD1D789" w14:textId="77777777" w:rsidR="005F49A2" w:rsidRDefault="005F49A2" w:rsidP="005F49A2">
      <w:pPr>
        <w:pStyle w:val="Footer"/>
        <w:tabs>
          <w:tab w:val="left" w:pos="630"/>
        </w:tabs>
        <w:ind w:left="630"/>
        <w:rPr>
          <w:b/>
          <w:sz w:val="20"/>
          <w:szCs w:val="20"/>
        </w:rPr>
      </w:pPr>
    </w:p>
    <w:p w14:paraId="6ADF0A8E" w14:textId="77777777" w:rsidR="005F49A2" w:rsidRDefault="005F49A2" w:rsidP="005F49A2">
      <w:pPr>
        <w:pStyle w:val="Footer"/>
        <w:tabs>
          <w:tab w:val="left" w:pos="630"/>
        </w:tabs>
        <w:ind w:left="630"/>
        <w:rPr>
          <w:b/>
          <w:sz w:val="20"/>
          <w:szCs w:val="20"/>
        </w:rPr>
      </w:pPr>
    </w:p>
    <w:p w14:paraId="61CC922C" w14:textId="77777777" w:rsidR="005F49A2" w:rsidRDefault="005F49A2" w:rsidP="005F49A2">
      <w:pPr>
        <w:pStyle w:val="Footer"/>
        <w:tabs>
          <w:tab w:val="left" w:pos="630"/>
        </w:tabs>
        <w:ind w:left="630"/>
        <w:rPr>
          <w:b/>
          <w:sz w:val="20"/>
          <w:szCs w:val="20"/>
        </w:rPr>
      </w:pPr>
    </w:p>
    <w:p w14:paraId="30D3A5F7" w14:textId="77777777" w:rsidR="005F49A2" w:rsidRDefault="005F49A2" w:rsidP="005F49A2">
      <w:pPr>
        <w:pStyle w:val="Footer"/>
        <w:tabs>
          <w:tab w:val="left" w:pos="630"/>
        </w:tabs>
        <w:ind w:left="630"/>
        <w:rPr>
          <w:b/>
          <w:sz w:val="20"/>
          <w:szCs w:val="20"/>
        </w:rPr>
      </w:pPr>
    </w:p>
    <w:p w14:paraId="10C70B04" w14:textId="77777777" w:rsidR="005F49A2" w:rsidRDefault="005F49A2" w:rsidP="005F49A2">
      <w:pPr>
        <w:pStyle w:val="Footer"/>
        <w:tabs>
          <w:tab w:val="left" w:pos="630"/>
        </w:tabs>
        <w:ind w:left="630"/>
        <w:rPr>
          <w:b/>
          <w:sz w:val="20"/>
          <w:szCs w:val="20"/>
        </w:rPr>
      </w:pPr>
    </w:p>
    <w:p w14:paraId="4031B2EA" w14:textId="77777777" w:rsidR="005F49A2" w:rsidRDefault="005F49A2" w:rsidP="005F49A2">
      <w:pPr>
        <w:pStyle w:val="Footer"/>
        <w:tabs>
          <w:tab w:val="left" w:pos="630"/>
        </w:tabs>
        <w:ind w:left="630"/>
        <w:rPr>
          <w:b/>
          <w:sz w:val="20"/>
          <w:szCs w:val="20"/>
        </w:rPr>
      </w:pPr>
    </w:p>
    <w:p w14:paraId="1FD2C0F3" w14:textId="77777777" w:rsidR="005F49A2" w:rsidRDefault="005F49A2" w:rsidP="005F49A2">
      <w:pPr>
        <w:pStyle w:val="Footer"/>
        <w:tabs>
          <w:tab w:val="left" w:pos="630"/>
        </w:tabs>
        <w:ind w:left="630"/>
        <w:rPr>
          <w:b/>
          <w:sz w:val="20"/>
          <w:szCs w:val="20"/>
        </w:rPr>
      </w:pPr>
    </w:p>
    <w:p w14:paraId="56B8899A" w14:textId="77777777" w:rsidR="005F49A2" w:rsidRDefault="005F49A2" w:rsidP="005F49A2">
      <w:pPr>
        <w:pStyle w:val="Footer"/>
        <w:tabs>
          <w:tab w:val="left" w:pos="630"/>
        </w:tabs>
        <w:ind w:left="630"/>
        <w:rPr>
          <w:b/>
          <w:sz w:val="20"/>
          <w:szCs w:val="20"/>
        </w:rPr>
      </w:pPr>
    </w:p>
    <w:p w14:paraId="0E3B9569" w14:textId="77777777" w:rsidR="005F49A2" w:rsidRDefault="005F49A2" w:rsidP="005F49A2">
      <w:pPr>
        <w:pStyle w:val="Footer"/>
        <w:tabs>
          <w:tab w:val="left" w:pos="630"/>
        </w:tabs>
        <w:ind w:left="630"/>
        <w:rPr>
          <w:b/>
          <w:sz w:val="20"/>
          <w:szCs w:val="20"/>
        </w:rPr>
      </w:pPr>
    </w:p>
    <w:p w14:paraId="1E58B4DE" w14:textId="77777777" w:rsidR="005F49A2" w:rsidRDefault="005F49A2" w:rsidP="005F49A2">
      <w:pPr>
        <w:pStyle w:val="Footer"/>
        <w:tabs>
          <w:tab w:val="left" w:pos="630"/>
        </w:tabs>
        <w:ind w:left="630"/>
        <w:rPr>
          <w:b/>
          <w:sz w:val="20"/>
          <w:szCs w:val="20"/>
        </w:rPr>
      </w:pPr>
    </w:p>
    <w:p w14:paraId="6A2C68A6" w14:textId="77777777" w:rsidR="005F49A2" w:rsidRDefault="005F49A2" w:rsidP="005F49A2">
      <w:pPr>
        <w:pStyle w:val="Footer"/>
        <w:tabs>
          <w:tab w:val="left" w:pos="630"/>
        </w:tabs>
        <w:ind w:left="630"/>
        <w:rPr>
          <w:b/>
          <w:sz w:val="20"/>
          <w:szCs w:val="20"/>
        </w:rPr>
      </w:pPr>
    </w:p>
    <w:p w14:paraId="05CB0D2A" w14:textId="77777777" w:rsidR="005F49A2" w:rsidRDefault="005F49A2" w:rsidP="005F49A2">
      <w:pPr>
        <w:pStyle w:val="Footer"/>
        <w:tabs>
          <w:tab w:val="left" w:pos="630"/>
        </w:tabs>
        <w:ind w:left="630"/>
        <w:rPr>
          <w:b/>
          <w:sz w:val="20"/>
          <w:szCs w:val="20"/>
        </w:rPr>
      </w:pPr>
    </w:p>
    <w:p w14:paraId="58CC4EAD" w14:textId="77777777" w:rsidR="005F49A2" w:rsidRDefault="005F49A2" w:rsidP="005F49A2">
      <w:pPr>
        <w:pStyle w:val="Footer"/>
        <w:tabs>
          <w:tab w:val="left" w:pos="630"/>
        </w:tabs>
        <w:ind w:left="630"/>
        <w:rPr>
          <w:b/>
          <w:sz w:val="20"/>
          <w:szCs w:val="20"/>
        </w:rPr>
      </w:pPr>
    </w:p>
    <w:p w14:paraId="1C2F31FD" w14:textId="77777777" w:rsidR="005F49A2" w:rsidRDefault="005F49A2" w:rsidP="005F49A2">
      <w:pPr>
        <w:pStyle w:val="Footer"/>
        <w:tabs>
          <w:tab w:val="left" w:pos="630"/>
        </w:tabs>
        <w:ind w:left="630"/>
        <w:rPr>
          <w:b/>
          <w:sz w:val="20"/>
          <w:szCs w:val="20"/>
        </w:rPr>
      </w:pPr>
    </w:p>
    <w:p w14:paraId="6153E601" w14:textId="77777777" w:rsidR="005F49A2" w:rsidRDefault="005F49A2" w:rsidP="005F49A2">
      <w:pPr>
        <w:pStyle w:val="Footer"/>
        <w:tabs>
          <w:tab w:val="left" w:pos="630"/>
        </w:tabs>
        <w:ind w:left="630"/>
        <w:rPr>
          <w:b/>
          <w:sz w:val="20"/>
          <w:szCs w:val="20"/>
        </w:rPr>
      </w:pPr>
    </w:p>
    <w:p w14:paraId="4C536DE8" w14:textId="77777777" w:rsidR="005F49A2" w:rsidRDefault="005F49A2" w:rsidP="005F49A2">
      <w:pPr>
        <w:pStyle w:val="Footer"/>
        <w:tabs>
          <w:tab w:val="left" w:pos="630"/>
        </w:tabs>
        <w:ind w:left="630"/>
        <w:rPr>
          <w:b/>
          <w:sz w:val="20"/>
          <w:szCs w:val="20"/>
        </w:rPr>
      </w:pPr>
    </w:p>
    <w:p w14:paraId="6458771B" w14:textId="77777777" w:rsidR="005F49A2" w:rsidRDefault="005F49A2" w:rsidP="005F49A2">
      <w:pPr>
        <w:pStyle w:val="Footer"/>
        <w:tabs>
          <w:tab w:val="left" w:pos="630"/>
        </w:tabs>
        <w:ind w:left="630"/>
        <w:rPr>
          <w:b/>
          <w:sz w:val="20"/>
          <w:szCs w:val="20"/>
        </w:rPr>
      </w:pPr>
    </w:p>
    <w:p w14:paraId="563AFF18" w14:textId="77777777" w:rsidR="005F49A2" w:rsidRDefault="005F49A2" w:rsidP="005F49A2">
      <w:pPr>
        <w:pStyle w:val="Footer"/>
        <w:tabs>
          <w:tab w:val="left" w:pos="630"/>
        </w:tabs>
        <w:ind w:left="630"/>
        <w:rPr>
          <w:b/>
          <w:sz w:val="20"/>
          <w:szCs w:val="20"/>
        </w:rPr>
      </w:pPr>
    </w:p>
    <w:p w14:paraId="665D4C72" w14:textId="77777777" w:rsidR="005F49A2" w:rsidRDefault="005F49A2" w:rsidP="005F49A2">
      <w:pPr>
        <w:pStyle w:val="Footer"/>
        <w:tabs>
          <w:tab w:val="left" w:pos="630"/>
        </w:tabs>
        <w:ind w:left="630"/>
        <w:rPr>
          <w:b/>
          <w:sz w:val="20"/>
          <w:szCs w:val="20"/>
        </w:rPr>
      </w:pPr>
    </w:p>
    <w:p w14:paraId="3AF37324" w14:textId="77777777" w:rsidR="005F49A2" w:rsidRDefault="005F49A2" w:rsidP="005F49A2">
      <w:pPr>
        <w:pStyle w:val="Footer"/>
        <w:tabs>
          <w:tab w:val="left" w:pos="630"/>
        </w:tabs>
        <w:ind w:left="630"/>
        <w:rPr>
          <w:b/>
          <w:sz w:val="20"/>
          <w:szCs w:val="20"/>
        </w:rPr>
      </w:pPr>
    </w:p>
    <w:p w14:paraId="137C1C14" w14:textId="77777777" w:rsidR="005F49A2" w:rsidRDefault="005F49A2" w:rsidP="005F49A2">
      <w:pPr>
        <w:pStyle w:val="Footer"/>
        <w:tabs>
          <w:tab w:val="left" w:pos="630"/>
        </w:tabs>
        <w:ind w:left="630"/>
        <w:rPr>
          <w:b/>
          <w:sz w:val="20"/>
          <w:szCs w:val="20"/>
        </w:rPr>
      </w:pPr>
    </w:p>
    <w:p w14:paraId="4B9D703B" w14:textId="77777777" w:rsidR="005F49A2" w:rsidRDefault="005F49A2" w:rsidP="005F49A2">
      <w:pPr>
        <w:pStyle w:val="Footer"/>
        <w:tabs>
          <w:tab w:val="left" w:pos="630"/>
        </w:tabs>
        <w:ind w:left="630"/>
        <w:rPr>
          <w:b/>
          <w:sz w:val="20"/>
          <w:szCs w:val="20"/>
        </w:rPr>
      </w:pPr>
    </w:p>
    <w:p w14:paraId="6ED2FC7B" w14:textId="77777777" w:rsidR="005F49A2" w:rsidRDefault="005F49A2" w:rsidP="005F49A2">
      <w:pPr>
        <w:pStyle w:val="Footer"/>
        <w:tabs>
          <w:tab w:val="left" w:pos="630"/>
        </w:tabs>
        <w:ind w:left="630"/>
        <w:rPr>
          <w:b/>
          <w:sz w:val="20"/>
          <w:szCs w:val="20"/>
        </w:rPr>
      </w:pPr>
    </w:p>
    <w:p w14:paraId="7A63FFD1" w14:textId="77777777" w:rsidR="005F49A2" w:rsidRDefault="005F49A2" w:rsidP="005F49A2">
      <w:pPr>
        <w:pStyle w:val="Footer"/>
        <w:tabs>
          <w:tab w:val="left" w:pos="630"/>
        </w:tabs>
        <w:ind w:left="630"/>
        <w:rPr>
          <w:b/>
          <w:sz w:val="20"/>
          <w:szCs w:val="20"/>
        </w:rPr>
      </w:pPr>
    </w:p>
    <w:p w14:paraId="5679C930" w14:textId="77777777" w:rsidR="005F49A2" w:rsidRDefault="005F49A2" w:rsidP="005F49A2">
      <w:pPr>
        <w:pStyle w:val="Footer"/>
        <w:tabs>
          <w:tab w:val="left" w:pos="630"/>
        </w:tabs>
        <w:ind w:left="630"/>
        <w:rPr>
          <w:b/>
          <w:sz w:val="20"/>
          <w:szCs w:val="20"/>
        </w:rPr>
      </w:pPr>
    </w:p>
    <w:p w14:paraId="59054F16" w14:textId="77777777" w:rsidR="005F49A2" w:rsidRDefault="005F49A2" w:rsidP="005F49A2">
      <w:pPr>
        <w:pStyle w:val="Footer"/>
        <w:tabs>
          <w:tab w:val="left" w:pos="630"/>
        </w:tabs>
        <w:ind w:left="630"/>
        <w:rPr>
          <w:b/>
          <w:sz w:val="20"/>
          <w:szCs w:val="20"/>
        </w:rPr>
      </w:pPr>
    </w:p>
    <w:p w14:paraId="19F1936E" w14:textId="77777777" w:rsidR="005F49A2" w:rsidRDefault="005F49A2" w:rsidP="005F49A2">
      <w:pPr>
        <w:pStyle w:val="Footer"/>
        <w:tabs>
          <w:tab w:val="left" w:pos="630"/>
        </w:tabs>
        <w:ind w:left="630"/>
        <w:rPr>
          <w:b/>
          <w:sz w:val="20"/>
          <w:szCs w:val="20"/>
        </w:rPr>
      </w:pPr>
    </w:p>
    <w:p w14:paraId="3F5A51E3" w14:textId="77777777" w:rsidR="005F49A2" w:rsidRDefault="005F49A2" w:rsidP="005F49A2">
      <w:pPr>
        <w:pStyle w:val="Footer"/>
        <w:tabs>
          <w:tab w:val="left" w:pos="630"/>
        </w:tabs>
        <w:ind w:left="630"/>
        <w:rPr>
          <w:b/>
          <w:sz w:val="20"/>
          <w:szCs w:val="20"/>
        </w:rPr>
      </w:pPr>
    </w:p>
    <w:p w14:paraId="18BFE90F" w14:textId="77777777" w:rsidR="005F49A2" w:rsidRDefault="005F49A2" w:rsidP="005F49A2">
      <w:pPr>
        <w:pStyle w:val="Footer"/>
        <w:tabs>
          <w:tab w:val="left" w:pos="630"/>
        </w:tabs>
        <w:ind w:left="630"/>
        <w:rPr>
          <w:b/>
          <w:sz w:val="20"/>
          <w:szCs w:val="20"/>
        </w:rPr>
      </w:pPr>
    </w:p>
    <w:p w14:paraId="34733242" w14:textId="77777777" w:rsidR="005F49A2" w:rsidRDefault="005F49A2" w:rsidP="005F49A2">
      <w:pPr>
        <w:pStyle w:val="Footer"/>
        <w:tabs>
          <w:tab w:val="left" w:pos="630"/>
        </w:tabs>
        <w:ind w:left="630"/>
        <w:rPr>
          <w:b/>
          <w:sz w:val="20"/>
          <w:szCs w:val="20"/>
        </w:rPr>
      </w:pPr>
    </w:p>
    <w:p w14:paraId="1962938B" w14:textId="77777777" w:rsidR="005F49A2" w:rsidRDefault="005F49A2" w:rsidP="005F49A2">
      <w:pPr>
        <w:pStyle w:val="Footer"/>
        <w:tabs>
          <w:tab w:val="left" w:pos="630"/>
        </w:tabs>
        <w:ind w:left="630"/>
        <w:rPr>
          <w:b/>
          <w:sz w:val="20"/>
          <w:szCs w:val="20"/>
        </w:rPr>
      </w:pPr>
    </w:p>
    <w:p w14:paraId="73FC567E" w14:textId="77777777" w:rsidR="005F49A2" w:rsidRDefault="005F49A2" w:rsidP="005F49A2">
      <w:pPr>
        <w:pStyle w:val="Footer"/>
        <w:tabs>
          <w:tab w:val="left" w:pos="630"/>
        </w:tabs>
        <w:ind w:left="630"/>
        <w:rPr>
          <w:b/>
          <w:sz w:val="20"/>
          <w:szCs w:val="20"/>
        </w:rPr>
      </w:pPr>
    </w:p>
    <w:p w14:paraId="2BD9FF5D" w14:textId="77777777" w:rsidR="005F49A2" w:rsidRDefault="005F49A2" w:rsidP="005F49A2">
      <w:pPr>
        <w:pStyle w:val="Footer"/>
        <w:tabs>
          <w:tab w:val="left" w:pos="630"/>
        </w:tabs>
        <w:ind w:left="630"/>
        <w:rPr>
          <w:b/>
          <w:sz w:val="20"/>
          <w:szCs w:val="20"/>
        </w:rPr>
      </w:pPr>
    </w:p>
    <w:p w14:paraId="350491A6" w14:textId="77777777" w:rsidR="005F49A2" w:rsidRDefault="005F49A2" w:rsidP="005F49A2">
      <w:pPr>
        <w:pStyle w:val="Footer"/>
        <w:tabs>
          <w:tab w:val="left" w:pos="630"/>
        </w:tabs>
        <w:ind w:left="630"/>
        <w:rPr>
          <w:b/>
          <w:sz w:val="20"/>
          <w:szCs w:val="20"/>
        </w:rPr>
      </w:pPr>
    </w:p>
    <w:p w14:paraId="0C86962F" w14:textId="77777777" w:rsidR="005F49A2" w:rsidRDefault="005F49A2" w:rsidP="005F49A2">
      <w:pPr>
        <w:pStyle w:val="Footer"/>
        <w:tabs>
          <w:tab w:val="left" w:pos="630"/>
        </w:tabs>
        <w:ind w:left="630"/>
        <w:rPr>
          <w:b/>
          <w:sz w:val="20"/>
          <w:szCs w:val="20"/>
        </w:rPr>
      </w:pPr>
    </w:p>
    <w:p w14:paraId="6C3DC4C3" w14:textId="77777777" w:rsidR="005F49A2" w:rsidRDefault="005F49A2" w:rsidP="005F49A2">
      <w:pPr>
        <w:pStyle w:val="Footer"/>
        <w:tabs>
          <w:tab w:val="left" w:pos="630"/>
        </w:tabs>
        <w:ind w:left="630"/>
        <w:rPr>
          <w:b/>
          <w:sz w:val="20"/>
          <w:szCs w:val="20"/>
        </w:rPr>
      </w:pPr>
    </w:p>
    <w:p w14:paraId="61F6D6B2" w14:textId="77777777" w:rsidR="005F49A2" w:rsidRDefault="005F49A2" w:rsidP="005F49A2">
      <w:pPr>
        <w:pStyle w:val="Footer"/>
        <w:tabs>
          <w:tab w:val="left" w:pos="630"/>
        </w:tabs>
        <w:ind w:left="630"/>
        <w:rPr>
          <w:b/>
          <w:sz w:val="20"/>
          <w:szCs w:val="20"/>
        </w:rPr>
      </w:pPr>
    </w:p>
    <w:p w14:paraId="3DBCE4EB" w14:textId="77777777" w:rsidR="005F49A2" w:rsidRDefault="005F49A2" w:rsidP="005F49A2">
      <w:pPr>
        <w:pStyle w:val="Footer"/>
        <w:tabs>
          <w:tab w:val="left" w:pos="630"/>
        </w:tabs>
        <w:ind w:left="630"/>
        <w:rPr>
          <w:b/>
          <w:sz w:val="20"/>
          <w:szCs w:val="20"/>
        </w:rPr>
      </w:pPr>
    </w:p>
    <w:p w14:paraId="2E9CC4BD" w14:textId="77777777" w:rsidR="005F49A2" w:rsidRDefault="005F49A2" w:rsidP="005F49A2">
      <w:pPr>
        <w:pStyle w:val="Footer"/>
        <w:tabs>
          <w:tab w:val="left" w:pos="630"/>
        </w:tabs>
        <w:ind w:left="630"/>
        <w:rPr>
          <w:b/>
          <w:sz w:val="20"/>
          <w:szCs w:val="20"/>
        </w:rPr>
      </w:pPr>
    </w:p>
    <w:p w14:paraId="0B95D77C" w14:textId="77777777" w:rsidR="005F49A2" w:rsidRDefault="005F49A2" w:rsidP="005F49A2">
      <w:pPr>
        <w:pStyle w:val="Footer"/>
        <w:tabs>
          <w:tab w:val="left" w:pos="630"/>
        </w:tabs>
        <w:ind w:left="630"/>
        <w:rPr>
          <w:b/>
          <w:sz w:val="20"/>
          <w:szCs w:val="20"/>
        </w:rPr>
      </w:pPr>
    </w:p>
    <w:p w14:paraId="39659D3E" w14:textId="77777777" w:rsidR="005F49A2" w:rsidRDefault="005F49A2" w:rsidP="005F49A2">
      <w:pPr>
        <w:pStyle w:val="Footer"/>
        <w:tabs>
          <w:tab w:val="left" w:pos="630"/>
        </w:tabs>
        <w:ind w:left="630"/>
        <w:rPr>
          <w:b/>
          <w:sz w:val="20"/>
          <w:szCs w:val="20"/>
        </w:rPr>
      </w:pPr>
    </w:p>
    <w:p w14:paraId="4B786552" w14:textId="77777777" w:rsidR="005F49A2" w:rsidRDefault="005F49A2" w:rsidP="005F49A2">
      <w:pPr>
        <w:pStyle w:val="Footer"/>
        <w:tabs>
          <w:tab w:val="left" w:pos="630"/>
        </w:tabs>
        <w:ind w:left="630"/>
        <w:rPr>
          <w:b/>
          <w:sz w:val="20"/>
          <w:szCs w:val="20"/>
        </w:rPr>
      </w:pPr>
    </w:p>
    <w:p w14:paraId="65EB4DC9" w14:textId="77777777" w:rsidR="005F49A2" w:rsidRDefault="005F49A2" w:rsidP="005F49A2">
      <w:pPr>
        <w:pStyle w:val="Footer"/>
        <w:tabs>
          <w:tab w:val="left" w:pos="630"/>
        </w:tabs>
        <w:ind w:left="630"/>
        <w:rPr>
          <w:b/>
          <w:sz w:val="20"/>
          <w:szCs w:val="20"/>
        </w:rPr>
      </w:pPr>
    </w:p>
    <w:p w14:paraId="15DCBB6B" w14:textId="77777777" w:rsidR="005F49A2" w:rsidRDefault="005F49A2" w:rsidP="005F49A2">
      <w:pPr>
        <w:pStyle w:val="Footer"/>
        <w:tabs>
          <w:tab w:val="left" w:pos="630"/>
        </w:tabs>
        <w:ind w:left="630"/>
        <w:rPr>
          <w:b/>
          <w:sz w:val="20"/>
          <w:szCs w:val="20"/>
        </w:rPr>
      </w:pPr>
    </w:p>
    <w:p w14:paraId="59D68C24" w14:textId="19561127" w:rsidR="005F49A2" w:rsidRPr="006942D9" w:rsidRDefault="005F49A2" w:rsidP="005F49A2">
      <w:pPr>
        <w:pStyle w:val="Footer"/>
        <w:tabs>
          <w:tab w:val="left" w:pos="630"/>
        </w:tabs>
        <w:ind w:left="630"/>
        <w:rPr>
          <w:sz w:val="20"/>
          <w:szCs w:val="20"/>
        </w:rPr>
      </w:pPr>
      <w:r w:rsidRPr="006942D9">
        <w:rPr>
          <w:b/>
          <w:sz w:val="20"/>
          <w:szCs w:val="20"/>
        </w:rPr>
        <w:t>Place Microdialysis Samples on Dry Ice and keep at bedside for pick up by Protocol Nurse</w:t>
      </w:r>
      <w:r w:rsidRPr="006942D9">
        <w:rPr>
          <w:sz w:val="20"/>
          <w:szCs w:val="20"/>
        </w:rPr>
        <w:t xml:space="preserve">   </w:t>
      </w:r>
    </w:p>
    <w:p w14:paraId="16CB28C8" w14:textId="77777777" w:rsidR="005F49A2" w:rsidRPr="00011826" w:rsidRDefault="005F49A2" w:rsidP="005F49A2">
      <w:pPr>
        <w:pStyle w:val="Footer"/>
        <w:ind w:left="630"/>
        <w:rPr>
          <w:sz w:val="22"/>
          <w:szCs w:val="22"/>
        </w:rPr>
      </w:pPr>
      <w:r w:rsidRPr="00011826">
        <w:rPr>
          <w:sz w:val="22"/>
          <w:szCs w:val="22"/>
        </w:rPr>
        <w:t xml:space="preserve">* Use </w:t>
      </w:r>
      <w:r w:rsidRPr="00011826">
        <w:rPr>
          <w:b/>
          <w:sz w:val="22"/>
          <w:szCs w:val="22"/>
        </w:rPr>
        <w:t>wall clock</w:t>
      </w:r>
      <w:r w:rsidRPr="00011826">
        <w:rPr>
          <w:sz w:val="22"/>
          <w:szCs w:val="22"/>
        </w:rPr>
        <w:t xml:space="preserve"> to record time (record </w:t>
      </w:r>
      <w:r w:rsidRPr="00011826">
        <w:rPr>
          <w:sz w:val="22"/>
          <w:szCs w:val="22"/>
          <w:u w:val="single"/>
        </w:rPr>
        <w:t>real</w:t>
      </w:r>
      <w:r w:rsidRPr="00011826">
        <w:rPr>
          <w:sz w:val="22"/>
          <w:szCs w:val="22"/>
        </w:rPr>
        <w:t xml:space="preserve"> time to the nearest minute)</w:t>
      </w:r>
    </w:p>
    <w:p w14:paraId="0AE8431F" w14:textId="77777777" w:rsidR="005F49A2" w:rsidRPr="00831A11" w:rsidRDefault="005F49A2" w:rsidP="005F49A2">
      <w:pPr>
        <w:ind w:left="630"/>
        <w:rPr>
          <w:sz w:val="16"/>
          <w:szCs w:val="16"/>
        </w:rPr>
      </w:pPr>
    </w:p>
    <w:p w14:paraId="2BF2527D" w14:textId="77777777" w:rsidR="005F49A2" w:rsidRPr="00CE1D05" w:rsidRDefault="005F49A2" w:rsidP="00CE1D05"/>
    <w:sectPr w:rsidR="005F49A2" w:rsidRPr="00CE1D05" w:rsidSect="00CE1D05">
      <w:pgSz w:w="12240" w:h="15840"/>
      <w:pgMar w:top="960" w:right="620" w:bottom="1440" w:left="960" w:header="727" w:footer="12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93D13" w14:textId="77777777" w:rsidR="006443E5" w:rsidRDefault="006443E5">
      <w:pPr>
        <w:spacing w:line="20" w:lineRule="exact"/>
      </w:pPr>
    </w:p>
    <w:p w14:paraId="6DD8F6A3" w14:textId="77777777" w:rsidR="006443E5" w:rsidRDefault="006443E5"/>
    <w:p w14:paraId="377ACB6B" w14:textId="77777777" w:rsidR="006443E5" w:rsidRDefault="006443E5"/>
  </w:endnote>
  <w:endnote w:type="continuationSeparator" w:id="0">
    <w:p w14:paraId="694422C1" w14:textId="77777777" w:rsidR="006443E5" w:rsidRDefault="006443E5">
      <w:r>
        <w:t xml:space="preserve"> </w:t>
      </w:r>
    </w:p>
    <w:p w14:paraId="75F636BA" w14:textId="77777777" w:rsidR="006443E5" w:rsidRDefault="006443E5"/>
    <w:p w14:paraId="019E7E00" w14:textId="77777777" w:rsidR="006443E5" w:rsidRDefault="006443E5"/>
  </w:endnote>
  <w:endnote w:type="continuationNotice" w:id="1">
    <w:p w14:paraId="1DB378C0" w14:textId="77777777" w:rsidR="006443E5" w:rsidRDefault="006443E5">
      <w:r>
        <w:t xml:space="preserve"> </w:t>
      </w:r>
    </w:p>
    <w:p w14:paraId="092C3053" w14:textId="77777777" w:rsidR="006443E5" w:rsidRDefault="006443E5"/>
    <w:p w14:paraId="7F469A12" w14:textId="77777777" w:rsidR="006443E5" w:rsidRDefault="006443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ahoma"/>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D623C" w14:textId="661BD2D7" w:rsidR="001617F4" w:rsidRDefault="001617F4" w:rsidP="00E43A30">
    <w:pPr>
      <w:pStyle w:val="Footer"/>
      <w:jc w:val="center"/>
    </w:pPr>
    <w:r>
      <w:fldChar w:fldCharType="begin"/>
    </w:r>
    <w:r>
      <w:instrText xml:space="preserve"> PAGE   \* MERGEFORMAT </w:instrText>
    </w:r>
    <w:r>
      <w:fldChar w:fldCharType="separate"/>
    </w:r>
    <w:r w:rsidR="00C72376">
      <w:rPr>
        <w:noProof/>
      </w:rPr>
      <w:t>21</w:t>
    </w:r>
    <w:r>
      <w:rPr>
        <w:noProof/>
      </w:rPr>
      <w:fldChar w:fldCharType="end"/>
    </w:r>
  </w:p>
  <w:p w14:paraId="14CC1984" w14:textId="77777777" w:rsidR="0039678B" w:rsidRDefault="0039678B"/>
  <w:p w14:paraId="1AADBC3D" w14:textId="77777777" w:rsidR="0039678B" w:rsidRDefault="003967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5CFC9" w14:textId="2A0218D0" w:rsidR="001617F4" w:rsidRPr="003E0235" w:rsidRDefault="001617F4" w:rsidP="003E0235">
    <w:pPr>
      <w:pStyle w:val="Footer"/>
      <w:jc w:val="center"/>
    </w:pPr>
    <w:r>
      <w:fldChar w:fldCharType="begin"/>
    </w:r>
    <w:r>
      <w:instrText xml:space="preserve"> PAGE   \* MERGEFORMAT </w:instrText>
    </w:r>
    <w:r>
      <w:fldChar w:fldCharType="separate"/>
    </w:r>
    <w:r w:rsidR="00C72376">
      <w:rPr>
        <w:noProof/>
      </w:rPr>
      <w:t>1</w:t>
    </w:r>
    <w:r>
      <w:rPr>
        <w:noProof/>
      </w:rPr>
      <w:fldChar w:fldCharType="end"/>
    </w:r>
  </w:p>
  <w:p w14:paraId="6756DACB" w14:textId="77777777" w:rsidR="0039678B" w:rsidRDefault="0039678B"/>
  <w:p w14:paraId="51F39558" w14:textId="77777777" w:rsidR="0039678B" w:rsidRDefault="0039678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8903" w14:textId="101FF6BD" w:rsidR="001617F4" w:rsidRDefault="001617F4" w:rsidP="00E43A30">
    <w:pPr>
      <w:pStyle w:val="Footer"/>
      <w:jc w:val="center"/>
    </w:pPr>
    <w:r>
      <w:fldChar w:fldCharType="begin"/>
    </w:r>
    <w:r>
      <w:instrText xml:space="preserve"> PAGE   \* MERGEFORMAT </w:instrText>
    </w:r>
    <w:r>
      <w:fldChar w:fldCharType="separate"/>
    </w:r>
    <w:r w:rsidR="00C72376">
      <w:rPr>
        <w:noProof/>
      </w:rPr>
      <w:t>104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D42B5" w14:textId="09DBD5EB" w:rsidR="001617F4" w:rsidRPr="003E0235" w:rsidRDefault="001617F4" w:rsidP="003E0235">
    <w:pPr>
      <w:pStyle w:val="Footer"/>
      <w:jc w:val="center"/>
    </w:pPr>
    <w:r>
      <w:fldChar w:fldCharType="begin"/>
    </w:r>
    <w:r>
      <w:instrText xml:space="preserve"> PAGE   \* MERGEFORMAT </w:instrText>
    </w:r>
    <w:r>
      <w:fldChar w:fldCharType="separate"/>
    </w:r>
    <w:r>
      <w:rPr>
        <w:noProof/>
      </w:rPr>
      <w:t>127</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4D2F7" w14:textId="32F9B6EE" w:rsidR="001617F4" w:rsidRPr="00E84F4C" w:rsidRDefault="001617F4" w:rsidP="00E84F4C">
    <w:pPr>
      <w:pStyle w:val="Footer"/>
      <w:jc w:val="center"/>
      <w:rPr>
        <w:noProof/>
      </w:rPr>
    </w:pPr>
    <w:r>
      <w:rPr>
        <w:noProof/>
      </w:rPr>
      <w:fldChar w:fldCharType="begin"/>
    </w:r>
    <w:r>
      <w:rPr>
        <w:noProof/>
      </w:rPr>
      <w:instrText xml:space="preserve"> PAGE   \* MERGEFORMAT </w:instrText>
    </w:r>
    <w:r>
      <w:rPr>
        <w:noProof/>
      </w:rPr>
      <w:fldChar w:fldCharType="separate"/>
    </w:r>
    <w:r w:rsidR="00767EE4">
      <w:rPr>
        <w:noProof/>
      </w:rPr>
      <w:t>140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107F3" w14:textId="77777777" w:rsidR="006443E5" w:rsidRDefault="006443E5">
      <w:r>
        <w:separator/>
      </w:r>
    </w:p>
    <w:p w14:paraId="547AE7D7" w14:textId="77777777" w:rsidR="006443E5" w:rsidRDefault="006443E5"/>
    <w:p w14:paraId="0A1D18F9" w14:textId="77777777" w:rsidR="006443E5" w:rsidRDefault="006443E5"/>
  </w:footnote>
  <w:footnote w:type="continuationSeparator" w:id="0">
    <w:p w14:paraId="3AC283FE" w14:textId="77777777" w:rsidR="006443E5" w:rsidRDefault="006443E5">
      <w:r>
        <w:continuationSeparator/>
      </w:r>
    </w:p>
    <w:p w14:paraId="534E6829" w14:textId="77777777" w:rsidR="006443E5" w:rsidRDefault="006443E5"/>
    <w:p w14:paraId="01FED247" w14:textId="77777777" w:rsidR="006443E5" w:rsidRDefault="006443E5"/>
  </w:footnote>
  <w:footnote w:type="continuationNotice" w:id="1">
    <w:p w14:paraId="483715A6" w14:textId="77777777" w:rsidR="006443E5" w:rsidRDefault="006443E5"/>
    <w:p w14:paraId="04465381" w14:textId="77777777" w:rsidR="006443E5" w:rsidRDefault="006443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7C044" w14:textId="1BCDD4C1" w:rsidR="001617F4" w:rsidRPr="002322E3" w:rsidRDefault="001617F4" w:rsidP="00C53B94">
    <w:pPr>
      <w:pStyle w:val="Header"/>
      <w:rPr>
        <w:i w:val="0"/>
        <w:iCs/>
        <w:color w:val="auto"/>
      </w:rPr>
    </w:pPr>
    <w:r w:rsidRPr="00C53B94">
      <w:t>NCI</w:t>
    </w:r>
    <w:r w:rsidRPr="00850F5D">
      <w:t xml:space="preserve"> Protocol #:</w:t>
    </w:r>
    <w:r w:rsidR="000910E2">
      <w:t xml:space="preserve">  </w:t>
    </w:r>
    <w:r w:rsidR="000910E2" w:rsidRPr="002322E3">
      <w:rPr>
        <w:i w:val="0"/>
        <w:iCs/>
        <w:color w:val="auto"/>
      </w:rPr>
      <w:t>10699</w:t>
    </w:r>
  </w:p>
  <w:p w14:paraId="1237B09F" w14:textId="71B5C3A8" w:rsidR="001617F4" w:rsidRPr="002322E3" w:rsidRDefault="001617F4" w:rsidP="00C53B94">
    <w:pPr>
      <w:pStyle w:val="Header"/>
      <w:rPr>
        <w:i w:val="0"/>
        <w:iCs/>
        <w:color w:val="auto"/>
      </w:rPr>
    </w:pPr>
    <w:r w:rsidRPr="002322E3">
      <w:rPr>
        <w:color w:val="auto"/>
      </w:rPr>
      <w:t>Version Date:</w:t>
    </w:r>
    <w:r w:rsidR="000910E2" w:rsidRPr="002322E3">
      <w:rPr>
        <w:color w:val="auto"/>
      </w:rPr>
      <w:t xml:space="preserve">  </w:t>
    </w:r>
    <w:r w:rsidR="00581A1B">
      <w:rPr>
        <w:i w:val="0"/>
        <w:iCs/>
        <w:color w:val="auto"/>
      </w:rPr>
      <w:t>September</w:t>
    </w:r>
    <w:r w:rsidR="00807A02" w:rsidRPr="002322E3">
      <w:rPr>
        <w:i w:val="0"/>
        <w:iCs/>
        <w:color w:val="auto"/>
      </w:rPr>
      <w:t xml:space="preserve"> </w:t>
    </w:r>
    <w:r w:rsidR="00AF74BB">
      <w:rPr>
        <w:i w:val="0"/>
        <w:iCs/>
        <w:color w:val="auto"/>
      </w:rPr>
      <w:t>20</w:t>
    </w:r>
    <w:r w:rsidR="00093643" w:rsidRPr="002322E3">
      <w:rPr>
        <w:i w:val="0"/>
        <w:iCs/>
        <w:color w:val="auto"/>
      </w:rPr>
      <w:t>, 2024</w:t>
    </w:r>
  </w:p>
  <w:p w14:paraId="7D7F74E9" w14:textId="77777777" w:rsidR="001617F4" w:rsidRDefault="001617F4" w:rsidP="00C53B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A87F3" w14:textId="77777777" w:rsidR="001617F4" w:rsidRDefault="001617F4" w:rsidP="00C53B94">
    <w:pPr>
      <w:pStyle w:val="Header"/>
    </w:pPr>
  </w:p>
  <w:p w14:paraId="0DFEB895" w14:textId="77777777" w:rsidR="0039678B" w:rsidRDefault="0039678B"/>
  <w:p w14:paraId="3873D3FB" w14:textId="77777777" w:rsidR="0039678B" w:rsidRDefault="0039678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BA7FD" w14:textId="77777777" w:rsidR="001617F4" w:rsidRPr="000948CA" w:rsidRDefault="001617F4" w:rsidP="000948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EB8A7" w14:textId="12289D45" w:rsidR="001617F4" w:rsidRPr="00F93561" w:rsidRDefault="001617F4" w:rsidP="00145D72">
    <w:pPr>
      <w:pStyle w:val="Header"/>
      <w:rPr>
        <w:i w:val="0"/>
        <w:iCs/>
        <w:color w:val="auto"/>
      </w:rPr>
    </w:pPr>
    <w:r w:rsidRPr="00C53B94">
      <w:t>NCI</w:t>
    </w:r>
    <w:r w:rsidRPr="00850F5D">
      <w:t xml:space="preserve"> Protocol #:</w:t>
    </w:r>
    <w:r w:rsidR="000A7543">
      <w:rPr>
        <w:i w:val="0"/>
        <w:iCs/>
      </w:rPr>
      <w:t xml:space="preserve">  </w:t>
    </w:r>
    <w:r w:rsidR="000A7543" w:rsidRPr="00F93561">
      <w:rPr>
        <w:i w:val="0"/>
        <w:iCs/>
        <w:color w:val="auto"/>
      </w:rPr>
      <w:t>10699</w:t>
    </w:r>
  </w:p>
  <w:p w14:paraId="422ECA57" w14:textId="1F5ACFFB" w:rsidR="001617F4" w:rsidRPr="00F93561" w:rsidRDefault="001617F4" w:rsidP="00145D72">
    <w:pPr>
      <w:pStyle w:val="Header"/>
      <w:rPr>
        <w:i w:val="0"/>
        <w:iCs/>
        <w:color w:val="auto"/>
      </w:rPr>
    </w:pPr>
    <w:r w:rsidRPr="00F93561">
      <w:rPr>
        <w:color w:val="auto"/>
      </w:rPr>
      <w:t>Version Date:</w:t>
    </w:r>
    <w:r w:rsidR="000A7543" w:rsidRPr="00F93561">
      <w:rPr>
        <w:color w:val="auto"/>
      </w:rPr>
      <w:t xml:space="preserve">  </w:t>
    </w:r>
    <w:r w:rsidR="00581A1B">
      <w:rPr>
        <w:i w:val="0"/>
        <w:iCs/>
        <w:color w:val="auto"/>
      </w:rPr>
      <w:t>September</w:t>
    </w:r>
    <w:r w:rsidR="0026310C" w:rsidRPr="00F93561">
      <w:rPr>
        <w:i w:val="0"/>
        <w:iCs/>
        <w:color w:val="auto"/>
      </w:rPr>
      <w:t xml:space="preserve"> </w:t>
    </w:r>
    <w:r w:rsidR="0050799F">
      <w:rPr>
        <w:i w:val="0"/>
        <w:iCs/>
        <w:color w:val="auto"/>
      </w:rPr>
      <w:t>2</w:t>
    </w:r>
    <w:r w:rsidR="003B13CC">
      <w:rPr>
        <w:i w:val="0"/>
        <w:iCs/>
        <w:color w:val="auto"/>
      </w:rPr>
      <w:t>0</w:t>
    </w:r>
    <w:r w:rsidR="000A7543" w:rsidRPr="00F93561">
      <w:rPr>
        <w:i w:val="0"/>
        <w:iCs/>
        <w:color w:val="auto"/>
      </w:rPr>
      <w:t>, 2024</w:t>
    </w:r>
  </w:p>
  <w:p w14:paraId="1F926873" w14:textId="1BE50A71" w:rsidR="001617F4" w:rsidRDefault="001617F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49D1E" w14:textId="77777777" w:rsidR="001617F4" w:rsidRPr="000948CA" w:rsidRDefault="001617F4" w:rsidP="000948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A057D4"/>
    <w:lvl w:ilvl="0">
      <w:start w:val="1"/>
      <w:numFmt w:val="decimal"/>
      <w:pStyle w:val="ListNumber5"/>
      <w:lvlText w:val="%1."/>
      <w:lvlJc w:val="left"/>
      <w:pPr>
        <w:tabs>
          <w:tab w:val="num" w:pos="4320"/>
        </w:tabs>
        <w:ind w:left="4320" w:hanging="360"/>
      </w:pPr>
    </w:lvl>
  </w:abstractNum>
  <w:abstractNum w:abstractNumId="1" w15:restartNumberingAfterBreak="0">
    <w:nsid w:val="FFFFFF7D"/>
    <w:multiLevelType w:val="singleLevel"/>
    <w:tmpl w:val="9BF0D76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18488B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846D1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87241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2CA1C8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34CB1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D2951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7F2D6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0A7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18"/>
    <w:multiLevelType w:val="multilevel"/>
    <w:tmpl w:val="0000089B"/>
    <w:lvl w:ilvl="0">
      <w:numFmt w:val="bullet"/>
      <w:lvlText w:val=""/>
      <w:lvlJc w:val="left"/>
      <w:pPr>
        <w:ind w:left="1180" w:hanging="360"/>
      </w:pPr>
      <w:rPr>
        <w:rFonts w:ascii="Symbol" w:hAnsi="Symbol"/>
        <w:b w:val="0"/>
        <w:sz w:val="24"/>
      </w:rPr>
    </w:lvl>
    <w:lvl w:ilvl="1">
      <w:numFmt w:val="bullet"/>
      <w:lvlText w:val="•"/>
      <w:lvlJc w:val="left"/>
      <w:pPr>
        <w:ind w:left="2020" w:hanging="360"/>
      </w:pPr>
    </w:lvl>
    <w:lvl w:ilvl="2">
      <w:numFmt w:val="bullet"/>
      <w:lvlText w:val="•"/>
      <w:lvlJc w:val="left"/>
      <w:pPr>
        <w:ind w:left="2860" w:hanging="360"/>
      </w:pPr>
    </w:lvl>
    <w:lvl w:ilvl="3">
      <w:numFmt w:val="bullet"/>
      <w:lvlText w:val="•"/>
      <w:lvlJc w:val="left"/>
      <w:pPr>
        <w:ind w:left="3700" w:hanging="360"/>
      </w:pPr>
    </w:lvl>
    <w:lvl w:ilvl="4">
      <w:numFmt w:val="bullet"/>
      <w:lvlText w:val="•"/>
      <w:lvlJc w:val="left"/>
      <w:pPr>
        <w:ind w:left="4540" w:hanging="360"/>
      </w:pPr>
    </w:lvl>
    <w:lvl w:ilvl="5">
      <w:numFmt w:val="bullet"/>
      <w:lvlText w:val="•"/>
      <w:lvlJc w:val="left"/>
      <w:pPr>
        <w:ind w:left="5380" w:hanging="360"/>
      </w:pPr>
    </w:lvl>
    <w:lvl w:ilvl="6">
      <w:numFmt w:val="bullet"/>
      <w:lvlText w:val="•"/>
      <w:lvlJc w:val="left"/>
      <w:pPr>
        <w:ind w:left="6220" w:hanging="360"/>
      </w:pPr>
    </w:lvl>
    <w:lvl w:ilvl="7">
      <w:numFmt w:val="bullet"/>
      <w:lvlText w:val="•"/>
      <w:lvlJc w:val="left"/>
      <w:pPr>
        <w:ind w:left="7060" w:hanging="360"/>
      </w:pPr>
    </w:lvl>
    <w:lvl w:ilvl="8">
      <w:numFmt w:val="bullet"/>
      <w:lvlText w:val="•"/>
      <w:lvlJc w:val="left"/>
      <w:pPr>
        <w:ind w:left="7900" w:hanging="360"/>
      </w:pPr>
    </w:lvl>
  </w:abstractNum>
  <w:abstractNum w:abstractNumId="11" w15:restartNumberingAfterBreak="0">
    <w:nsid w:val="00000419"/>
    <w:multiLevelType w:val="multilevel"/>
    <w:tmpl w:val="0000089C"/>
    <w:lvl w:ilvl="0">
      <w:numFmt w:val="bullet"/>
      <w:lvlText w:val=""/>
      <w:lvlJc w:val="left"/>
      <w:pPr>
        <w:ind w:left="820" w:hanging="361"/>
      </w:pPr>
      <w:rPr>
        <w:rFonts w:ascii="Symbol" w:hAnsi="Symbol"/>
        <w:b w:val="0"/>
        <w:sz w:val="24"/>
      </w:rPr>
    </w:lvl>
    <w:lvl w:ilvl="1">
      <w:numFmt w:val="bullet"/>
      <w:lvlText w:val="•"/>
      <w:lvlJc w:val="left"/>
      <w:pPr>
        <w:ind w:left="1696" w:hanging="361"/>
      </w:pPr>
    </w:lvl>
    <w:lvl w:ilvl="2">
      <w:numFmt w:val="bullet"/>
      <w:lvlText w:val="•"/>
      <w:lvlJc w:val="left"/>
      <w:pPr>
        <w:ind w:left="2572" w:hanging="361"/>
      </w:pPr>
    </w:lvl>
    <w:lvl w:ilvl="3">
      <w:numFmt w:val="bullet"/>
      <w:lvlText w:val="•"/>
      <w:lvlJc w:val="left"/>
      <w:pPr>
        <w:ind w:left="3448" w:hanging="361"/>
      </w:pPr>
    </w:lvl>
    <w:lvl w:ilvl="4">
      <w:numFmt w:val="bullet"/>
      <w:lvlText w:val="•"/>
      <w:lvlJc w:val="left"/>
      <w:pPr>
        <w:ind w:left="4324" w:hanging="361"/>
      </w:pPr>
    </w:lvl>
    <w:lvl w:ilvl="5">
      <w:numFmt w:val="bullet"/>
      <w:lvlText w:val="•"/>
      <w:lvlJc w:val="left"/>
      <w:pPr>
        <w:ind w:left="5200" w:hanging="361"/>
      </w:pPr>
    </w:lvl>
    <w:lvl w:ilvl="6">
      <w:numFmt w:val="bullet"/>
      <w:lvlText w:val="•"/>
      <w:lvlJc w:val="left"/>
      <w:pPr>
        <w:ind w:left="6076" w:hanging="361"/>
      </w:pPr>
    </w:lvl>
    <w:lvl w:ilvl="7">
      <w:numFmt w:val="bullet"/>
      <w:lvlText w:val="•"/>
      <w:lvlJc w:val="left"/>
      <w:pPr>
        <w:ind w:left="6952" w:hanging="361"/>
      </w:pPr>
    </w:lvl>
    <w:lvl w:ilvl="8">
      <w:numFmt w:val="bullet"/>
      <w:lvlText w:val="•"/>
      <w:lvlJc w:val="left"/>
      <w:pPr>
        <w:ind w:left="7828" w:hanging="361"/>
      </w:pPr>
    </w:lvl>
  </w:abstractNum>
  <w:abstractNum w:abstractNumId="12" w15:restartNumberingAfterBreak="0">
    <w:nsid w:val="0000A991"/>
    <w:multiLevelType w:val="multilevel"/>
    <w:tmpl w:val="887A30F8"/>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3" w15:restartNumberingAfterBreak="0">
    <w:nsid w:val="003D4931"/>
    <w:multiLevelType w:val="hybridMultilevel"/>
    <w:tmpl w:val="64662538"/>
    <w:lvl w:ilvl="0" w:tplc="1F14CA2A">
      <w:start w:val="1"/>
      <w:numFmt w:val="decimal"/>
      <w:lvlText w:val="%1."/>
      <w:lvlJc w:val="left"/>
      <w:pPr>
        <w:ind w:left="840" w:hanging="360"/>
      </w:pPr>
      <w:rPr>
        <w:rFonts w:ascii="Times New Roman" w:eastAsia="Times New Roman" w:hAnsi="Times New Roman" w:cs="Times New Roman" w:hint="default"/>
        <w:b/>
        <w:bCs/>
        <w:i w:val="0"/>
        <w:iCs w:val="0"/>
        <w:w w:val="100"/>
        <w:sz w:val="22"/>
        <w:szCs w:val="22"/>
        <w:lang w:val="en-US" w:eastAsia="en-US" w:bidi="ar-SA"/>
      </w:rPr>
    </w:lvl>
    <w:lvl w:ilvl="1" w:tplc="676C1AD4">
      <w:numFmt w:val="bullet"/>
      <w:lvlText w:val="•"/>
      <w:lvlJc w:val="left"/>
      <w:pPr>
        <w:ind w:left="1822" w:hanging="360"/>
      </w:pPr>
      <w:rPr>
        <w:rFonts w:hint="default"/>
        <w:lang w:val="en-US" w:eastAsia="en-US" w:bidi="ar-SA"/>
      </w:rPr>
    </w:lvl>
    <w:lvl w:ilvl="2" w:tplc="AD588FD2">
      <w:numFmt w:val="bullet"/>
      <w:lvlText w:val="•"/>
      <w:lvlJc w:val="left"/>
      <w:pPr>
        <w:ind w:left="2804" w:hanging="360"/>
      </w:pPr>
      <w:rPr>
        <w:rFonts w:hint="default"/>
        <w:lang w:val="en-US" w:eastAsia="en-US" w:bidi="ar-SA"/>
      </w:rPr>
    </w:lvl>
    <w:lvl w:ilvl="3" w:tplc="025849D2">
      <w:numFmt w:val="bullet"/>
      <w:lvlText w:val="•"/>
      <w:lvlJc w:val="left"/>
      <w:pPr>
        <w:ind w:left="3786" w:hanging="360"/>
      </w:pPr>
      <w:rPr>
        <w:rFonts w:hint="default"/>
        <w:lang w:val="en-US" w:eastAsia="en-US" w:bidi="ar-SA"/>
      </w:rPr>
    </w:lvl>
    <w:lvl w:ilvl="4" w:tplc="68D87E6E">
      <w:numFmt w:val="bullet"/>
      <w:lvlText w:val="•"/>
      <w:lvlJc w:val="left"/>
      <w:pPr>
        <w:ind w:left="4768" w:hanging="360"/>
      </w:pPr>
      <w:rPr>
        <w:rFonts w:hint="default"/>
        <w:lang w:val="en-US" w:eastAsia="en-US" w:bidi="ar-SA"/>
      </w:rPr>
    </w:lvl>
    <w:lvl w:ilvl="5" w:tplc="C5A01E92">
      <w:numFmt w:val="bullet"/>
      <w:lvlText w:val="•"/>
      <w:lvlJc w:val="left"/>
      <w:pPr>
        <w:ind w:left="5750" w:hanging="360"/>
      </w:pPr>
      <w:rPr>
        <w:rFonts w:hint="default"/>
        <w:lang w:val="en-US" w:eastAsia="en-US" w:bidi="ar-SA"/>
      </w:rPr>
    </w:lvl>
    <w:lvl w:ilvl="6" w:tplc="4B4C3B7E">
      <w:numFmt w:val="bullet"/>
      <w:lvlText w:val="•"/>
      <w:lvlJc w:val="left"/>
      <w:pPr>
        <w:ind w:left="6732" w:hanging="360"/>
      </w:pPr>
      <w:rPr>
        <w:rFonts w:hint="default"/>
        <w:lang w:val="en-US" w:eastAsia="en-US" w:bidi="ar-SA"/>
      </w:rPr>
    </w:lvl>
    <w:lvl w:ilvl="7" w:tplc="9CA02A00">
      <w:numFmt w:val="bullet"/>
      <w:lvlText w:val="•"/>
      <w:lvlJc w:val="left"/>
      <w:pPr>
        <w:ind w:left="7714" w:hanging="360"/>
      </w:pPr>
      <w:rPr>
        <w:rFonts w:hint="default"/>
        <w:lang w:val="en-US" w:eastAsia="en-US" w:bidi="ar-SA"/>
      </w:rPr>
    </w:lvl>
    <w:lvl w:ilvl="8" w:tplc="86DAE56A">
      <w:numFmt w:val="bullet"/>
      <w:lvlText w:val="•"/>
      <w:lvlJc w:val="left"/>
      <w:pPr>
        <w:ind w:left="8696" w:hanging="360"/>
      </w:pPr>
      <w:rPr>
        <w:rFonts w:hint="default"/>
        <w:lang w:val="en-US" w:eastAsia="en-US" w:bidi="ar-SA"/>
      </w:rPr>
    </w:lvl>
  </w:abstractNum>
  <w:abstractNum w:abstractNumId="14" w15:restartNumberingAfterBreak="0">
    <w:nsid w:val="004A3FFF"/>
    <w:multiLevelType w:val="hybridMultilevel"/>
    <w:tmpl w:val="DA3CE886"/>
    <w:lvl w:ilvl="0" w:tplc="1A5A77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09D2B50"/>
    <w:multiLevelType w:val="hybridMultilevel"/>
    <w:tmpl w:val="BB20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4E47A9"/>
    <w:multiLevelType w:val="hybridMultilevel"/>
    <w:tmpl w:val="A7DC0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2A2248F"/>
    <w:multiLevelType w:val="hybridMultilevel"/>
    <w:tmpl w:val="8DB848D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2C57624"/>
    <w:multiLevelType w:val="hybridMultilevel"/>
    <w:tmpl w:val="98D21B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46C52D5"/>
    <w:multiLevelType w:val="hybridMultilevel"/>
    <w:tmpl w:val="F224DF3C"/>
    <w:lvl w:ilvl="0" w:tplc="B03C80BE">
      <w:start w:val="1"/>
      <w:numFmt w:val="decimal"/>
      <w:lvlText w:val="%1."/>
      <w:lvlJc w:val="left"/>
      <w:pPr>
        <w:ind w:left="940" w:hanging="721"/>
        <w:jc w:val="right"/>
      </w:pPr>
      <w:rPr>
        <w:rFonts w:ascii="Times New Roman" w:eastAsia="Times New Roman" w:hAnsi="Times New Roman" w:hint="default"/>
        <w:b/>
        <w:bCs/>
        <w:sz w:val="22"/>
        <w:szCs w:val="22"/>
      </w:rPr>
    </w:lvl>
    <w:lvl w:ilvl="1" w:tplc="82D6F504">
      <w:start w:val="1"/>
      <w:numFmt w:val="bullet"/>
      <w:lvlText w:val="•"/>
      <w:lvlJc w:val="left"/>
      <w:pPr>
        <w:ind w:left="1888" w:hanging="721"/>
      </w:pPr>
      <w:rPr>
        <w:rFonts w:hint="default"/>
      </w:rPr>
    </w:lvl>
    <w:lvl w:ilvl="2" w:tplc="257EA220">
      <w:start w:val="1"/>
      <w:numFmt w:val="bullet"/>
      <w:lvlText w:val="•"/>
      <w:lvlJc w:val="left"/>
      <w:pPr>
        <w:ind w:left="2836" w:hanging="721"/>
      </w:pPr>
      <w:rPr>
        <w:rFonts w:hint="default"/>
      </w:rPr>
    </w:lvl>
    <w:lvl w:ilvl="3" w:tplc="20ACCE10">
      <w:start w:val="1"/>
      <w:numFmt w:val="bullet"/>
      <w:lvlText w:val="•"/>
      <w:lvlJc w:val="left"/>
      <w:pPr>
        <w:ind w:left="3784" w:hanging="721"/>
      </w:pPr>
      <w:rPr>
        <w:rFonts w:hint="default"/>
      </w:rPr>
    </w:lvl>
    <w:lvl w:ilvl="4" w:tplc="CF34A9D0">
      <w:start w:val="1"/>
      <w:numFmt w:val="bullet"/>
      <w:lvlText w:val="•"/>
      <w:lvlJc w:val="left"/>
      <w:pPr>
        <w:ind w:left="4732" w:hanging="721"/>
      </w:pPr>
      <w:rPr>
        <w:rFonts w:hint="default"/>
      </w:rPr>
    </w:lvl>
    <w:lvl w:ilvl="5" w:tplc="24D2D648">
      <w:start w:val="1"/>
      <w:numFmt w:val="bullet"/>
      <w:lvlText w:val="•"/>
      <w:lvlJc w:val="left"/>
      <w:pPr>
        <w:ind w:left="5680" w:hanging="721"/>
      </w:pPr>
      <w:rPr>
        <w:rFonts w:hint="default"/>
      </w:rPr>
    </w:lvl>
    <w:lvl w:ilvl="6" w:tplc="389AD9C8">
      <w:start w:val="1"/>
      <w:numFmt w:val="bullet"/>
      <w:lvlText w:val="•"/>
      <w:lvlJc w:val="left"/>
      <w:pPr>
        <w:ind w:left="6628" w:hanging="721"/>
      </w:pPr>
      <w:rPr>
        <w:rFonts w:hint="default"/>
      </w:rPr>
    </w:lvl>
    <w:lvl w:ilvl="7" w:tplc="5BC85B12">
      <w:start w:val="1"/>
      <w:numFmt w:val="bullet"/>
      <w:lvlText w:val="•"/>
      <w:lvlJc w:val="left"/>
      <w:pPr>
        <w:ind w:left="7576" w:hanging="721"/>
      </w:pPr>
      <w:rPr>
        <w:rFonts w:hint="default"/>
      </w:rPr>
    </w:lvl>
    <w:lvl w:ilvl="8" w:tplc="343A09BC">
      <w:start w:val="1"/>
      <w:numFmt w:val="bullet"/>
      <w:lvlText w:val="•"/>
      <w:lvlJc w:val="left"/>
      <w:pPr>
        <w:ind w:left="8524" w:hanging="721"/>
      </w:pPr>
      <w:rPr>
        <w:rFonts w:hint="default"/>
      </w:rPr>
    </w:lvl>
  </w:abstractNum>
  <w:abstractNum w:abstractNumId="20" w15:restartNumberingAfterBreak="0">
    <w:nsid w:val="04BA06EF"/>
    <w:multiLevelType w:val="hybridMultilevel"/>
    <w:tmpl w:val="3EDC0BB6"/>
    <w:lvl w:ilvl="0" w:tplc="D2463FEA">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05025CA3"/>
    <w:multiLevelType w:val="multilevel"/>
    <w:tmpl w:val="43C8C668"/>
    <w:lvl w:ilvl="0">
      <w:start w:val="6"/>
      <w:numFmt w:val="decimal"/>
      <w:lvlText w:val="%1"/>
      <w:lvlJc w:val="left"/>
      <w:pPr>
        <w:ind w:left="840" w:hanging="721"/>
      </w:pPr>
      <w:rPr>
        <w:rFonts w:hint="default"/>
      </w:rPr>
    </w:lvl>
    <w:lvl w:ilvl="1">
      <w:start w:val="1"/>
      <w:numFmt w:val="decimal"/>
      <w:lvlText w:val="%1.%2"/>
      <w:lvlJc w:val="left"/>
      <w:pPr>
        <w:ind w:left="1559" w:hanging="721"/>
        <w:jc w:val="right"/>
      </w:pPr>
      <w:rPr>
        <w:rFonts w:ascii="Times New Roman" w:eastAsia="Times New Roman" w:hAnsi="Times New Roman" w:hint="default"/>
        <w:b/>
        <w:bCs/>
        <w:sz w:val="22"/>
        <w:szCs w:val="22"/>
      </w:rPr>
    </w:lvl>
    <w:lvl w:ilvl="2">
      <w:start w:val="1"/>
      <w:numFmt w:val="bullet"/>
      <w:lvlText w:val="•"/>
      <w:lvlJc w:val="left"/>
      <w:pPr>
        <w:ind w:left="2533" w:hanging="721"/>
      </w:pPr>
      <w:rPr>
        <w:rFonts w:hint="default"/>
      </w:rPr>
    </w:lvl>
    <w:lvl w:ilvl="3">
      <w:start w:val="1"/>
      <w:numFmt w:val="bullet"/>
      <w:lvlText w:val="•"/>
      <w:lvlJc w:val="left"/>
      <w:pPr>
        <w:ind w:left="3506" w:hanging="721"/>
      </w:pPr>
      <w:rPr>
        <w:rFonts w:hint="default"/>
      </w:rPr>
    </w:lvl>
    <w:lvl w:ilvl="4">
      <w:start w:val="1"/>
      <w:numFmt w:val="bullet"/>
      <w:lvlText w:val="•"/>
      <w:lvlJc w:val="left"/>
      <w:pPr>
        <w:ind w:left="4479" w:hanging="721"/>
      </w:pPr>
      <w:rPr>
        <w:rFonts w:hint="default"/>
      </w:rPr>
    </w:lvl>
    <w:lvl w:ilvl="5">
      <w:start w:val="1"/>
      <w:numFmt w:val="bullet"/>
      <w:lvlText w:val="•"/>
      <w:lvlJc w:val="left"/>
      <w:pPr>
        <w:ind w:left="5453" w:hanging="721"/>
      </w:pPr>
      <w:rPr>
        <w:rFonts w:hint="default"/>
      </w:rPr>
    </w:lvl>
    <w:lvl w:ilvl="6">
      <w:start w:val="1"/>
      <w:numFmt w:val="bullet"/>
      <w:lvlText w:val="•"/>
      <w:lvlJc w:val="left"/>
      <w:pPr>
        <w:ind w:left="6426" w:hanging="721"/>
      </w:pPr>
      <w:rPr>
        <w:rFonts w:hint="default"/>
      </w:rPr>
    </w:lvl>
    <w:lvl w:ilvl="7">
      <w:start w:val="1"/>
      <w:numFmt w:val="bullet"/>
      <w:lvlText w:val="•"/>
      <w:lvlJc w:val="left"/>
      <w:pPr>
        <w:ind w:left="7399" w:hanging="721"/>
      </w:pPr>
      <w:rPr>
        <w:rFonts w:hint="default"/>
      </w:rPr>
    </w:lvl>
    <w:lvl w:ilvl="8">
      <w:start w:val="1"/>
      <w:numFmt w:val="bullet"/>
      <w:lvlText w:val="•"/>
      <w:lvlJc w:val="left"/>
      <w:pPr>
        <w:ind w:left="8373" w:hanging="721"/>
      </w:pPr>
      <w:rPr>
        <w:rFonts w:hint="default"/>
      </w:rPr>
    </w:lvl>
  </w:abstractNum>
  <w:abstractNum w:abstractNumId="22" w15:restartNumberingAfterBreak="0">
    <w:nsid w:val="05F2444C"/>
    <w:multiLevelType w:val="hybridMultilevel"/>
    <w:tmpl w:val="98D21B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6077808"/>
    <w:multiLevelType w:val="hybridMultilevel"/>
    <w:tmpl w:val="1A1AD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06187C29"/>
    <w:multiLevelType w:val="hybridMultilevel"/>
    <w:tmpl w:val="BE402088"/>
    <w:lvl w:ilvl="0" w:tplc="93B29044">
      <w:start w:val="1"/>
      <w:numFmt w:val="decimal"/>
      <w:lvlText w:val="%1."/>
      <w:lvlJc w:val="left"/>
      <w:pPr>
        <w:ind w:left="3420" w:hanging="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6300C6A"/>
    <w:multiLevelType w:val="hybridMultilevel"/>
    <w:tmpl w:val="EC9E0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68B3F35"/>
    <w:multiLevelType w:val="hybridMultilevel"/>
    <w:tmpl w:val="3EF49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6911ABB"/>
    <w:multiLevelType w:val="hybridMultilevel"/>
    <w:tmpl w:val="642A221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06AC2D13"/>
    <w:multiLevelType w:val="multilevel"/>
    <w:tmpl w:val="5C8016B8"/>
    <w:numStyleLink w:val="Style1"/>
  </w:abstractNum>
  <w:abstractNum w:abstractNumId="29" w15:restartNumberingAfterBreak="0">
    <w:nsid w:val="06AD3FD6"/>
    <w:multiLevelType w:val="hybridMultilevel"/>
    <w:tmpl w:val="51DE3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7EE5942"/>
    <w:multiLevelType w:val="hybridMultilevel"/>
    <w:tmpl w:val="F2AE9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8666B61"/>
    <w:multiLevelType w:val="hybridMultilevel"/>
    <w:tmpl w:val="6FCA0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941443B"/>
    <w:multiLevelType w:val="hybridMultilevel"/>
    <w:tmpl w:val="192C0D20"/>
    <w:lvl w:ilvl="0" w:tplc="8078E484">
      <w:start w:val="1"/>
      <w:numFmt w:val="bullet"/>
      <w:lvlText w:val=""/>
      <w:lvlJc w:val="left"/>
      <w:pPr>
        <w:tabs>
          <w:tab w:val="num" w:pos="1461"/>
        </w:tabs>
        <w:ind w:left="1461" w:hanging="360"/>
      </w:pPr>
      <w:rPr>
        <w:rFonts w:ascii="Symbol" w:hAnsi="Symbol" w:hint="default"/>
        <w:color w:val="auto"/>
      </w:rPr>
    </w:lvl>
    <w:lvl w:ilvl="1" w:tplc="04090003" w:tentative="1">
      <w:start w:val="1"/>
      <w:numFmt w:val="bullet"/>
      <w:lvlText w:val="o"/>
      <w:lvlJc w:val="left"/>
      <w:pPr>
        <w:tabs>
          <w:tab w:val="num" w:pos="2181"/>
        </w:tabs>
        <w:ind w:left="2181" w:hanging="360"/>
      </w:pPr>
      <w:rPr>
        <w:rFonts w:ascii="Courier New" w:hAnsi="Courier New" w:cs="Arial" w:hint="default"/>
      </w:rPr>
    </w:lvl>
    <w:lvl w:ilvl="2" w:tplc="04090005" w:tentative="1">
      <w:start w:val="1"/>
      <w:numFmt w:val="bullet"/>
      <w:lvlText w:val=""/>
      <w:lvlJc w:val="left"/>
      <w:pPr>
        <w:tabs>
          <w:tab w:val="num" w:pos="2901"/>
        </w:tabs>
        <w:ind w:left="2901" w:hanging="360"/>
      </w:pPr>
      <w:rPr>
        <w:rFonts w:ascii="Wingdings" w:hAnsi="Wingdings" w:hint="default"/>
      </w:rPr>
    </w:lvl>
    <w:lvl w:ilvl="3" w:tplc="04090001" w:tentative="1">
      <w:start w:val="1"/>
      <w:numFmt w:val="bullet"/>
      <w:lvlText w:val=""/>
      <w:lvlJc w:val="left"/>
      <w:pPr>
        <w:tabs>
          <w:tab w:val="num" w:pos="3621"/>
        </w:tabs>
        <w:ind w:left="3621" w:hanging="360"/>
      </w:pPr>
      <w:rPr>
        <w:rFonts w:ascii="Symbol" w:hAnsi="Symbol" w:hint="default"/>
      </w:rPr>
    </w:lvl>
    <w:lvl w:ilvl="4" w:tplc="04090003" w:tentative="1">
      <w:start w:val="1"/>
      <w:numFmt w:val="bullet"/>
      <w:lvlText w:val="o"/>
      <w:lvlJc w:val="left"/>
      <w:pPr>
        <w:tabs>
          <w:tab w:val="num" w:pos="4341"/>
        </w:tabs>
        <w:ind w:left="4341" w:hanging="360"/>
      </w:pPr>
      <w:rPr>
        <w:rFonts w:ascii="Courier New" w:hAnsi="Courier New" w:cs="Arial" w:hint="default"/>
      </w:rPr>
    </w:lvl>
    <w:lvl w:ilvl="5" w:tplc="04090005" w:tentative="1">
      <w:start w:val="1"/>
      <w:numFmt w:val="bullet"/>
      <w:lvlText w:val=""/>
      <w:lvlJc w:val="left"/>
      <w:pPr>
        <w:tabs>
          <w:tab w:val="num" w:pos="5061"/>
        </w:tabs>
        <w:ind w:left="5061" w:hanging="360"/>
      </w:pPr>
      <w:rPr>
        <w:rFonts w:ascii="Wingdings" w:hAnsi="Wingdings" w:hint="default"/>
      </w:rPr>
    </w:lvl>
    <w:lvl w:ilvl="6" w:tplc="04090001" w:tentative="1">
      <w:start w:val="1"/>
      <w:numFmt w:val="bullet"/>
      <w:lvlText w:val=""/>
      <w:lvlJc w:val="left"/>
      <w:pPr>
        <w:tabs>
          <w:tab w:val="num" w:pos="5781"/>
        </w:tabs>
        <w:ind w:left="5781" w:hanging="360"/>
      </w:pPr>
      <w:rPr>
        <w:rFonts w:ascii="Symbol" w:hAnsi="Symbol" w:hint="default"/>
      </w:rPr>
    </w:lvl>
    <w:lvl w:ilvl="7" w:tplc="04090003" w:tentative="1">
      <w:start w:val="1"/>
      <w:numFmt w:val="bullet"/>
      <w:lvlText w:val="o"/>
      <w:lvlJc w:val="left"/>
      <w:pPr>
        <w:tabs>
          <w:tab w:val="num" w:pos="6501"/>
        </w:tabs>
        <w:ind w:left="6501" w:hanging="360"/>
      </w:pPr>
      <w:rPr>
        <w:rFonts w:ascii="Courier New" w:hAnsi="Courier New" w:cs="Arial" w:hint="default"/>
      </w:rPr>
    </w:lvl>
    <w:lvl w:ilvl="8" w:tplc="04090005" w:tentative="1">
      <w:start w:val="1"/>
      <w:numFmt w:val="bullet"/>
      <w:lvlText w:val=""/>
      <w:lvlJc w:val="left"/>
      <w:pPr>
        <w:tabs>
          <w:tab w:val="num" w:pos="7221"/>
        </w:tabs>
        <w:ind w:left="7221" w:hanging="360"/>
      </w:pPr>
      <w:rPr>
        <w:rFonts w:ascii="Wingdings" w:hAnsi="Wingdings" w:hint="default"/>
      </w:rPr>
    </w:lvl>
  </w:abstractNum>
  <w:abstractNum w:abstractNumId="33" w15:restartNumberingAfterBreak="0">
    <w:nsid w:val="09606248"/>
    <w:multiLevelType w:val="hybridMultilevel"/>
    <w:tmpl w:val="0EC86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9FA68A9"/>
    <w:multiLevelType w:val="hybridMultilevel"/>
    <w:tmpl w:val="D6AA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A406D6D"/>
    <w:multiLevelType w:val="hybridMultilevel"/>
    <w:tmpl w:val="8612F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AA81267"/>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0AE820ED"/>
    <w:multiLevelType w:val="hybridMultilevel"/>
    <w:tmpl w:val="97C83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B3C2A64"/>
    <w:multiLevelType w:val="hybridMultilevel"/>
    <w:tmpl w:val="E5463536"/>
    <w:lvl w:ilvl="0" w:tplc="B602ED9C">
      <w:start w:val="1"/>
      <w:numFmt w:val="bullet"/>
      <w:lvlText w:val=""/>
      <w:lvlJc w:val="left"/>
      <w:pPr>
        <w:ind w:left="720" w:hanging="360"/>
      </w:pPr>
      <w:rPr>
        <w:rFonts w:ascii="Symbol" w:hAnsi="Symbol"/>
      </w:rPr>
    </w:lvl>
    <w:lvl w:ilvl="1" w:tplc="17BCD5BA">
      <w:start w:val="1"/>
      <w:numFmt w:val="bullet"/>
      <w:lvlText w:val=""/>
      <w:lvlJc w:val="left"/>
      <w:pPr>
        <w:ind w:left="720" w:hanging="360"/>
      </w:pPr>
      <w:rPr>
        <w:rFonts w:ascii="Symbol" w:hAnsi="Symbol"/>
      </w:rPr>
    </w:lvl>
    <w:lvl w:ilvl="2" w:tplc="E9723FA6">
      <w:start w:val="1"/>
      <w:numFmt w:val="bullet"/>
      <w:lvlText w:val=""/>
      <w:lvlJc w:val="left"/>
      <w:pPr>
        <w:ind w:left="720" w:hanging="360"/>
      </w:pPr>
      <w:rPr>
        <w:rFonts w:ascii="Symbol" w:hAnsi="Symbol"/>
      </w:rPr>
    </w:lvl>
    <w:lvl w:ilvl="3" w:tplc="283E2B60">
      <w:start w:val="1"/>
      <w:numFmt w:val="bullet"/>
      <w:lvlText w:val=""/>
      <w:lvlJc w:val="left"/>
      <w:pPr>
        <w:ind w:left="720" w:hanging="360"/>
      </w:pPr>
      <w:rPr>
        <w:rFonts w:ascii="Symbol" w:hAnsi="Symbol"/>
      </w:rPr>
    </w:lvl>
    <w:lvl w:ilvl="4" w:tplc="5D808716">
      <w:start w:val="1"/>
      <w:numFmt w:val="bullet"/>
      <w:lvlText w:val=""/>
      <w:lvlJc w:val="left"/>
      <w:pPr>
        <w:ind w:left="720" w:hanging="360"/>
      </w:pPr>
      <w:rPr>
        <w:rFonts w:ascii="Symbol" w:hAnsi="Symbol"/>
      </w:rPr>
    </w:lvl>
    <w:lvl w:ilvl="5" w:tplc="F80EB64E">
      <w:start w:val="1"/>
      <w:numFmt w:val="bullet"/>
      <w:lvlText w:val=""/>
      <w:lvlJc w:val="left"/>
      <w:pPr>
        <w:ind w:left="720" w:hanging="360"/>
      </w:pPr>
      <w:rPr>
        <w:rFonts w:ascii="Symbol" w:hAnsi="Symbol"/>
      </w:rPr>
    </w:lvl>
    <w:lvl w:ilvl="6" w:tplc="3C887C34">
      <w:start w:val="1"/>
      <w:numFmt w:val="bullet"/>
      <w:lvlText w:val=""/>
      <w:lvlJc w:val="left"/>
      <w:pPr>
        <w:ind w:left="720" w:hanging="360"/>
      </w:pPr>
      <w:rPr>
        <w:rFonts w:ascii="Symbol" w:hAnsi="Symbol"/>
      </w:rPr>
    </w:lvl>
    <w:lvl w:ilvl="7" w:tplc="793A23A8">
      <w:start w:val="1"/>
      <w:numFmt w:val="bullet"/>
      <w:lvlText w:val=""/>
      <w:lvlJc w:val="left"/>
      <w:pPr>
        <w:ind w:left="720" w:hanging="360"/>
      </w:pPr>
      <w:rPr>
        <w:rFonts w:ascii="Symbol" w:hAnsi="Symbol"/>
      </w:rPr>
    </w:lvl>
    <w:lvl w:ilvl="8" w:tplc="58B45EF6">
      <w:start w:val="1"/>
      <w:numFmt w:val="bullet"/>
      <w:lvlText w:val=""/>
      <w:lvlJc w:val="left"/>
      <w:pPr>
        <w:ind w:left="720" w:hanging="360"/>
      </w:pPr>
      <w:rPr>
        <w:rFonts w:ascii="Symbol" w:hAnsi="Symbol"/>
      </w:rPr>
    </w:lvl>
  </w:abstractNum>
  <w:abstractNum w:abstractNumId="39" w15:restartNumberingAfterBreak="0">
    <w:nsid w:val="0BF84849"/>
    <w:multiLevelType w:val="hybridMultilevel"/>
    <w:tmpl w:val="A64ADF0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0C136CBF"/>
    <w:multiLevelType w:val="hybridMultilevel"/>
    <w:tmpl w:val="426C7C40"/>
    <w:lvl w:ilvl="0" w:tplc="4BF45BA2">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0C664D5B"/>
    <w:multiLevelType w:val="hybridMultilevel"/>
    <w:tmpl w:val="8BA6CAF0"/>
    <w:lvl w:ilvl="0" w:tplc="F0ACBE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CD7466E"/>
    <w:multiLevelType w:val="hybridMultilevel"/>
    <w:tmpl w:val="F18E7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FDE25A8">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D150D47"/>
    <w:multiLevelType w:val="hybridMultilevel"/>
    <w:tmpl w:val="00E6F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0DB3358D"/>
    <w:multiLevelType w:val="hybridMultilevel"/>
    <w:tmpl w:val="7DF46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0DDA2254"/>
    <w:multiLevelType w:val="hybridMultilevel"/>
    <w:tmpl w:val="6AA49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E477F42"/>
    <w:multiLevelType w:val="hybridMultilevel"/>
    <w:tmpl w:val="C242D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E494BF5"/>
    <w:multiLevelType w:val="hybridMultilevel"/>
    <w:tmpl w:val="6E669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0F4D3D6E"/>
    <w:multiLevelType w:val="multilevel"/>
    <w:tmpl w:val="ED1AA9C2"/>
    <w:lvl w:ilvl="0">
      <w:start w:val="6"/>
      <w:numFmt w:val="decimal"/>
      <w:lvlText w:val="%1"/>
      <w:lvlJc w:val="left"/>
      <w:pPr>
        <w:ind w:left="1200" w:hanging="720"/>
      </w:pPr>
      <w:rPr>
        <w:rFonts w:hint="default"/>
        <w:lang w:val="en-US" w:eastAsia="en-US" w:bidi="ar-SA"/>
      </w:rPr>
    </w:lvl>
    <w:lvl w:ilvl="1">
      <w:numFmt w:val="decimal"/>
      <w:lvlText w:val="%1.%2"/>
      <w:lvlJc w:val="left"/>
      <w:pPr>
        <w:ind w:left="1200" w:hanging="720"/>
        <w:jc w:val="right"/>
      </w:pPr>
      <w:rPr>
        <w:rFonts w:hint="default"/>
        <w:w w:val="100"/>
        <w:lang w:val="en-US" w:eastAsia="en-US" w:bidi="ar-SA"/>
      </w:rPr>
    </w:lvl>
    <w:lvl w:ilvl="2">
      <w:numFmt w:val="bullet"/>
      <w:lvlText w:val="•"/>
      <w:lvlJc w:val="left"/>
      <w:pPr>
        <w:ind w:left="3092" w:hanging="720"/>
      </w:pPr>
      <w:rPr>
        <w:rFonts w:hint="default"/>
        <w:lang w:val="en-US" w:eastAsia="en-US" w:bidi="ar-SA"/>
      </w:rPr>
    </w:lvl>
    <w:lvl w:ilvl="3">
      <w:numFmt w:val="bullet"/>
      <w:lvlText w:val="•"/>
      <w:lvlJc w:val="left"/>
      <w:pPr>
        <w:ind w:left="4038" w:hanging="720"/>
      </w:pPr>
      <w:rPr>
        <w:rFonts w:hint="default"/>
        <w:lang w:val="en-US" w:eastAsia="en-US" w:bidi="ar-SA"/>
      </w:rPr>
    </w:lvl>
    <w:lvl w:ilvl="4">
      <w:numFmt w:val="bullet"/>
      <w:lvlText w:val="•"/>
      <w:lvlJc w:val="left"/>
      <w:pPr>
        <w:ind w:left="4984" w:hanging="720"/>
      </w:pPr>
      <w:rPr>
        <w:rFonts w:hint="default"/>
        <w:lang w:val="en-US" w:eastAsia="en-US" w:bidi="ar-SA"/>
      </w:rPr>
    </w:lvl>
    <w:lvl w:ilvl="5">
      <w:numFmt w:val="bullet"/>
      <w:lvlText w:val="•"/>
      <w:lvlJc w:val="left"/>
      <w:pPr>
        <w:ind w:left="5930" w:hanging="720"/>
      </w:pPr>
      <w:rPr>
        <w:rFonts w:hint="default"/>
        <w:lang w:val="en-US" w:eastAsia="en-US" w:bidi="ar-SA"/>
      </w:rPr>
    </w:lvl>
    <w:lvl w:ilvl="6">
      <w:numFmt w:val="bullet"/>
      <w:lvlText w:val="•"/>
      <w:lvlJc w:val="left"/>
      <w:pPr>
        <w:ind w:left="6876" w:hanging="720"/>
      </w:pPr>
      <w:rPr>
        <w:rFonts w:hint="default"/>
        <w:lang w:val="en-US" w:eastAsia="en-US" w:bidi="ar-SA"/>
      </w:rPr>
    </w:lvl>
    <w:lvl w:ilvl="7">
      <w:numFmt w:val="bullet"/>
      <w:lvlText w:val="•"/>
      <w:lvlJc w:val="left"/>
      <w:pPr>
        <w:ind w:left="7822" w:hanging="720"/>
      </w:pPr>
      <w:rPr>
        <w:rFonts w:hint="default"/>
        <w:lang w:val="en-US" w:eastAsia="en-US" w:bidi="ar-SA"/>
      </w:rPr>
    </w:lvl>
    <w:lvl w:ilvl="8">
      <w:numFmt w:val="bullet"/>
      <w:lvlText w:val="•"/>
      <w:lvlJc w:val="left"/>
      <w:pPr>
        <w:ind w:left="8768" w:hanging="720"/>
      </w:pPr>
      <w:rPr>
        <w:rFonts w:hint="default"/>
        <w:lang w:val="en-US" w:eastAsia="en-US" w:bidi="ar-SA"/>
      </w:rPr>
    </w:lvl>
  </w:abstractNum>
  <w:abstractNum w:abstractNumId="49" w15:restartNumberingAfterBreak="0">
    <w:nsid w:val="104E4525"/>
    <w:multiLevelType w:val="hybridMultilevel"/>
    <w:tmpl w:val="D11006D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10596998"/>
    <w:multiLevelType w:val="hybridMultilevel"/>
    <w:tmpl w:val="966AC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0791D1D"/>
    <w:multiLevelType w:val="hybridMultilevel"/>
    <w:tmpl w:val="2AF2D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0B93268"/>
    <w:multiLevelType w:val="hybridMultilevel"/>
    <w:tmpl w:val="225A5428"/>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360" w:hanging="360"/>
      </w:pPr>
      <w:rPr>
        <w:rFonts w:ascii="Courier New" w:hAnsi="Courier New" w:cs="Courier New" w:hint="default"/>
      </w:rPr>
    </w:lvl>
    <w:lvl w:ilvl="3" w:tplc="04090003">
      <w:start w:val="1"/>
      <w:numFmt w:val="bullet"/>
      <w:lvlText w:val="o"/>
      <w:lvlJc w:val="left"/>
      <w:pPr>
        <w:ind w:left="360" w:hanging="360"/>
      </w:pPr>
      <w:rPr>
        <w:rFonts w:ascii="Courier New" w:hAnsi="Courier New" w:cs="Courier New"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3" w15:restartNumberingAfterBreak="0">
    <w:nsid w:val="11006AAB"/>
    <w:multiLevelType w:val="hybridMultilevel"/>
    <w:tmpl w:val="E0A2499A"/>
    <w:lvl w:ilvl="0" w:tplc="05ACFB0C">
      <w:start w:val="1"/>
      <w:numFmt w:val="bullet"/>
      <w:lvlText w:val=""/>
      <w:lvlJc w:val="left"/>
      <w:pPr>
        <w:ind w:left="1320" w:hanging="360"/>
      </w:pPr>
      <w:rPr>
        <w:rFonts w:ascii="Symbol" w:hAnsi="Symbol"/>
      </w:rPr>
    </w:lvl>
    <w:lvl w:ilvl="1" w:tplc="C59681F4">
      <w:start w:val="1"/>
      <w:numFmt w:val="bullet"/>
      <w:lvlText w:val=""/>
      <w:lvlJc w:val="left"/>
      <w:pPr>
        <w:ind w:left="1320" w:hanging="360"/>
      </w:pPr>
      <w:rPr>
        <w:rFonts w:ascii="Symbol" w:hAnsi="Symbol"/>
      </w:rPr>
    </w:lvl>
    <w:lvl w:ilvl="2" w:tplc="D45A1838">
      <w:start w:val="1"/>
      <w:numFmt w:val="bullet"/>
      <w:lvlText w:val=""/>
      <w:lvlJc w:val="left"/>
      <w:pPr>
        <w:ind w:left="1320" w:hanging="360"/>
      </w:pPr>
      <w:rPr>
        <w:rFonts w:ascii="Symbol" w:hAnsi="Symbol"/>
      </w:rPr>
    </w:lvl>
    <w:lvl w:ilvl="3" w:tplc="71648C88">
      <w:start w:val="1"/>
      <w:numFmt w:val="bullet"/>
      <w:lvlText w:val=""/>
      <w:lvlJc w:val="left"/>
      <w:pPr>
        <w:ind w:left="1320" w:hanging="360"/>
      </w:pPr>
      <w:rPr>
        <w:rFonts w:ascii="Symbol" w:hAnsi="Symbol"/>
      </w:rPr>
    </w:lvl>
    <w:lvl w:ilvl="4" w:tplc="C6D09404">
      <w:start w:val="1"/>
      <w:numFmt w:val="bullet"/>
      <w:lvlText w:val=""/>
      <w:lvlJc w:val="left"/>
      <w:pPr>
        <w:ind w:left="1320" w:hanging="360"/>
      </w:pPr>
      <w:rPr>
        <w:rFonts w:ascii="Symbol" w:hAnsi="Symbol"/>
      </w:rPr>
    </w:lvl>
    <w:lvl w:ilvl="5" w:tplc="FFE212B8">
      <w:start w:val="1"/>
      <w:numFmt w:val="bullet"/>
      <w:lvlText w:val=""/>
      <w:lvlJc w:val="left"/>
      <w:pPr>
        <w:ind w:left="1320" w:hanging="360"/>
      </w:pPr>
      <w:rPr>
        <w:rFonts w:ascii="Symbol" w:hAnsi="Symbol"/>
      </w:rPr>
    </w:lvl>
    <w:lvl w:ilvl="6" w:tplc="6846E11C">
      <w:start w:val="1"/>
      <w:numFmt w:val="bullet"/>
      <w:lvlText w:val=""/>
      <w:lvlJc w:val="left"/>
      <w:pPr>
        <w:ind w:left="1320" w:hanging="360"/>
      </w:pPr>
      <w:rPr>
        <w:rFonts w:ascii="Symbol" w:hAnsi="Symbol"/>
      </w:rPr>
    </w:lvl>
    <w:lvl w:ilvl="7" w:tplc="8DA475AA">
      <w:start w:val="1"/>
      <w:numFmt w:val="bullet"/>
      <w:lvlText w:val=""/>
      <w:lvlJc w:val="left"/>
      <w:pPr>
        <w:ind w:left="1320" w:hanging="360"/>
      </w:pPr>
      <w:rPr>
        <w:rFonts w:ascii="Symbol" w:hAnsi="Symbol"/>
      </w:rPr>
    </w:lvl>
    <w:lvl w:ilvl="8" w:tplc="8D4E4C40">
      <w:start w:val="1"/>
      <w:numFmt w:val="bullet"/>
      <w:lvlText w:val=""/>
      <w:lvlJc w:val="left"/>
      <w:pPr>
        <w:ind w:left="1320" w:hanging="360"/>
      </w:pPr>
      <w:rPr>
        <w:rFonts w:ascii="Symbol" w:hAnsi="Symbol"/>
      </w:rPr>
    </w:lvl>
  </w:abstractNum>
  <w:abstractNum w:abstractNumId="54" w15:restartNumberingAfterBreak="0">
    <w:nsid w:val="11424E23"/>
    <w:multiLevelType w:val="hybridMultilevel"/>
    <w:tmpl w:val="49D4B272"/>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5" w15:restartNumberingAfterBreak="0">
    <w:nsid w:val="12156C0F"/>
    <w:multiLevelType w:val="hybridMultilevel"/>
    <w:tmpl w:val="A72CD7C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6" w15:restartNumberingAfterBreak="0">
    <w:nsid w:val="12B13F11"/>
    <w:multiLevelType w:val="hybridMultilevel"/>
    <w:tmpl w:val="5EE28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2CD6740"/>
    <w:multiLevelType w:val="hybridMultilevel"/>
    <w:tmpl w:val="AB58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3206896"/>
    <w:multiLevelType w:val="multilevel"/>
    <w:tmpl w:val="E6FE29B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132B0D39"/>
    <w:multiLevelType w:val="hybridMultilevel"/>
    <w:tmpl w:val="4C525604"/>
    <w:lvl w:ilvl="0" w:tplc="3A760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143C7461"/>
    <w:multiLevelType w:val="hybridMultilevel"/>
    <w:tmpl w:val="AED251C0"/>
    <w:lvl w:ilvl="0" w:tplc="09E84A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448377D"/>
    <w:multiLevelType w:val="hybridMultilevel"/>
    <w:tmpl w:val="0DEC6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4ED7D88"/>
    <w:multiLevelType w:val="hybridMultilevel"/>
    <w:tmpl w:val="387AF52A"/>
    <w:lvl w:ilvl="0" w:tplc="E718444E">
      <w:start w:val="1"/>
      <w:numFmt w:val="bullet"/>
      <w:lvlText w:val=""/>
      <w:lvlJc w:val="left"/>
      <w:pPr>
        <w:ind w:left="2160" w:hanging="360"/>
      </w:pPr>
      <w:rPr>
        <w:rFonts w:ascii="Symbol" w:hAnsi="Symbol"/>
      </w:rPr>
    </w:lvl>
    <w:lvl w:ilvl="1" w:tplc="B846D454">
      <w:start w:val="1"/>
      <w:numFmt w:val="bullet"/>
      <w:lvlText w:val=""/>
      <w:lvlJc w:val="left"/>
      <w:pPr>
        <w:ind w:left="2160" w:hanging="360"/>
      </w:pPr>
      <w:rPr>
        <w:rFonts w:ascii="Symbol" w:hAnsi="Symbol"/>
      </w:rPr>
    </w:lvl>
    <w:lvl w:ilvl="2" w:tplc="1598BA12">
      <w:start w:val="1"/>
      <w:numFmt w:val="bullet"/>
      <w:lvlText w:val=""/>
      <w:lvlJc w:val="left"/>
      <w:pPr>
        <w:ind w:left="2160" w:hanging="360"/>
      </w:pPr>
      <w:rPr>
        <w:rFonts w:ascii="Symbol" w:hAnsi="Symbol"/>
      </w:rPr>
    </w:lvl>
    <w:lvl w:ilvl="3" w:tplc="E806C760">
      <w:start w:val="1"/>
      <w:numFmt w:val="bullet"/>
      <w:lvlText w:val=""/>
      <w:lvlJc w:val="left"/>
      <w:pPr>
        <w:ind w:left="2160" w:hanging="360"/>
      </w:pPr>
      <w:rPr>
        <w:rFonts w:ascii="Symbol" w:hAnsi="Symbol"/>
      </w:rPr>
    </w:lvl>
    <w:lvl w:ilvl="4" w:tplc="682CCEDA">
      <w:start w:val="1"/>
      <w:numFmt w:val="bullet"/>
      <w:lvlText w:val=""/>
      <w:lvlJc w:val="left"/>
      <w:pPr>
        <w:ind w:left="2160" w:hanging="360"/>
      </w:pPr>
      <w:rPr>
        <w:rFonts w:ascii="Symbol" w:hAnsi="Symbol"/>
      </w:rPr>
    </w:lvl>
    <w:lvl w:ilvl="5" w:tplc="18A83EDC">
      <w:start w:val="1"/>
      <w:numFmt w:val="bullet"/>
      <w:lvlText w:val=""/>
      <w:lvlJc w:val="left"/>
      <w:pPr>
        <w:ind w:left="2160" w:hanging="360"/>
      </w:pPr>
      <w:rPr>
        <w:rFonts w:ascii="Symbol" w:hAnsi="Symbol"/>
      </w:rPr>
    </w:lvl>
    <w:lvl w:ilvl="6" w:tplc="EA240070">
      <w:start w:val="1"/>
      <w:numFmt w:val="bullet"/>
      <w:lvlText w:val=""/>
      <w:lvlJc w:val="left"/>
      <w:pPr>
        <w:ind w:left="2160" w:hanging="360"/>
      </w:pPr>
      <w:rPr>
        <w:rFonts w:ascii="Symbol" w:hAnsi="Symbol"/>
      </w:rPr>
    </w:lvl>
    <w:lvl w:ilvl="7" w:tplc="1E46D3CE">
      <w:start w:val="1"/>
      <w:numFmt w:val="bullet"/>
      <w:lvlText w:val=""/>
      <w:lvlJc w:val="left"/>
      <w:pPr>
        <w:ind w:left="2160" w:hanging="360"/>
      </w:pPr>
      <w:rPr>
        <w:rFonts w:ascii="Symbol" w:hAnsi="Symbol"/>
      </w:rPr>
    </w:lvl>
    <w:lvl w:ilvl="8" w:tplc="0BC86B08">
      <w:start w:val="1"/>
      <w:numFmt w:val="bullet"/>
      <w:lvlText w:val=""/>
      <w:lvlJc w:val="left"/>
      <w:pPr>
        <w:ind w:left="2160" w:hanging="360"/>
      </w:pPr>
      <w:rPr>
        <w:rFonts w:ascii="Symbol" w:hAnsi="Symbol"/>
      </w:rPr>
    </w:lvl>
  </w:abstractNum>
  <w:abstractNum w:abstractNumId="63" w15:restartNumberingAfterBreak="0">
    <w:nsid w:val="15452365"/>
    <w:multiLevelType w:val="hybridMultilevel"/>
    <w:tmpl w:val="138C3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66D0992"/>
    <w:multiLevelType w:val="hybridMultilevel"/>
    <w:tmpl w:val="9320D5CE"/>
    <w:lvl w:ilvl="0" w:tplc="B728134A">
      <w:start w:val="1"/>
      <w:numFmt w:val="bullet"/>
      <w:lvlText w:val=""/>
      <w:lvlJc w:val="left"/>
      <w:pPr>
        <w:ind w:left="720" w:hanging="360"/>
      </w:pPr>
      <w:rPr>
        <w:rFonts w:ascii="Symbol" w:hAnsi="Symbol"/>
      </w:rPr>
    </w:lvl>
    <w:lvl w:ilvl="1" w:tplc="78142FEE">
      <w:start w:val="1"/>
      <w:numFmt w:val="bullet"/>
      <w:lvlText w:val=""/>
      <w:lvlJc w:val="left"/>
      <w:pPr>
        <w:ind w:left="720" w:hanging="360"/>
      </w:pPr>
      <w:rPr>
        <w:rFonts w:ascii="Symbol" w:hAnsi="Symbol"/>
      </w:rPr>
    </w:lvl>
    <w:lvl w:ilvl="2" w:tplc="06649C72">
      <w:start w:val="1"/>
      <w:numFmt w:val="bullet"/>
      <w:lvlText w:val=""/>
      <w:lvlJc w:val="left"/>
      <w:pPr>
        <w:ind w:left="720" w:hanging="360"/>
      </w:pPr>
      <w:rPr>
        <w:rFonts w:ascii="Symbol" w:hAnsi="Symbol"/>
      </w:rPr>
    </w:lvl>
    <w:lvl w:ilvl="3" w:tplc="4364A134">
      <w:start w:val="1"/>
      <w:numFmt w:val="bullet"/>
      <w:lvlText w:val=""/>
      <w:lvlJc w:val="left"/>
      <w:pPr>
        <w:ind w:left="720" w:hanging="360"/>
      </w:pPr>
      <w:rPr>
        <w:rFonts w:ascii="Symbol" w:hAnsi="Symbol"/>
      </w:rPr>
    </w:lvl>
    <w:lvl w:ilvl="4" w:tplc="EB68B6B6">
      <w:start w:val="1"/>
      <w:numFmt w:val="bullet"/>
      <w:lvlText w:val=""/>
      <w:lvlJc w:val="left"/>
      <w:pPr>
        <w:ind w:left="720" w:hanging="360"/>
      </w:pPr>
      <w:rPr>
        <w:rFonts w:ascii="Symbol" w:hAnsi="Symbol"/>
      </w:rPr>
    </w:lvl>
    <w:lvl w:ilvl="5" w:tplc="DF7A0CC0">
      <w:start w:val="1"/>
      <w:numFmt w:val="bullet"/>
      <w:lvlText w:val=""/>
      <w:lvlJc w:val="left"/>
      <w:pPr>
        <w:ind w:left="720" w:hanging="360"/>
      </w:pPr>
      <w:rPr>
        <w:rFonts w:ascii="Symbol" w:hAnsi="Symbol"/>
      </w:rPr>
    </w:lvl>
    <w:lvl w:ilvl="6" w:tplc="A6DE4074">
      <w:start w:val="1"/>
      <w:numFmt w:val="bullet"/>
      <w:lvlText w:val=""/>
      <w:lvlJc w:val="left"/>
      <w:pPr>
        <w:ind w:left="720" w:hanging="360"/>
      </w:pPr>
      <w:rPr>
        <w:rFonts w:ascii="Symbol" w:hAnsi="Symbol"/>
      </w:rPr>
    </w:lvl>
    <w:lvl w:ilvl="7" w:tplc="3490D1C2">
      <w:start w:val="1"/>
      <w:numFmt w:val="bullet"/>
      <w:lvlText w:val=""/>
      <w:lvlJc w:val="left"/>
      <w:pPr>
        <w:ind w:left="720" w:hanging="360"/>
      </w:pPr>
      <w:rPr>
        <w:rFonts w:ascii="Symbol" w:hAnsi="Symbol"/>
      </w:rPr>
    </w:lvl>
    <w:lvl w:ilvl="8" w:tplc="A732AE36">
      <w:start w:val="1"/>
      <w:numFmt w:val="bullet"/>
      <w:lvlText w:val=""/>
      <w:lvlJc w:val="left"/>
      <w:pPr>
        <w:ind w:left="720" w:hanging="360"/>
      </w:pPr>
      <w:rPr>
        <w:rFonts w:ascii="Symbol" w:hAnsi="Symbol"/>
      </w:rPr>
    </w:lvl>
  </w:abstractNum>
  <w:abstractNum w:abstractNumId="65" w15:restartNumberingAfterBreak="0">
    <w:nsid w:val="17007EBF"/>
    <w:multiLevelType w:val="hybridMultilevel"/>
    <w:tmpl w:val="CC9C37EE"/>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6" w15:restartNumberingAfterBreak="0">
    <w:nsid w:val="171F3EBD"/>
    <w:multiLevelType w:val="hybridMultilevel"/>
    <w:tmpl w:val="CB3C33AC"/>
    <w:lvl w:ilvl="0" w:tplc="04090001">
      <w:start w:val="1"/>
      <w:numFmt w:val="bullet"/>
      <w:lvlText w:val=""/>
      <w:lvlJc w:val="left"/>
      <w:pPr>
        <w:ind w:left="3600" w:hanging="360"/>
      </w:pPr>
      <w:rPr>
        <w:rFonts w:ascii="Symbol" w:hAnsi="Symbol" w:hint="default"/>
      </w:rPr>
    </w:lvl>
    <w:lvl w:ilvl="1" w:tplc="4344040E">
      <w:start w:val="8"/>
      <w:numFmt w:val="bullet"/>
      <w:lvlText w:val="•"/>
      <w:lvlJc w:val="left"/>
      <w:pPr>
        <w:ind w:left="4320" w:hanging="360"/>
      </w:pPr>
      <w:rPr>
        <w:rFonts w:ascii="Arial" w:eastAsia="Times New Roman" w:hAnsi="Arial" w:cs="Arial" w:hint="default"/>
      </w:rPr>
    </w:lvl>
    <w:lvl w:ilvl="2" w:tplc="F4122126" w:tentative="1">
      <w:start w:val="1"/>
      <w:numFmt w:val="bullet"/>
      <w:lvlText w:val=""/>
      <w:lvlJc w:val="left"/>
      <w:pPr>
        <w:ind w:left="5040" w:hanging="360"/>
      </w:pPr>
      <w:rPr>
        <w:rFonts w:ascii="Wingdings" w:hAnsi="Wingdings" w:hint="default"/>
      </w:rPr>
    </w:lvl>
    <w:lvl w:ilvl="3" w:tplc="1C2E975C" w:tentative="1">
      <w:start w:val="1"/>
      <w:numFmt w:val="bullet"/>
      <w:lvlText w:val=""/>
      <w:lvlJc w:val="left"/>
      <w:pPr>
        <w:ind w:left="5760" w:hanging="360"/>
      </w:pPr>
      <w:rPr>
        <w:rFonts w:ascii="Symbol" w:hAnsi="Symbol" w:hint="default"/>
      </w:rPr>
    </w:lvl>
    <w:lvl w:ilvl="4" w:tplc="44B2D706" w:tentative="1">
      <w:start w:val="1"/>
      <w:numFmt w:val="bullet"/>
      <w:lvlText w:val="o"/>
      <w:lvlJc w:val="left"/>
      <w:pPr>
        <w:ind w:left="6480" w:hanging="360"/>
      </w:pPr>
      <w:rPr>
        <w:rFonts w:ascii="Courier New" w:hAnsi="Courier New" w:cs="Courier New" w:hint="default"/>
      </w:rPr>
    </w:lvl>
    <w:lvl w:ilvl="5" w:tplc="B52A8326" w:tentative="1">
      <w:start w:val="1"/>
      <w:numFmt w:val="bullet"/>
      <w:lvlText w:val=""/>
      <w:lvlJc w:val="left"/>
      <w:pPr>
        <w:ind w:left="7200" w:hanging="360"/>
      </w:pPr>
      <w:rPr>
        <w:rFonts w:ascii="Wingdings" w:hAnsi="Wingdings" w:hint="default"/>
      </w:rPr>
    </w:lvl>
    <w:lvl w:ilvl="6" w:tplc="B414D1F2" w:tentative="1">
      <w:start w:val="1"/>
      <w:numFmt w:val="bullet"/>
      <w:lvlText w:val=""/>
      <w:lvlJc w:val="left"/>
      <w:pPr>
        <w:ind w:left="7920" w:hanging="360"/>
      </w:pPr>
      <w:rPr>
        <w:rFonts w:ascii="Symbol" w:hAnsi="Symbol" w:hint="default"/>
      </w:rPr>
    </w:lvl>
    <w:lvl w:ilvl="7" w:tplc="A78655F2" w:tentative="1">
      <w:start w:val="1"/>
      <w:numFmt w:val="bullet"/>
      <w:lvlText w:val="o"/>
      <w:lvlJc w:val="left"/>
      <w:pPr>
        <w:ind w:left="8640" w:hanging="360"/>
      </w:pPr>
      <w:rPr>
        <w:rFonts w:ascii="Courier New" w:hAnsi="Courier New" w:cs="Courier New" w:hint="default"/>
      </w:rPr>
    </w:lvl>
    <w:lvl w:ilvl="8" w:tplc="BD4CBF6A" w:tentative="1">
      <w:start w:val="1"/>
      <w:numFmt w:val="bullet"/>
      <w:lvlText w:val=""/>
      <w:lvlJc w:val="left"/>
      <w:pPr>
        <w:ind w:left="9360" w:hanging="360"/>
      </w:pPr>
      <w:rPr>
        <w:rFonts w:ascii="Wingdings" w:hAnsi="Wingdings" w:hint="default"/>
      </w:rPr>
    </w:lvl>
  </w:abstractNum>
  <w:abstractNum w:abstractNumId="67" w15:restartNumberingAfterBreak="0">
    <w:nsid w:val="17BC49DE"/>
    <w:multiLevelType w:val="multilevel"/>
    <w:tmpl w:val="5C8016B8"/>
    <w:numStyleLink w:val="Style1"/>
  </w:abstractNum>
  <w:abstractNum w:abstractNumId="68" w15:restartNumberingAfterBreak="0">
    <w:nsid w:val="18855A25"/>
    <w:multiLevelType w:val="hybridMultilevel"/>
    <w:tmpl w:val="228A5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18DF5205"/>
    <w:multiLevelType w:val="hybridMultilevel"/>
    <w:tmpl w:val="5A304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19435AAF"/>
    <w:multiLevelType w:val="hybridMultilevel"/>
    <w:tmpl w:val="9C96AE8E"/>
    <w:lvl w:ilvl="0" w:tplc="EF542DDE">
      <w:start w:val="1"/>
      <w:numFmt w:val="bullet"/>
      <w:lvlText w:val="o"/>
      <w:lvlJc w:val="left"/>
      <w:pPr>
        <w:ind w:left="1440" w:hanging="360"/>
      </w:pPr>
      <w:rPr>
        <w:rFonts w:ascii="Courier New" w:hAnsi="Courier New" w:cs="Courier New"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19620BA3"/>
    <w:multiLevelType w:val="multilevel"/>
    <w:tmpl w:val="377605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15:restartNumberingAfterBreak="0">
    <w:nsid w:val="199E78DF"/>
    <w:multiLevelType w:val="multilevel"/>
    <w:tmpl w:val="C02AA048"/>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3" w15:restartNumberingAfterBreak="0">
    <w:nsid w:val="1A2646E7"/>
    <w:multiLevelType w:val="multilevel"/>
    <w:tmpl w:val="113C6D4A"/>
    <w:lvl w:ilvl="0">
      <w:start w:val="7"/>
      <w:numFmt w:val="decimal"/>
      <w:lvlText w:val="%1"/>
      <w:lvlJc w:val="left"/>
      <w:pPr>
        <w:ind w:left="1559" w:hanging="721"/>
      </w:pPr>
      <w:rPr>
        <w:rFonts w:hint="default"/>
      </w:rPr>
    </w:lvl>
    <w:lvl w:ilvl="1">
      <w:start w:val="1"/>
      <w:numFmt w:val="decimal"/>
      <w:lvlText w:val="%1.%2"/>
      <w:lvlJc w:val="left"/>
      <w:pPr>
        <w:ind w:left="1559" w:hanging="721"/>
        <w:jc w:val="right"/>
      </w:pPr>
      <w:rPr>
        <w:rFonts w:ascii="Times New Roman" w:eastAsia="Times New Roman" w:hAnsi="Times New Roman" w:hint="default"/>
        <w:b/>
        <w:bCs/>
        <w:sz w:val="22"/>
        <w:szCs w:val="22"/>
      </w:rPr>
    </w:lvl>
    <w:lvl w:ilvl="2">
      <w:start w:val="1"/>
      <w:numFmt w:val="decimal"/>
      <w:lvlText w:val="%1.%2.%3"/>
      <w:lvlJc w:val="left"/>
      <w:pPr>
        <w:ind w:left="2279" w:hanging="721"/>
      </w:pPr>
      <w:rPr>
        <w:rFonts w:ascii="Times New Roman" w:eastAsia="Times New Roman" w:hAnsi="Times New Roman" w:hint="default"/>
        <w:b/>
        <w:bCs/>
        <w:sz w:val="22"/>
        <w:szCs w:val="22"/>
      </w:rPr>
    </w:lvl>
    <w:lvl w:ilvl="3">
      <w:start w:val="1"/>
      <w:numFmt w:val="decimal"/>
      <w:lvlText w:val="%1.%2.%3.%4"/>
      <w:lvlJc w:val="left"/>
      <w:pPr>
        <w:ind w:left="3186" w:hanging="908"/>
      </w:pPr>
      <w:rPr>
        <w:rFonts w:ascii="Times New Roman" w:eastAsia="Times New Roman" w:hAnsi="Times New Roman" w:hint="default"/>
        <w:sz w:val="22"/>
        <w:szCs w:val="22"/>
      </w:rPr>
    </w:lvl>
    <w:lvl w:ilvl="4">
      <w:start w:val="1"/>
      <w:numFmt w:val="bullet"/>
      <w:lvlText w:val="•"/>
      <w:lvlJc w:val="left"/>
      <w:pPr>
        <w:ind w:left="4206" w:hanging="908"/>
      </w:pPr>
      <w:rPr>
        <w:rFonts w:hint="default"/>
      </w:rPr>
    </w:lvl>
    <w:lvl w:ilvl="5">
      <w:start w:val="1"/>
      <w:numFmt w:val="bullet"/>
      <w:lvlText w:val="•"/>
      <w:lvlJc w:val="left"/>
      <w:pPr>
        <w:ind w:left="5225" w:hanging="908"/>
      </w:pPr>
      <w:rPr>
        <w:rFonts w:hint="default"/>
      </w:rPr>
    </w:lvl>
    <w:lvl w:ilvl="6">
      <w:start w:val="1"/>
      <w:numFmt w:val="bullet"/>
      <w:lvlText w:val="•"/>
      <w:lvlJc w:val="left"/>
      <w:pPr>
        <w:ind w:left="6244" w:hanging="908"/>
      </w:pPr>
      <w:rPr>
        <w:rFonts w:hint="default"/>
      </w:rPr>
    </w:lvl>
    <w:lvl w:ilvl="7">
      <w:start w:val="1"/>
      <w:numFmt w:val="bullet"/>
      <w:lvlText w:val="•"/>
      <w:lvlJc w:val="left"/>
      <w:pPr>
        <w:ind w:left="7263" w:hanging="908"/>
      </w:pPr>
      <w:rPr>
        <w:rFonts w:hint="default"/>
      </w:rPr>
    </w:lvl>
    <w:lvl w:ilvl="8">
      <w:start w:val="1"/>
      <w:numFmt w:val="bullet"/>
      <w:lvlText w:val="•"/>
      <w:lvlJc w:val="left"/>
      <w:pPr>
        <w:ind w:left="8282" w:hanging="908"/>
      </w:pPr>
      <w:rPr>
        <w:rFonts w:hint="default"/>
      </w:rPr>
    </w:lvl>
  </w:abstractNum>
  <w:abstractNum w:abstractNumId="74" w15:restartNumberingAfterBreak="0">
    <w:nsid w:val="1A9E42F7"/>
    <w:multiLevelType w:val="hybridMultilevel"/>
    <w:tmpl w:val="8DFE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1AD35704"/>
    <w:multiLevelType w:val="hybridMultilevel"/>
    <w:tmpl w:val="E5BC14B8"/>
    <w:lvl w:ilvl="0" w:tplc="2B1AF6B4">
      <w:start w:val="1"/>
      <w:numFmt w:val="bullet"/>
      <w:lvlText w:val=""/>
      <w:lvlJc w:val="left"/>
      <w:pPr>
        <w:ind w:left="720" w:hanging="360"/>
      </w:pPr>
      <w:rPr>
        <w:rFonts w:ascii="Symbol" w:hAnsi="Symbol"/>
      </w:rPr>
    </w:lvl>
    <w:lvl w:ilvl="1" w:tplc="0D6C66E8">
      <w:start w:val="1"/>
      <w:numFmt w:val="bullet"/>
      <w:lvlText w:val=""/>
      <w:lvlJc w:val="left"/>
      <w:pPr>
        <w:ind w:left="720" w:hanging="360"/>
      </w:pPr>
      <w:rPr>
        <w:rFonts w:ascii="Symbol" w:hAnsi="Symbol"/>
      </w:rPr>
    </w:lvl>
    <w:lvl w:ilvl="2" w:tplc="6CAC6590">
      <w:start w:val="1"/>
      <w:numFmt w:val="bullet"/>
      <w:lvlText w:val=""/>
      <w:lvlJc w:val="left"/>
      <w:pPr>
        <w:ind w:left="720" w:hanging="360"/>
      </w:pPr>
      <w:rPr>
        <w:rFonts w:ascii="Symbol" w:hAnsi="Symbol"/>
      </w:rPr>
    </w:lvl>
    <w:lvl w:ilvl="3" w:tplc="AB4CF0C2">
      <w:start w:val="1"/>
      <w:numFmt w:val="bullet"/>
      <w:lvlText w:val=""/>
      <w:lvlJc w:val="left"/>
      <w:pPr>
        <w:ind w:left="720" w:hanging="360"/>
      </w:pPr>
      <w:rPr>
        <w:rFonts w:ascii="Symbol" w:hAnsi="Symbol"/>
      </w:rPr>
    </w:lvl>
    <w:lvl w:ilvl="4" w:tplc="CD188E7C">
      <w:start w:val="1"/>
      <w:numFmt w:val="bullet"/>
      <w:lvlText w:val=""/>
      <w:lvlJc w:val="left"/>
      <w:pPr>
        <w:ind w:left="720" w:hanging="360"/>
      </w:pPr>
      <w:rPr>
        <w:rFonts w:ascii="Symbol" w:hAnsi="Symbol"/>
      </w:rPr>
    </w:lvl>
    <w:lvl w:ilvl="5" w:tplc="C748CCB8">
      <w:start w:val="1"/>
      <w:numFmt w:val="bullet"/>
      <w:lvlText w:val=""/>
      <w:lvlJc w:val="left"/>
      <w:pPr>
        <w:ind w:left="720" w:hanging="360"/>
      </w:pPr>
      <w:rPr>
        <w:rFonts w:ascii="Symbol" w:hAnsi="Symbol"/>
      </w:rPr>
    </w:lvl>
    <w:lvl w:ilvl="6" w:tplc="4F7CA456">
      <w:start w:val="1"/>
      <w:numFmt w:val="bullet"/>
      <w:lvlText w:val=""/>
      <w:lvlJc w:val="left"/>
      <w:pPr>
        <w:ind w:left="720" w:hanging="360"/>
      </w:pPr>
      <w:rPr>
        <w:rFonts w:ascii="Symbol" w:hAnsi="Symbol"/>
      </w:rPr>
    </w:lvl>
    <w:lvl w:ilvl="7" w:tplc="E564BE7A">
      <w:start w:val="1"/>
      <w:numFmt w:val="bullet"/>
      <w:lvlText w:val=""/>
      <w:lvlJc w:val="left"/>
      <w:pPr>
        <w:ind w:left="720" w:hanging="360"/>
      </w:pPr>
      <w:rPr>
        <w:rFonts w:ascii="Symbol" w:hAnsi="Symbol"/>
      </w:rPr>
    </w:lvl>
    <w:lvl w:ilvl="8" w:tplc="EFC29DEC">
      <w:start w:val="1"/>
      <w:numFmt w:val="bullet"/>
      <w:lvlText w:val=""/>
      <w:lvlJc w:val="left"/>
      <w:pPr>
        <w:ind w:left="720" w:hanging="360"/>
      </w:pPr>
      <w:rPr>
        <w:rFonts w:ascii="Symbol" w:hAnsi="Symbol"/>
      </w:rPr>
    </w:lvl>
  </w:abstractNum>
  <w:abstractNum w:abstractNumId="76" w15:restartNumberingAfterBreak="0">
    <w:nsid w:val="1ADC2B50"/>
    <w:multiLevelType w:val="hybridMultilevel"/>
    <w:tmpl w:val="923EF6AE"/>
    <w:lvl w:ilvl="0" w:tplc="04CE9D88">
      <w:start w:val="1"/>
      <w:numFmt w:val="bullet"/>
      <w:lvlText w:val=""/>
      <w:lvlJc w:val="left"/>
      <w:pPr>
        <w:ind w:left="720" w:hanging="360"/>
      </w:pPr>
      <w:rPr>
        <w:rFonts w:ascii="Symbol" w:hAnsi="Symbol"/>
      </w:rPr>
    </w:lvl>
    <w:lvl w:ilvl="1" w:tplc="DD0C9A44">
      <w:start w:val="1"/>
      <w:numFmt w:val="bullet"/>
      <w:lvlText w:val=""/>
      <w:lvlJc w:val="left"/>
      <w:pPr>
        <w:ind w:left="720" w:hanging="360"/>
      </w:pPr>
      <w:rPr>
        <w:rFonts w:ascii="Symbol" w:hAnsi="Symbol"/>
      </w:rPr>
    </w:lvl>
    <w:lvl w:ilvl="2" w:tplc="BDDADEAC">
      <w:start w:val="1"/>
      <w:numFmt w:val="bullet"/>
      <w:lvlText w:val=""/>
      <w:lvlJc w:val="left"/>
      <w:pPr>
        <w:ind w:left="720" w:hanging="360"/>
      </w:pPr>
      <w:rPr>
        <w:rFonts w:ascii="Symbol" w:hAnsi="Symbol"/>
      </w:rPr>
    </w:lvl>
    <w:lvl w:ilvl="3" w:tplc="2456590A">
      <w:start w:val="1"/>
      <w:numFmt w:val="bullet"/>
      <w:lvlText w:val=""/>
      <w:lvlJc w:val="left"/>
      <w:pPr>
        <w:ind w:left="720" w:hanging="360"/>
      </w:pPr>
      <w:rPr>
        <w:rFonts w:ascii="Symbol" w:hAnsi="Symbol"/>
      </w:rPr>
    </w:lvl>
    <w:lvl w:ilvl="4" w:tplc="5B483A26">
      <w:start w:val="1"/>
      <w:numFmt w:val="bullet"/>
      <w:lvlText w:val=""/>
      <w:lvlJc w:val="left"/>
      <w:pPr>
        <w:ind w:left="720" w:hanging="360"/>
      </w:pPr>
      <w:rPr>
        <w:rFonts w:ascii="Symbol" w:hAnsi="Symbol"/>
      </w:rPr>
    </w:lvl>
    <w:lvl w:ilvl="5" w:tplc="21204CB0">
      <w:start w:val="1"/>
      <w:numFmt w:val="bullet"/>
      <w:lvlText w:val=""/>
      <w:lvlJc w:val="left"/>
      <w:pPr>
        <w:ind w:left="720" w:hanging="360"/>
      </w:pPr>
      <w:rPr>
        <w:rFonts w:ascii="Symbol" w:hAnsi="Symbol"/>
      </w:rPr>
    </w:lvl>
    <w:lvl w:ilvl="6" w:tplc="7DCC7A30">
      <w:start w:val="1"/>
      <w:numFmt w:val="bullet"/>
      <w:lvlText w:val=""/>
      <w:lvlJc w:val="left"/>
      <w:pPr>
        <w:ind w:left="720" w:hanging="360"/>
      </w:pPr>
      <w:rPr>
        <w:rFonts w:ascii="Symbol" w:hAnsi="Symbol"/>
      </w:rPr>
    </w:lvl>
    <w:lvl w:ilvl="7" w:tplc="229C0230">
      <w:start w:val="1"/>
      <w:numFmt w:val="bullet"/>
      <w:lvlText w:val=""/>
      <w:lvlJc w:val="left"/>
      <w:pPr>
        <w:ind w:left="720" w:hanging="360"/>
      </w:pPr>
      <w:rPr>
        <w:rFonts w:ascii="Symbol" w:hAnsi="Symbol"/>
      </w:rPr>
    </w:lvl>
    <w:lvl w:ilvl="8" w:tplc="42EA83BC">
      <w:start w:val="1"/>
      <w:numFmt w:val="bullet"/>
      <w:lvlText w:val=""/>
      <w:lvlJc w:val="left"/>
      <w:pPr>
        <w:ind w:left="720" w:hanging="360"/>
      </w:pPr>
      <w:rPr>
        <w:rFonts w:ascii="Symbol" w:hAnsi="Symbol"/>
      </w:rPr>
    </w:lvl>
  </w:abstractNum>
  <w:abstractNum w:abstractNumId="77" w15:restartNumberingAfterBreak="0">
    <w:nsid w:val="1B84408E"/>
    <w:multiLevelType w:val="multilevel"/>
    <w:tmpl w:val="D248C708"/>
    <w:lvl w:ilvl="0">
      <w:start w:val="5"/>
      <w:numFmt w:val="decimal"/>
      <w:lvlText w:val="%1"/>
      <w:lvlJc w:val="left"/>
      <w:pPr>
        <w:ind w:left="480" w:hanging="480"/>
      </w:pPr>
      <w:rPr>
        <w:rFonts w:eastAsia="Calibri" w:hint="default"/>
        <w:i w:val="0"/>
      </w:rPr>
    </w:lvl>
    <w:lvl w:ilvl="1">
      <w:start w:val="5"/>
      <w:numFmt w:val="decimal"/>
      <w:lvlText w:val="%1.%2"/>
      <w:lvlJc w:val="left"/>
      <w:pPr>
        <w:ind w:left="480" w:hanging="480"/>
      </w:pPr>
      <w:rPr>
        <w:rFonts w:eastAsia="Calibri" w:hint="default"/>
        <w:i w:val="0"/>
      </w:rPr>
    </w:lvl>
    <w:lvl w:ilvl="2">
      <w:start w:val="4"/>
      <w:numFmt w:val="decimal"/>
      <w:lvlText w:val="%1.%2.%3"/>
      <w:lvlJc w:val="left"/>
      <w:pPr>
        <w:ind w:left="720" w:hanging="720"/>
      </w:pPr>
      <w:rPr>
        <w:rFonts w:eastAsia="Calibri" w:hint="default"/>
        <w:i w:val="0"/>
      </w:rPr>
    </w:lvl>
    <w:lvl w:ilvl="3">
      <w:start w:val="1"/>
      <w:numFmt w:val="decimal"/>
      <w:lvlText w:val="%1.%2.%3.%4"/>
      <w:lvlJc w:val="left"/>
      <w:pPr>
        <w:ind w:left="720" w:hanging="720"/>
      </w:pPr>
      <w:rPr>
        <w:rFonts w:eastAsia="Calibri" w:hint="default"/>
        <w:i w:val="0"/>
      </w:rPr>
    </w:lvl>
    <w:lvl w:ilvl="4">
      <w:start w:val="1"/>
      <w:numFmt w:val="decimal"/>
      <w:lvlText w:val="%1.%2.%3.%4.%5"/>
      <w:lvlJc w:val="left"/>
      <w:pPr>
        <w:ind w:left="1080" w:hanging="1080"/>
      </w:pPr>
      <w:rPr>
        <w:rFonts w:eastAsia="Calibri" w:hint="default"/>
        <w:i w:val="0"/>
      </w:rPr>
    </w:lvl>
    <w:lvl w:ilvl="5">
      <w:start w:val="1"/>
      <w:numFmt w:val="decimal"/>
      <w:lvlText w:val="%1.%2.%3.%4.%5.%6"/>
      <w:lvlJc w:val="left"/>
      <w:pPr>
        <w:ind w:left="1080" w:hanging="1080"/>
      </w:pPr>
      <w:rPr>
        <w:rFonts w:eastAsia="Calibri" w:hint="default"/>
        <w:i w:val="0"/>
      </w:rPr>
    </w:lvl>
    <w:lvl w:ilvl="6">
      <w:start w:val="1"/>
      <w:numFmt w:val="decimal"/>
      <w:lvlText w:val="%1.%2.%3.%4.%5.%6.%7"/>
      <w:lvlJc w:val="left"/>
      <w:pPr>
        <w:ind w:left="1440" w:hanging="1440"/>
      </w:pPr>
      <w:rPr>
        <w:rFonts w:eastAsia="Calibri" w:hint="default"/>
        <w:i w:val="0"/>
      </w:rPr>
    </w:lvl>
    <w:lvl w:ilvl="7">
      <w:start w:val="1"/>
      <w:numFmt w:val="decimal"/>
      <w:lvlText w:val="%1.%2.%3.%4.%5.%6.%7.%8"/>
      <w:lvlJc w:val="left"/>
      <w:pPr>
        <w:ind w:left="1440" w:hanging="1440"/>
      </w:pPr>
      <w:rPr>
        <w:rFonts w:eastAsia="Calibri" w:hint="default"/>
        <w:i w:val="0"/>
      </w:rPr>
    </w:lvl>
    <w:lvl w:ilvl="8">
      <w:start w:val="1"/>
      <w:numFmt w:val="decimal"/>
      <w:lvlText w:val="%1.%2.%3.%4.%5.%6.%7.%8.%9"/>
      <w:lvlJc w:val="left"/>
      <w:pPr>
        <w:ind w:left="1800" w:hanging="1800"/>
      </w:pPr>
      <w:rPr>
        <w:rFonts w:eastAsia="Calibri" w:hint="default"/>
        <w:i w:val="0"/>
      </w:rPr>
    </w:lvl>
  </w:abstractNum>
  <w:abstractNum w:abstractNumId="78" w15:restartNumberingAfterBreak="0">
    <w:nsid w:val="1C757056"/>
    <w:multiLevelType w:val="hybridMultilevel"/>
    <w:tmpl w:val="D4A44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1DEA54B1"/>
    <w:multiLevelType w:val="hybridMultilevel"/>
    <w:tmpl w:val="C214F7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0" w15:restartNumberingAfterBreak="0">
    <w:nsid w:val="1F5B2AB2"/>
    <w:multiLevelType w:val="hybridMultilevel"/>
    <w:tmpl w:val="F50A10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1FB22770"/>
    <w:multiLevelType w:val="hybridMultilevel"/>
    <w:tmpl w:val="4C6ADFD2"/>
    <w:lvl w:ilvl="0" w:tplc="368E72EC">
      <w:numFmt w:val="bullet"/>
      <w:lvlText w:val=""/>
      <w:lvlJc w:val="left"/>
      <w:pPr>
        <w:ind w:left="1486" w:hanging="361"/>
      </w:pPr>
      <w:rPr>
        <w:rFonts w:ascii="Symbol" w:eastAsia="Symbol" w:hAnsi="Symbol" w:cs="Symbol" w:hint="default"/>
        <w:spacing w:val="0"/>
        <w:w w:val="99"/>
        <w:lang w:val="en-US" w:eastAsia="en-US" w:bidi="ar-SA"/>
      </w:rPr>
    </w:lvl>
    <w:lvl w:ilvl="1" w:tplc="3274E5F2">
      <w:numFmt w:val="bullet"/>
      <w:lvlText w:val="o"/>
      <w:lvlJc w:val="left"/>
      <w:pPr>
        <w:ind w:left="2160" w:hanging="360"/>
      </w:pPr>
      <w:rPr>
        <w:rFonts w:ascii="Courier New" w:eastAsia="Courier New" w:hAnsi="Courier New" w:cs="Courier New" w:hint="default"/>
        <w:b w:val="0"/>
        <w:bCs w:val="0"/>
        <w:i w:val="0"/>
        <w:iCs w:val="0"/>
        <w:spacing w:val="0"/>
        <w:w w:val="99"/>
        <w:sz w:val="20"/>
        <w:szCs w:val="20"/>
        <w:lang w:val="en-US" w:eastAsia="en-US" w:bidi="ar-SA"/>
      </w:rPr>
    </w:lvl>
    <w:lvl w:ilvl="2" w:tplc="130E6DB6">
      <w:numFmt w:val="bullet"/>
      <w:lvlText w:val=""/>
      <w:lvlJc w:val="left"/>
      <w:pPr>
        <w:ind w:left="2880" w:hanging="360"/>
      </w:pPr>
      <w:rPr>
        <w:rFonts w:ascii="Wingdings" w:eastAsia="Wingdings" w:hAnsi="Wingdings" w:cs="Wingdings" w:hint="default"/>
        <w:b w:val="0"/>
        <w:bCs w:val="0"/>
        <w:i w:val="0"/>
        <w:iCs w:val="0"/>
        <w:spacing w:val="0"/>
        <w:w w:val="99"/>
        <w:sz w:val="20"/>
        <w:szCs w:val="20"/>
        <w:lang w:val="en-US" w:eastAsia="en-US" w:bidi="ar-SA"/>
      </w:rPr>
    </w:lvl>
    <w:lvl w:ilvl="3" w:tplc="6E24DB1C">
      <w:numFmt w:val="bullet"/>
      <w:lvlText w:val="•"/>
      <w:lvlJc w:val="left"/>
      <w:pPr>
        <w:ind w:left="4050" w:hanging="360"/>
      </w:pPr>
      <w:rPr>
        <w:rFonts w:hint="default"/>
        <w:lang w:val="en-US" w:eastAsia="en-US" w:bidi="ar-SA"/>
      </w:rPr>
    </w:lvl>
    <w:lvl w:ilvl="4" w:tplc="5AB2E3FA">
      <w:numFmt w:val="bullet"/>
      <w:lvlText w:val="•"/>
      <w:lvlJc w:val="left"/>
      <w:pPr>
        <w:ind w:left="5220" w:hanging="360"/>
      </w:pPr>
      <w:rPr>
        <w:rFonts w:hint="default"/>
        <w:lang w:val="en-US" w:eastAsia="en-US" w:bidi="ar-SA"/>
      </w:rPr>
    </w:lvl>
    <w:lvl w:ilvl="5" w:tplc="7F2C4CA6">
      <w:numFmt w:val="bullet"/>
      <w:lvlText w:val="•"/>
      <w:lvlJc w:val="left"/>
      <w:pPr>
        <w:ind w:left="6390" w:hanging="360"/>
      </w:pPr>
      <w:rPr>
        <w:rFonts w:hint="default"/>
        <w:lang w:val="en-US" w:eastAsia="en-US" w:bidi="ar-SA"/>
      </w:rPr>
    </w:lvl>
    <w:lvl w:ilvl="6" w:tplc="0338BB66">
      <w:numFmt w:val="bullet"/>
      <w:lvlText w:val="•"/>
      <w:lvlJc w:val="left"/>
      <w:pPr>
        <w:ind w:left="7560" w:hanging="360"/>
      </w:pPr>
      <w:rPr>
        <w:rFonts w:hint="default"/>
        <w:lang w:val="en-US" w:eastAsia="en-US" w:bidi="ar-SA"/>
      </w:rPr>
    </w:lvl>
    <w:lvl w:ilvl="7" w:tplc="D34A4DB8">
      <w:numFmt w:val="bullet"/>
      <w:lvlText w:val="•"/>
      <w:lvlJc w:val="left"/>
      <w:pPr>
        <w:ind w:left="8730" w:hanging="360"/>
      </w:pPr>
      <w:rPr>
        <w:rFonts w:hint="default"/>
        <w:lang w:val="en-US" w:eastAsia="en-US" w:bidi="ar-SA"/>
      </w:rPr>
    </w:lvl>
    <w:lvl w:ilvl="8" w:tplc="0F0466C0">
      <w:numFmt w:val="bullet"/>
      <w:lvlText w:val="•"/>
      <w:lvlJc w:val="left"/>
      <w:pPr>
        <w:ind w:left="9900" w:hanging="360"/>
      </w:pPr>
      <w:rPr>
        <w:rFonts w:hint="default"/>
        <w:lang w:val="en-US" w:eastAsia="en-US" w:bidi="ar-SA"/>
      </w:rPr>
    </w:lvl>
  </w:abstractNum>
  <w:abstractNum w:abstractNumId="82" w15:restartNumberingAfterBreak="0">
    <w:nsid w:val="1FBF1DE7"/>
    <w:multiLevelType w:val="hybridMultilevel"/>
    <w:tmpl w:val="1BAACEE6"/>
    <w:lvl w:ilvl="0" w:tplc="E858231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09E0981"/>
    <w:multiLevelType w:val="singleLevel"/>
    <w:tmpl w:val="50C861FA"/>
    <w:lvl w:ilvl="0">
      <w:start w:val="1"/>
      <w:numFmt w:val="bullet"/>
      <w:lvlText w:val=""/>
      <w:lvlJc w:val="left"/>
      <w:pPr>
        <w:tabs>
          <w:tab w:val="num" w:pos="2160"/>
        </w:tabs>
        <w:ind w:left="2160" w:hanging="360"/>
      </w:pPr>
      <w:rPr>
        <w:rFonts w:ascii="Symbol" w:hAnsi="Symbol" w:hint="default"/>
        <w:sz w:val="18"/>
      </w:rPr>
    </w:lvl>
  </w:abstractNum>
  <w:abstractNum w:abstractNumId="84" w15:restartNumberingAfterBreak="0">
    <w:nsid w:val="20BC7A86"/>
    <w:multiLevelType w:val="hybridMultilevel"/>
    <w:tmpl w:val="8674B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1C96139"/>
    <w:multiLevelType w:val="hybridMultilevel"/>
    <w:tmpl w:val="D61EF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23336F2"/>
    <w:multiLevelType w:val="hybridMultilevel"/>
    <w:tmpl w:val="5CA0F15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243652BC"/>
    <w:multiLevelType w:val="hybridMultilevel"/>
    <w:tmpl w:val="5EF2DC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249E07C0"/>
    <w:multiLevelType w:val="hybridMultilevel"/>
    <w:tmpl w:val="7D00E4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24EA6337"/>
    <w:multiLevelType w:val="hybridMultilevel"/>
    <w:tmpl w:val="0FC0AC0A"/>
    <w:lvl w:ilvl="0" w:tplc="89C6FE4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25B07AAB"/>
    <w:multiLevelType w:val="hybridMultilevel"/>
    <w:tmpl w:val="1BAACEE6"/>
    <w:lvl w:ilvl="0" w:tplc="E858231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5B71BBC"/>
    <w:multiLevelType w:val="hybridMultilevel"/>
    <w:tmpl w:val="59E66678"/>
    <w:lvl w:ilvl="0" w:tplc="A03E0080">
      <w:start w:val="1"/>
      <w:numFmt w:val="bullet"/>
      <w:lvlText w:val=""/>
      <w:lvlJc w:val="left"/>
      <w:pPr>
        <w:ind w:left="353" w:hanging="252"/>
      </w:pPr>
      <w:rPr>
        <w:rFonts w:ascii="Wingdings" w:eastAsia="Wingdings" w:hAnsi="Wingdings" w:hint="default"/>
        <w:sz w:val="22"/>
        <w:szCs w:val="22"/>
      </w:rPr>
    </w:lvl>
    <w:lvl w:ilvl="1" w:tplc="A642E288">
      <w:start w:val="1"/>
      <w:numFmt w:val="bullet"/>
      <w:lvlText w:val="•"/>
      <w:lvlJc w:val="left"/>
      <w:pPr>
        <w:ind w:left="505" w:hanging="252"/>
      </w:pPr>
      <w:rPr>
        <w:rFonts w:hint="default"/>
      </w:rPr>
    </w:lvl>
    <w:lvl w:ilvl="2" w:tplc="2BC2FE14">
      <w:start w:val="1"/>
      <w:numFmt w:val="bullet"/>
      <w:lvlText w:val="•"/>
      <w:lvlJc w:val="left"/>
      <w:pPr>
        <w:ind w:left="656" w:hanging="252"/>
      </w:pPr>
      <w:rPr>
        <w:rFonts w:hint="default"/>
      </w:rPr>
    </w:lvl>
    <w:lvl w:ilvl="3" w:tplc="ED126FFE">
      <w:start w:val="1"/>
      <w:numFmt w:val="bullet"/>
      <w:lvlText w:val="•"/>
      <w:lvlJc w:val="left"/>
      <w:pPr>
        <w:ind w:left="808" w:hanging="252"/>
      </w:pPr>
      <w:rPr>
        <w:rFonts w:hint="default"/>
      </w:rPr>
    </w:lvl>
    <w:lvl w:ilvl="4" w:tplc="DC148EF8">
      <w:start w:val="1"/>
      <w:numFmt w:val="bullet"/>
      <w:lvlText w:val="•"/>
      <w:lvlJc w:val="left"/>
      <w:pPr>
        <w:ind w:left="959" w:hanging="252"/>
      </w:pPr>
      <w:rPr>
        <w:rFonts w:hint="default"/>
      </w:rPr>
    </w:lvl>
    <w:lvl w:ilvl="5" w:tplc="4A866E3A">
      <w:start w:val="1"/>
      <w:numFmt w:val="bullet"/>
      <w:lvlText w:val="•"/>
      <w:lvlJc w:val="left"/>
      <w:pPr>
        <w:ind w:left="1110" w:hanging="252"/>
      </w:pPr>
      <w:rPr>
        <w:rFonts w:hint="default"/>
      </w:rPr>
    </w:lvl>
    <w:lvl w:ilvl="6" w:tplc="167E2BCA">
      <w:start w:val="1"/>
      <w:numFmt w:val="bullet"/>
      <w:lvlText w:val="•"/>
      <w:lvlJc w:val="left"/>
      <w:pPr>
        <w:ind w:left="1262" w:hanging="252"/>
      </w:pPr>
      <w:rPr>
        <w:rFonts w:hint="default"/>
      </w:rPr>
    </w:lvl>
    <w:lvl w:ilvl="7" w:tplc="2D104D5E">
      <w:start w:val="1"/>
      <w:numFmt w:val="bullet"/>
      <w:lvlText w:val="•"/>
      <w:lvlJc w:val="left"/>
      <w:pPr>
        <w:ind w:left="1413" w:hanging="252"/>
      </w:pPr>
      <w:rPr>
        <w:rFonts w:hint="default"/>
      </w:rPr>
    </w:lvl>
    <w:lvl w:ilvl="8" w:tplc="7B6C51BA">
      <w:start w:val="1"/>
      <w:numFmt w:val="bullet"/>
      <w:lvlText w:val="•"/>
      <w:lvlJc w:val="left"/>
      <w:pPr>
        <w:ind w:left="1564" w:hanging="252"/>
      </w:pPr>
      <w:rPr>
        <w:rFonts w:hint="default"/>
      </w:rPr>
    </w:lvl>
  </w:abstractNum>
  <w:abstractNum w:abstractNumId="92" w15:restartNumberingAfterBreak="0">
    <w:nsid w:val="270D4565"/>
    <w:multiLevelType w:val="hybridMultilevel"/>
    <w:tmpl w:val="D4B234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28561EE5"/>
    <w:multiLevelType w:val="hybridMultilevel"/>
    <w:tmpl w:val="FF145584"/>
    <w:lvl w:ilvl="0" w:tplc="115EBD56">
      <w:start w:val="1"/>
      <w:numFmt w:val="bullet"/>
      <w:lvlText w:val=""/>
      <w:lvlJc w:val="left"/>
      <w:pPr>
        <w:ind w:left="720" w:hanging="360"/>
      </w:pPr>
      <w:rPr>
        <w:rFonts w:ascii="Symbol" w:hAnsi="Symbol"/>
      </w:rPr>
    </w:lvl>
    <w:lvl w:ilvl="1" w:tplc="4290DBC0">
      <w:start w:val="1"/>
      <w:numFmt w:val="bullet"/>
      <w:lvlText w:val=""/>
      <w:lvlJc w:val="left"/>
      <w:pPr>
        <w:ind w:left="720" w:hanging="360"/>
      </w:pPr>
      <w:rPr>
        <w:rFonts w:ascii="Symbol" w:hAnsi="Symbol"/>
      </w:rPr>
    </w:lvl>
    <w:lvl w:ilvl="2" w:tplc="1526A220">
      <w:start w:val="1"/>
      <w:numFmt w:val="bullet"/>
      <w:lvlText w:val=""/>
      <w:lvlJc w:val="left"/>
      <w:pPr>
        <w:ind w:left="720" w:hanging="360"/>
      </w:pPr>
      <w:rPr>
        <w:rFonts w:ascii="Symbol" w:hAnsi="Symbol"/>
      </w:rPr>
    </w:lvl>
    <w:lvl w:ilvl="3" w:tplc="26A850EC">
      <w:start w:val="1"/>
      <w:numFmt w:val="bullet"/>
      <w:lvlText w:val=""/>
      <w:lvlJc w:val="left"/>
      <w:pPr>
        <w:ind w:left="720" w:hanging="360"/>
      </w:pPr>
      <w:rPr>
        <w:rFonts w:ascii="Symbol" w:hAnsi="Symbol"/>
      </w:rPr>
    </w:lvl>
    <w:lvl w:ilvl="4" w:tplc="CA500246">
      <w:start w:val="1"/>
      <w:numFmt w:val="bullet"/>
      <w:lvlText w:val=""/>
      <w:lvlJc w:val="left"/>
      <w:pPr>
        <w:ind w:left="720" w:hanging="360"/>
      </w:pPr>
      <w:rPr>
        <w:rFonts w:ascii="Symbol" w:hAnsi="Symbol"/>
      </w:rPr>
    </w:lvl>
    <w:lvl w:ilvl="5" w:tplc="BABC4ABE">
      <w:start w:val="1"/>
      <w:numFmt w:val="bullet"/>
      <w:lvlText w:val=""/>
      <w:lvlJc w:val="left"/>
      <w:pPr>
        <w:ind w:left="720" w:hanging="360"/>
      </w:pPr>
      <w:rPr>
        <w:rFonts w:ascii="Symbol" w:hAnsi="Symbol"/>
      </w:rPr>
    </w:lvl>
    <w:lvl w:ilvl="6" w:tplc="B83A2508">
      <w:start w:val="1"/>
      <w:numFmt w:val="bullet"/>
      <w:lvlText w:val=""/>
      <w:lvlJc w:val="left"/>
      <w:pPr>
        <w:ind w:left="720" w:hanging="360"/>
      </w:pPr>
      <w:rPr>
        <w:rFonts w:ascii="Symbol" w:hAnsi="Symbol"/>
      </w:rPr>
    </w:lvl>
    <w:lvl w:ilvl="7" w:tplc="FDAA181C">
      <w:start w:val="1"/>
      <w:numFmt w:val="bullet"/>
      <w:lvlText w:val=""/>
      <w:lvlJc w:val="left"/>
      <w:pPr>
        <w:ind w:left="720" w:hanging="360"/>
      </w:pPr>
      <w:rPr>
        <w:rFonts w:ascii="Symbol" w:hAnsi="Symbol"/>
      </w:rPr>
    </w:lvl>
    <w:lvl w:ilvl="8" w:tplc="5E3A736E">
      <w:start w:val="1"/>
      <w:numFmt w:val="bullet"/>
      <w:lvlText w:val=""/>
      <w:lvlJc w:val="left"/>
      <w:pPr>
        <w:ind w:left="720" w:hanging="360"/>
      </w:pPr>
      <w:rPr>
        <w:rFonts w:ascii="Symbol" w:hAnsi="Symbol"/>
      </w:rPr>
    </w:lvl>
  </w:abstractNum>
  <w:abstractNum w:abstractNumId="94" w15:restartNumberingAfterBreak="0">
    <w:nsid w:val="28AA2FAB"/>
    <w:multiLevelType w:val="hybridMultilevel"/>
    <w:tmpl w:val="F84070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5" w15:restartNumberingAfterBreak="0">
    <w:nsid w:val="29A71FAC"/>
    <w:multiLevelType w:val="hybridMultilevel"/>
    <w:tmpl w:val="A2681E54"/>
    <w:lvl w:ilvl="0" w:tplc="F76A5B6C">
      <w:start w:val="1"/>
      <w:numFmt w:val="bullet"/>
      <w:lvlText w:val=""/>
      <w:lvlJc w:val="left"/>
      <w:pPr>
        <w:ind w:left="1320" w:hanging="360"/>
      </w:pPr>
      <w:rPr>
        <w:rFonts w:ascii="Symbol" w:hAnsi="Symbol"/>
      </w:rPr>
    </w:lvl>
    <w:lvl w:ilvl="1" w:tplc="BCAA67EE">
      <w:start w:val="1"/>
      <w:numFmt w:val="bullet"/>
      <w:lvlText w:val=""/>
      <w:lvlJc w:val="left"/>
      <w:pPr>
        <w:ind w:left="1320" w:hanging="360"/>
      </w:pPr>
      <w:rPr>
        <w:rFonts w:ascii="Symbol" w:hAnsi="Symbol"/>
      </w:rPr>
    </w:lvl>
    <w:lvl w:ilvl="2" w:tplc="91EA3DE8">
      <w:start w:val="1"/>
      <w:numFmt w:val="bullet"/>
      <w:lvlText w:val=""/>
      <w:lvlJc w:val="left"/>
      <w:pPr>
        <w:ind w:left="1320" w:hanging="360"/>
      </w:pPr>
      <w:rPr>
        <w:rFonts w:ascii="Symbol" w:hAnsi="Symbol"/>
      </w:rPr>
    </w:lvl>
    <w:lvl w:ilvl="3" w:tplc="78E8F70A">
      <w:start w:val="1"/>
      <w:numFmt w:val="bullet"/>
      <w:lvlText w:val=""/>
      <w:lvlJc w:val="left"/>
      <w:pPr>
        <w:ind w:left="1320" w:hanging="360"/>
      </w:pPr>
      <w:rPr>
        <w:rFonts w:ascii="Symbol" w:hAnsi="Symbol"/>
      </w:rPr>
    </w:lvl>
    <w:lvl w:ilvl="4" w:tplc="DA6C14E4">
      <w:start w:val="1"/>
      <w:numFmt w:val="bullet"/>
      <w:lvlText w:val=""/>
      <w:lvlJc w:val="left"/>
      <w:pPr>
        <w:ind w:left="1320" w:hanging="360"/>
      </w:pPr>
      <w:rPr>
        <w:rFonts w:ascii="Symbol" w:hAnsi="Symbol"/>
      </w:rPr>
    </w:lvl>
    <w:lvl w:ilvl="5" w:tplc="E04EBDDA">
      <w:start w:val="1"/>
      <w:numFmt w:val="bullet"/>
      <w:lvlText w:val=""/>
      <w:lvlJc w:val="left"/>
      <w:pPr>
        <w:ind w:left="1320" w:hanging="360"/>
      </w:pPr>
      <w:rPr>
        <w:rFonts w:ascii="Symbol" w:hAnsi="Symbol"/>
      </w:rPr>
    </w:lvl>
    <w:lvl w:ilvl="6" w:tplc="05F873BC">
      <w:start w:val="1"/>
      <w:numFmt w:val="bullet"/>
      <w:lvlText w:val=""/>
      <w:lvlJc w:val="left"/>
      <w:pPr>
        <w:ind w:left="1320" w:hanging="360"/>
      </w:pPr>
      <w:rPr>
        <w:rFonts w:ascii="Symbol" w:hAnsi="Symbol"/>
      </w:rPr>
    </w:lvl>
    <w:lvl w:ilvl="7" w:tplc="58343CB8">
      <w:start w:val="1"/>
      <w:numFmt w:val="bullet"/>
      <w:lvlText w:val=""/>
      <w:lvlJc w:val="left"/>
      <w:pPr>
        <w:ind w:left="1320" w:hanging="360"/>
      </w:pPr>
      <w:rPr>
        <w:rFonts w:ascii="Symbol" w:hAnsi="Symbol"/>
      </w:rPr>
    </w:lvl>
    <w:lvl w:ilvl="8" w:tplc="BAA01784">
      <w:start w:val="1"/>
      <w:numFmt w:val="bullet"/>
      <w:lvlText w:val=""/>
      <w:lvlJc w:val="left"/>
      <w:pPr>
        <w:ind w:left="1320" w:hanging="360"/>
      </w:pPr>
      <w:rPr>
        <w:rFonts w:ascii="Symbol" w:hAnsi="Symbol"/>
      </w:rPr>
    </w:lvl>
  </w:abstractNum>
  <w:abstractNum w:abstractNumId="96" w15:restartNumberingAfterBreak="0">
    <w:nsid w:val="29B66950"/>
    <w:multiLevelType w:val="hybridMultilevel"/>
    <w:tmpl w:val="C3B46A9C"/>
    <w:lvl w:ilvl="0" w:tplc="48B24696">
      <w:start w:val="1"/>
      <w:numFmt w:val="bullet"/>
      <w:lvlText w:val=""/>
      <w:lvlJc w:val="left"/>
      <w:pPr>
        <w:ind w:left="2040" w:hanging="360"/>
      </w:pPr>
      <w:rPr>
        <w:rFonts w:ascii="Symbol" w:hAnsi="Symbol"/>
      </w:rPr>
    </w:lvl>
    <w:lvl w:ilvl="1" w:tplc="6C38004A">
      <w:start w:val="1"/>
      <w:numFmt w:val="bullet"/>
      <w:lvlText w:val=""/>
      <w:lvlJc w:val="left"/>
      <w:pPr>
        <w:ind w:left="2040" w:hanging="360"/>
      </w:pPr>
      <w:rPr>
        <w:rFonts w:ascii="Symbol" w:hAnsi="Symbol"/>
      </w:rPr>
    </w:lvl>
    <w:lvl w:ilvl="2" w:tplc="947CD7E8">
      <w:start w:val="1"/>
      <w:numFmt w:val="bullet"/>
      <w:lvlText w:val=""/>
      <w:lvlJc w:val="left"/>
      <w:pPr>
        <w:ind w:left="2040" w:hanging="360"/>
      </w:pPr>
      <w:rPr>
        <w:rFonts w:ascii="Symbol" w:hAnsi="Symbol"/>
      </w:rPr>
    </w:lvl>
    <w:lvl w:ilvl="3" w:tplc="6EE81D52">
      <w:start w:val="1"/>
      <w:numFmt w:val="bullet"/>
      <w:lvlText w:val=""/>
      <w:lvlJc w:val="left"/>
      <w:pPr>
        <w:ind w:left="2040" w:hanging="360"/>
      </w:pPr>
      <w:rPr>
        <w:rFonts w:ascii="Symbol" w:hAnsi="Symbol"/>
      </w:rPr>
    </w:lvl>
    <w:lvl w:ilvl="4" w:tplc="3C70E020">
      <w:start w:val="1"/>
      <w:numFmt w:val="bullet"/>
      <w:lvlText w:val=""/>
      <w:lvlJc w:val="left"/>
      <w:pPr>
        <w:ind w:left="2040" w:hanging="360"/>
      </w:pPr>
      <w:rPr>
        <w:rFonts w:ascii="Symbol" w:hAnsi="Symbol"/>
      </w:rPr>
    </w:lvl>
    <w:lvl w:ilvl="5" w:tplc="CC6A82D4">
      <w:start w:val="1"/>
      <w:numFmt w:val="bullet"/>
      <w:lvlText w:val=""/>
      <w:lvlJc w:val="left"/>
      <w:pPr>
        <w:ind w:left="2040" w:hanging="360"/>
      </w:pPr>
      <w:rPr>
        <w:rFonts w:ascii="Symbol" w:hAnsi="Symbol"/>
      </w:rPr>
    </w:lvl>
    <w:lvl w:ilvl="6" w:tplc="717AB8AC">
      <w:start w:val="1"/>
      <w:numFmt w:val="bullet"/>
      <w:lvlText w:val=""/>
      <w:lvlJc w:val="left"/>
      <w:pPr>
        <w:ind w:left="2040" w:hanging="360"/>
      </w:pPr>
      <w:rPr>
        <w:rFonts w:ascii="Symbol" w:hAnsi="Symbol"/>
      </w:rPr>
    </w:lvl>
    <w:lvl w:ilvl="7" w:tplc="2F1EE3B8">
      <w:start w:val="1"/>
      <w:numFmt w:val="bullet"/>
      <w:lvlText w:val=""/>
      <w:lvlJc w:val="left"/>
      <w:pPr>
        <w:ind w:left="2040" w:hanging="360"/>
      </w:pPr>
      <w:rPr>
        <w:rFonts w:ascii="Symbol" w:hAnsi="Symbol"/>
      </w:rPr>
    </w:lvl>
    <w:lvl w:ilvl="8" w:tplc="B55AF1A0">
      <w:start w:val="1"/>
      <w:numFmt w:val="bullet"/>
      <w:lvlText w:val=""/>
      <w:lvlJc w:val="left"/>
      <w:pPr>
        <w:ind w:left="2040" w:hanging="360"/>
      </w:pPr>
      <w:rPr>
        <w:rFonts w:ascii="Symbol" w:hAnsi="Symbol"/>
      </w:rPr>
    </w:lvl>
  </w:abstractNum>
  <w:abstractNum w:abstractNumId="97" w15:restartNumberingAfterBreak="0">
    <w:nsid w:val="29E0345C"/>
    <w:multiLevelType w:val="hybridMultilevel"/>
    <w:tmpl w:val="F5382412"/>
    <w:lvl w:ilvl="0" w:tplc="4A7832DC">
      <w:start w:val="1"/>
      <w:numFmt w:val="bullet"/>
      <w:lvlText w:val=""/>
      <w:lvlJc w:val="left"/>
      <w:pPr>
        <w:ind w:left="720" w:hanging="360"/>
      </w:pPr>
      <w:rPr>
        <w:rFonts w:ascii="Symbol" w:hAnsi="Symbol"/>
      </w:rPr>
    </w:lvl>
    <w:lvl w:ilvl="1" w:tplc="951E2BC8">
      <w:start w:val="1"/>
      <w:numFmt w:val="bullet"/>
      <w:lvlText w:val=""/>
      <w:lvlJc w:val="left"/>
      <w:pPr>
        <w:ind w:left="720" w:hanging="360"/>
      </w:pPr>
      <w:rPr>
        <w:rFonts w:ascii="Symbol" w:hAnsi="Symbol"/>
      </w:rPr>
    </w:lvl>
    <w:lvl w:ilvl="2" w:tplc="EC6C7736">
      <w:start w:val="1"/>
      <w:numFmt w:val="bullet"/>
      <w:lvlText w:val=""/>
      <w:lvlJc w:val="left"/>
      <w:pPr>
        <w:ind w:left="720" w:hanging="360"/>
      </w:pPr>
      <w:rPr>
        <w:rFonts w:ascii="Symbol" w:hAnsi="Symbol"/>
      </w:rPr>
    </w:lvl>
    <w:lvl w:ilvl="3" w:tplc="CDB65896">
      <w:start w:val="1"/>
      <w:numFmt w:val="bullet"/>
      <w:lvlText w:val=""/>
      <w:lvlJc w:val="left"/>
      <w:pPr>
        <w:ind w:left="720" w:hanging="360"/>
      </w:pPr>
      <w:rPr>
        <w:rFonts w:ascii="Symbol" w:hAnsi="Symbol"/>
      </w:rPr>
    </w:lvl>
    <w:lvl w:ilvl="4" w:tplc="D79AEAFA">
      <w:start w:val="1"/>
      <w:numFmt w:val="bullet"/>
      <w:lvlText w:val=""/>
      <w:lvlJc w:val="left"/>
      <w:pPr>
        <w:ind w:left="720" w:hanging="360"/>
      </w:pPr>
      <w:rPr>
        <w:rFonts w:ascii="Symbol" w:hAnsi="Symbol"/>
      </w:rPr>
    </w:lvl>
    <w:lvl w:ilvl="5" w:tplc="24C4FD9E">
      <w:start w:val="1"/>
      <w:numFmt w:val="bullet"/>
      <w:lvlText w:val=""/>
      <w:lvlJc w:val="left"/>
      <w:pPr>
        <w:ind w:left="720" w:hanging="360"/>
      </w:pPr>
      <w:rPr>
        <w:rFonts w:ascii="Symbol" w:hAnsi="Symbol"/>
      </w:rPr>
    </w:lvl>
    <w:lvl w:ilvl="6" w:tplc="56D23DB0">
      <w:start w:val="1"/>
      <w:numFmt w:val="bullet"/>
      <w:lvlText w:val=""/>
      <w:lvlJc w:val="left"/>
      <w:pPr>
        <w:ind w:left="720" w:hanging="360"/>
      </w:pPr>
      <w:rPr>
        <w:rFonts w:ascii="Symbol" w:hAnsi="Symbol"/>
      </w:rPr>
    </w:lvl>
    <w:lvl w:ilvl="7" w:tplc="18389770">
      <w:start w:val="1"/>
      <w:numFmt w:val="bullet"/>
      <w:lvlText w:val=""/>
      <w:lvlJc w:val="left"/>
      <w:pPr>
        <w:ind w:left="720" w:hanging="360"/>
      </w:pPr>
      <w:rPr>
        <w:rFonts w:ascii="Symbol" w:hAnsi="Symbol"/>
      </w:rPr>
    </w:lvl>
    <w:lvl w:ilvl="8" w:tplc="48F8B600">
      <w:start w:val="1"/>
      <w:numFmt w:val="bullet"/>
      <w:lvlText w:val=""/>
      <w:lvlJc w:val="left"/>
      <w:pPr>
        <w:ind w:left="720" w:hanging="360"/>
      </w:pPr>
      <w:rPr>
        <w:rFonts w:ascii="Symbol" w:hAnsi="Symbol"/>
      </w:rPr>
    </w:lvl>
  </w:abstractNum>
  <w:abstractNum w:abstractNumId="98" w15:restartNumberingAfterBreak="0">
    <w:nsid w:val="2A066CC2"/>
    <w:multiLevelType w:val="hybridMultilevel"/>
    <w:tmpl w:val="52528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AB34090"/>
    <w:multiLevelType w:val="hybridMultilevel"/>
    <w:tmpl w:val="26AE3774"/>
    <w:lvl w:ilvl="0" w:tplc="CAB2B780">
      <w:start w:val="1"/>
      <w:numFmt w:val="bullet"/>
      <w:lvlText w:val=""/>
      <w:lvlJc w:val="left"/>
      <w:pPr>
        <w:ind w:left="351" w:hanging="252"/>
      </w:pPr>
      <w:rPr>
        <w:rFonts w:ascii="Wingdings" w:eastAsia="Wingdings" w:hAnsi="Wingdings" w:hint="default"/>
        <w:sz w:val="22"/>
        <w:szCs w:val="22"/>
      </w:rPr>
    </w:lvl>
    <w:lvl w:ilvl="1" w:tplc="25F46C86">
      <w:start w:val="1"/>
      <w:numFmt w:val="bullet"/>
      <w:lvlText w:val="•"/>
      <w:lvlJc w:val="left"/>
      <w:pPr>
        <w:ind w:left="485" w:hanging="252"/>
      </w:pPr>
      <w:rPr>
        <w:rFonts w:hint="default"/>
      </w:rPr>
    </w:lvl>
    <w:lvl w:ilvl="2" w:tplc="B3DC8D32">
      <w:start w:val="1"/>
      <w:numFmt w:val="bullet"/>
      <w:lvlText w:val="•"/>
      <w:lvlJc w:val="left"/>
      <w:pPr>
        <w:ind w:left="618" w:hanging="252"/>
      </w:pPr>
      <w:rPr>
        <w:rFonts w:hint="default"/>
      </w:rPr>
    </w:lvl>
    <w:lvl w:ilvl="3" w:tplc="44700E5E">
      <w:start w:val="1"/>
      <w:numFmt w:val="bullet"/>
      <w:lvlText w:val="•"/>
      <w:lvlJc w:val="left"/>
      <w:pPr>
        <w:ind w:left="752" w:hanging="252"/>
      </w:pPr>
      <w:rPr>
        <w:rFonts w:hint="default"/>
      </w:rPr>
    </w:lvl>
    <w:lvl w:ilvl="4" w:tplc="6D86397A">
      <w:start w:val="1"/>
      <w:numFmt w:val="bullet"/>
      <w:lvlText w:val="•"/>
      <w:lvlJc w:val="left"/>
      <w:pPr>
        <w:ind w:left="885" w:hanging="252"/>
      </w:pPr>
      <w:rPr>
        <w:rFonts w:hint="default"/>
      </w:rPr>
    </w:lvl>
    <w:lvl w:ilvl="5" w:tplc="85CC617C">
      <w:start w:val="1"/>
      <w:numFmt w:val="bullet"/>
      <w:lvlText w:val="•"/>
      <w:lvlJc w:val="left"/>
      <w:pPr>
        <w:ind w:left="1019" w:hanging="252"/>
      </w:pPr>
      <w:rPr>
        <w:rFonts w:hint="default"/>
      </w:rPr>
    </w:lvl>
    <w:lvl w:ilvl="6" w:tplc="48C624FC">
      <w:start w:val="1"/>
      <w:numFmt w:val="bullet"/>
      <w:lvlText w:val="•"/>
      <w:lvlJc w:val="left"/>
      <w:pPr>
        <w:ind w:left="1153" w:hanging="252"/>
      </w:pPr>
      <w:rPr>
        <w:rFonts w:hint="default"/>
      </w:rPr>
    </w:lvl>
    <w:lvl w:ilvl="7" w:tplc="5FFA8C20">
      <w:start w:val="1"/>
      <w:numFmt w:val="bullet"/>
      <w:lvlText w:val="•"/>
      <w:lvlJc w:val="left"/>
      <w:pPr>
        <w:ind w:left="1286" w:hanging="252"/>
      </w:pPr>
      <w:rPr>
        <w:rFonts w:hint="default"/>
      </w:rPr>
    </w:lvl>
    <w:lvl w:ilvl="8" w:tplc="3D9E637E">
      <w:start w:val="1"/>
      <w:numFmt w:val="bullet"/>
      <w:lvlText w:val="•"/>
      <w:lvlJc w:val="left"/>
      <w:pPr>
        <w:ind w:left="1420" w:hanging="252"/>
      </w:pPr>
      <w:rPr>
        <w:rFonts w:hint="default"/>
      </w:rPr>
    </w:lvl>
  </w:abstractNum>
  <w:abstractNum w:abstractNumId="100" w15:restartNumberingAfterBreak="0">
    <w:nsid w:val="2B800C3F"/>
    <w:multiLevelType w:val="hybridMultilevel"/>
    <w:tmpl w:val="E7EE42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2BBF7B6D"/>
    <w:multiLevelType w:val="hybridMultilevel"/>
    <w:tmpl w:val="7D00E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C600A19"/>
    <w:multiLevelType w:val="hybridMultilevel"/>
    <w:tmpl w:val="2BF00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2C6E24A8"/>
    <w:multiLevelType w:val="hybridMultilevel"/>
    <w:tmpl w:val="FBE8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2C6E3362"/>
    <w:multiLevelType w:val="hybridMultilevel"/>
    <w:tmpl w:val="9C40A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2CBB4B3D"/>
    <w:multiLevelType w:val="hybridMultilevel"/>
    <w:tmpl w:val="3B00F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2EBA4484"/>
    <w:multiLevelType w:val="hybridMultilevel"/>
    <w:tmpl w:val="64266DD4"/>
    <w:lvl w:ilvl="0" w:tplc="CB2294DC">
      <w:start w:val="1"/>
      <w:numFmt w:val="bullet"/>
      <w:lvlText w:val=""/>
      <w:lvlJc w:val="left"/>
      <w:pPr>
        <w:ind w:left="720" w:hanging="360"/>
      </w:pPr>
      <w:rPr>
        <w:rFonts w:ascii="Symbol" w:hAnsi="Symbol"/>
      </w:rPr>
    </w:lvl>
    <w:lvl w:ilvl="1" w:tplc="50984982">
      <w:start w:val="1"/>
      <w:numFmt w:val="bullet"/>
      <w:lvlText w:val=""/>
      <w:lvlJc w:val="left"/>
      <w:pPr>
        <w:ind w:left="720" w:hanging="360"/>
      </w:pPr>
      <w:rPr>
        <w:rFonts w:ascii="Symbol" w:hAnsi="Symbol"/>
      </w:rPr>
    </w:lvl>
    <w:lvl w:ilvl="2" w:tplc="8004939E">
      <w:start w:val="1"/>
      <w:numFmt w:val="bullet"/>
      <w:lvlText w:val=""/>
      <w:lvlJc w:val="left"/>
      <w:pPr>
        <w:ind w:left="720" w:hanging="360"/>
      </w:pPr>
      <w:rPr>
        <w:rFonts w:ascii="Symbol" w:hAnsi="Symbol"/>
      </w:rPr>
    </w:lvl>
    <w:lvl w:ilvl="3" w:tplc="A054645C">
      <w:start w:val="1"/>
      <w:numFmt w:val="bullet"/>
      <w:lvlText w:val=""/>
      <w:lvlJc w:val="left"/>
      <w:pPr>
        <w:ind w:left="720" w:hanging="360"/>
      </w:pPr>
      <w:rPr>
        <w:rFonts w:ascii="Symbol" w:hAnsi="Symbol"/>
      </w:rPr>
    </w:lvl>
    <w:lvl w:ilvl="4" w:tplc="7A9E7AC8">
      <w:start w:val="1"/>
      <w:numFmt w:val="bullet"/>
      <w:lvlText w:val=""/>
      <w:lvlJc w:val="left"/>
      <w:pPr>
        <w:ind w:left="720" w:hanging="360"/>
      </w:pPr>
      <w:rPr>
        <w:rFonts w:ascii="Symbol" w:hAnsi="Symbol"/>
      </w:rPr>
    </w:lvl>
    <w:lvl w:ilvl="5" w:tplc="E4622C68">
      <w:start w:val="1"/>
      <w:numFmt w:val="bullet"/>
      <w:lvlText w:val=""/>
      <w:lvlJc w:val="left"/>
      <w:pPr>
        <w:ind w:left="720" w:hanging="360"/>
      </w:pPr>
      <w:rPr>
        <w:rFonts w:ascii="Symbol" w:hAnsi="Symbol"/>
      </w:rPr>
    </w:lvl>
    <w:lvl w:ilvl="6" w:tplc="15C47382">
      <w:start w:val="1"/>
      <w:numFmt w:val="bullet"/>
      <w:lvlText w:val=""/>
      <w:lvlJc w:val="left"/>
      <w:pPr>
        <w:ind w:left="720" w:hanging="360"/>
      </w:pPr>
      <w:rPr>
        <w:rFonts w:ascii="Symbol" w:hAnsi="Symbol"/>
      </w:rPr>
    </w:lvl>
    <w:lvl w:ilvl="7" w:tplc="DB30485C">
      <w:start w:val="1"/>
      <w:numFmt w:val="bullet"/>
      <w:lvlText w:val=""/>
      <w:lvlJc w:val="left"/>
      <w:pPr>
        <w:ind w:left="720" w:hanging="360"/>
      </w:pPr>
      <w:rPr>
        <w:rFonts w:ascii="Symbol" w:hAnsi="Symbol"/>
      </w:rPr>
    </w:lvl>
    <w:lvl w:ilvl="8" w:tplc="89865774">
      <w:start w:val="1"/>
      <w:numFmt w:val="bullet"/>
      <w:lvlText w:val=""/>
      <w:lvlJc w:val="left"/>
      <w:pPr>
        <w:ind w:left="720" w:hanging="360"/>
      </w:pPr>
      <w:rPr>
        <w:rFonts w:ascii="Symbol" w:hAnsi="Symbol"/>
      </w:rPr>
    </w:lvl>
  </w:abstractNum>
  <w:abstractNum w:abstractNumId="107" w15:restartNumberingAfterBreak="0">
    <w:nsid w:val="2EE65DA9"/>
    <w:multiLevelType w:val="hybridMultilevel"/>
    <w:tmpl w:val="D8722C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2F4F2665"/>
    <w:multiLevelType w:val="hybridMultilevel"/>
    <w:tmpl w:val="41109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2F522396"/>
    <w:multiLevelType w:val="hybridMultilevel"/>
    <w:tmpl w:val="E502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2F587712"/>
    <w:multiLevelType w:val="hybridMultilevel"/>
    <w:tmpl w:val="5BF2D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2F87027E"/>
    <w:multiLevelType w:val="multilevel"/>
    <w:tmpl w:val="F7AC0A6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30020071"/>
    <w:multiLevelType w:val="hybridMultilevel"/>
    <w:tmpl w:val="552AB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00A1B83"/>
    <w:multiLevelType w:val="multilevel"/>
    <w:tmpl w:val="B336CA7A"/>
    <w:lvl w:ilvl="0">
      <w:start w:val="5"/>
      <w:numFmt w:val="decimal"/>
      <w:lvlText w:val="%1"/>
      <w:lvlJc w:val="left"/>
      <w:pPr>
        <w:ind w:left="480" w:hanging="480"/>
      </w:pPr>
      <w:rPr>
        <w:rFonts w:eastAsia="Calibri" w:hint="default"/>
        <w:i w:val="0"/>
      </w:rPr>
    </w:lvl>
    <w:lvl w:ilvl="1">
      <w:start w:val="6"/>
      <w:numFmt w:val="decimal"/>
      <w:lvlText w:val="%1.%2"/>
      <w:lvlJc w:val="left"/>
      <w:pPr>
        <w:ind w:left="480" w:hanging="480"/>
      </w:pPr>
      <w:rPr>
        <w:rFonts w:eastAsia="Calibri" w:hint="default"/>
        <w:i w:val="0"/>
      </w:rPr>
    </w:lvl>
    <w:lvl w:ilvl="2">
      <w:start w:val="1"/>
      <w:numFmt w:val="decimal"/>
      <w:lvlText w:val="%1.%2.%3"/>
      <w:lvlJc w:val="left"/>
      <w:pPr>
        <w:ind w:left="720" w:hanging="720"/>
      </w:pPr>
      <w:rPr>
        <w:rFonts w:eastAsia="Calibri" w:hint="default"/>
        <w:i w:val="0"/>
      </w:rPr>
    </w:lvl>
    <w:lvl w:ilvl="3">
      <w:start w:val="1"/>
      <w:numFmt w:val="decimal"/>
      <w:lvlText w:val="%1.%2.%3.%4"/>
      <w:lvlJc w:val="left"/>
      <w:pPr>
        <w:ind w:left="720" w:hanging="720"/>
      </w:pPr>
      <w:rPr>
        <w:rFonts w:eastAsia="Calibri" w:hint="default"/>
        <w:i w:val="0"/>
      </w:rPr>
    </w:lvl>
    <w:lvl w:ilvl="4">
      <w:start w:val="1"/>
      <w:numFmt w:val="decimal"/>
      <w:lvlText w:val="%1.%2.%3.%4.%5"/>
      <w:lvlJc w:val="left"/>
      <w:pPr>
        <w:ind w:left="1080" w:hanging="1080"/>
      </w:pPr>
      <w:rPr>
        <w:rFonts w:eastAsia="Calibri" w:hint="default"/>
        <w:i w:val="0"/>
      </w:rPr>
    </w:lvl>
    <w:lvl w:ilvl="5">
      <w:start w:val="1"/>
      <w:numFmt w:val="decimal"/>
      <w:lvlText w:val="%1.%2.%3.%4.%5.%6"/>
      <w:lvlJc w:val="left"/>
      <w:pPr>
        <w:ind w:left="1080" w:hanging="1080"/>
      </w:pPr>
      <w:rPr>
        <w:rFonts w:eastAsia="Calibri" w:hint="default"/>
        <w:i w:val="0"/>
      </w:rPr>
    </w:lvl>
    <w:lvl w:ilvl="6">
      <w:start w:val="1"/>
      <w:numFmt w:val="decimal"/>
      <w:lvlText w:val="%1.%2.%3.%4.%5.%6.%7"/>
      <w:lvlJc w:val="left"/>
      <w:pPr>
        <w:ind w:left="1440" w:hanging="1440"/>
      </w:pPr>
      <w:rPr>
        <w:rFonts w:eastAsia="Calibri" w:hint="default"/>
        <w:i w:val="0"/>
      </w:rPr>
    </w:lvl>
    <w:lvl w:ilvl="7">
      <w:start w:val="1"/>
      <w:numFmt w:val="decimal"/>
      <w:lvlText w:val="%1.%2.%3.%4.%5.%6.%7.%8"/>
      <w:lvlJc w:val="left"/>
      <w:pPr>
        <w:ind w:left="1440" w:hanging="1440"/>
      </w:pPr>
      <w:rPr>
        <w:rFonts w:eastAsia="Calibri" w:hint="default"/>
        <w:i w:val="0"/>
      </w:rPr>
    </w:lvl>
    <w:lvl w:ilvl="8">
      <w:start w:val="1"/>
      <w:numFmt w:val="decimal"/>
      <w:lvlText w:val="%1.%2.%3.%4.%5.%6.%7.%8.%9"/>
      <w:lvlJc w:val="left"/>
      <w:pPr>
        <w:ind w:left="1800" w:hanging="1800"/>
      </w:pPr>
      <w:rPr>
        <w:rFonts w:eastAsia="Calibri" w:hint="default"/>
        <w:i w:val="0"/>
      </w:rPr>
    </w:lvl>
  </w:abstractNum>
  <w:abstractNum w:abstractNumId="114" w15:restartNumberingAfterBreak="0">
    <w:nsid w:val="30573645"/>
    <w:multiLevelType w:val="hybridMultilevel"/>
    <w:tmpl w:val="3A505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0A44439"/>
    <w:multiLevelType w:val="hybridMultilevel"/>
    <w:tmpl w:val="0D001EB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30C47B3C"/>
    <w:multiLevelType w:val="hybridMultilevel"/>
    <w:tmpl w:val="DABCFFA6"/>
    <w:lvl w:ilvl="0" w:tplc="2DAA31D6">
      <w:start w:val="1"/>
      <w:numFmt w:val="bullet"/>
      <w:lvlText w:val=""/>
      <w:lvlJc w:val="left"/>
      <w:pPr>
        <w:ind w:left="1320" w:hanging="360"/>
      </w:pPr>
      <w:rPr>
        <w:rFonts w:ascii="Symbol" w:hAnsi="Symbol"/>
      </w:rPr>
    </w:lvl>
    <w:lvl w:ilvl="1" w:tplc="4718CAAE">
      <w:start w:val="1"/>
      <w:numFmt w:val="bullet"/>
      <w:lvlText w:val=""/>
      <w:lvlJc w:val="left"/>
      <w:pPr>
        <w:ind w:left="1320" w:hanging="360"/>
      </w:pPr>
      <w:rPr>
        <w:rFonts w:ascii="Symbol" w:hAnsi="Symbol"/>
      </w:rPr>
    </w:lvl>
    <w:lvl w:ilvl="2" w:tplc="2136647E">
      <w:start w:val="1"/>
      <w:numFmt w:val="bullet"/>
      <w:lvlText w:val=""/>
      <w:lvlJc w:val="left"/>
      <w:pPr>
        <w:ind w:left="1320" w:hanging="360"/>
      </w:pPr>
      <w:rPr>
        <w:rFonts w:ascii="Symbol" w:hAnsi="Symbol"/>
      </w:rPr>
    </w:lvl>
    <w:lvl w:ilvl="3" w:tplc="8B887D78">
      <w:start w:val="1"/>
      <w:numFmt w:val="bullet"/>
      <w:lvlText w:val=""/>
      <w:lvlJc w:val="left"/>
      <w:pPr>
        <w:ind w:left="1320" w:hanging="360"/>
      </w:pPr>
      <w:rPr>
        <w:rFonts w:ascii="Symbol" w:hAnsi="Symbol"/>
      </w:rPr>
    </w:lvl>
    <w:lvl w:ilvl="4" w:tplc="CF84B9C8">
      <w:start w:val="1"/>
      <w:numFmt w:val="bullet"/>
      <w:lvlText w:val=""/>
      <w:lvlJc w:val="left"/>
      <w:pPr>
        <w:ind w:left="1320" w:hanging="360"/>
      </w:pPr>
      <w:rPr>
        <w:rFonts w:ascii="Symbol" w:hAnsi="Symbol"/>
      </w:rPr>
    </w:lvl>
    <w:lvl w:ilvl="5" w:tplc="AD3A2522">
      <w:start w:val="1"/>
      <w:numFmt w:val="bullet"/>
      <w:lvlText w:val=""/>
      <w:lvlJc w:val="left"/>
      <w:pPr>
        <w:ind w:left="1320" w:hanging="360"/>
      </w:pPr>
      <w:rPr>
        <w:rFonts w:ascii="Symbol" w:hAnsi="Symbol"/>
      </w:rPr>
    </w:lvl>
    <w:lvl w:ilvl="6" w:tplc="F5AA05B2">
      <w:start w:val="1"/>
      <w:numFmt w:val="bullet"/>
      <w:lvlText w:val=""/>
      <w:lvlJc w:val="left"/>
      <w:pPr>
        <w:ind w:left="1320" w:hanging="360"/>
      </w:pPr>
      <w:rPr>
        <w:rFonts w:ascii="Symbol" w:hAnsi="Symbol"/>
      </w:rPr>
    </w:lvl>
    <w:lvl w:ilvl="7" w:tplc="D24AD7AC">
      <w:start w:val="1"/>
      <w:numFmt w:val="bullet"/>
      <w:lvlText w:val=""/>
      <w:lvlJc w:val="left"/>
      <w:pPr>
        <w:ind w:left="1320" w:hanging="360"/>
      </w:pPr>
      <w:rPr>
        <w:rFonts w:ascii="Symbol" w:hAnsi="Symbol"/>
      </w:rPr>
    </w:lvl>
    <w:lvl w:ilvl="8" w:tplc="998885BE">
      <w:start w:val="1"/>
      <w:numFmt w:val="bullet"/>
      <w:lvlText w:val=""/>
      <w:lvlJc w:val="left"/>
      <w:pPr>
        <w:ind w:left="1320" w:hanging="360"/>
      </w:pPr>
      <w:rPr>
        <w:rFonts w:ascii="Symbol" w:hAnsi="Symbol"/>
      </w:rPr>
    </w:lvl>
  </w:abstractNum>
  <w:abstractNum w:abstractNumId="117" w15:restartNumberingAfterBreak="0">
    <w:nsid w:val="30C647FE"/>
    <w:multiLevelType w:val="hybridMultilevel"/>
    <w:tmpl w:val="4C525604"/>
    <w:lvl w:ilvl="0" w:tplc="3A760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31747B83"/>
    <w:multiLevelType w:val="hybridMultilevel"/>
    <w:tmpl w:val="26ECA736"/>
    <w:lvl w:ilvl="0" w:tplc="0C4AC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19427E0"/>
    <w:multiLevelType w:val="hybridMultilevel"/>
    <w:tmpl w:val="F7006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28B43BA"/>
    <w:multiLevelType w:val="hybridMultilevel"/>
    <w:tmpl w:val="FCF8760C"/>
    <w:lvl w:ilvl="0" w:tplc="04090003">
      <w:start w:val="1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21" w15:restartNumberingAfterBreak="0">
    <w:nsid w:val="329C4319"/>
    <w:multiLevelType w:val="hybridMultilevel"/>
    <w:tmpl w:val="CC9C37E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2" w15:restartNumberingAfterBreak="0">
    <w:nsid w:val="337E30C5"/>
    <w:multiLevelType w:val="hybridMultilevel"/>
    <w:tmpl w:val="5274B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33841476"/>
    <w:multiLevelType w:val="hybridMultilevel"/>
    <w:tmpl w:val="D5EAED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15:restartNumberingAfterBreak="0">
    <w:nsid w:val="33AC7DC6"/>
    <w:multiLevelType w:val="hybridMultilevel"/>
    <w:tmpl w:val="BC9ADC6A"/>
    <w:lvl w:ilvl="0" w:tplc="FFFFFFFF">
      <w:start w:val="1"/>
      <w:numFmt w:val="decimal"/>
      <w:lvlText w:val=""/>
      <w:lvlJc w:val="left"/>
    </w:lvl>
    <w:lvl w:ilvl="1" w:tplc="FFFFFFFF">
      <w:numFmt w:val="decimal"/>
      <w:lvlText w:val=""/>
      <w:lvlJc w:val="left"/>
    </w:lvl>
    <w:lvl w:ilvl="2" w:tplc="04090001">
      <w:start w:val="1"/>
      <w:numFmt w:val="bullet"/>
      <w:lvlText w:val=""/>
      <w:lvlJc w:val="left"/>
      <w:pPr>
        <w:tabs>
          <w:tab w:val="num" w:pos="2160"/>
        </w:tabs>
        <w:ind w:left="21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5" w15:restartNumberingAfterBreak="0">
    <w:nsid w:val="343A4E51"/>
    <w:multiLevelType w:val="hybridMultilevel"/>
    <w:tmpl w:val="92FC6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4835619"/>
    <w:multiLevelType w:val="hybridMultilevel"/>
    <w:tmpl w:val="8FC4D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34E1506A"/>
    <w:multiLevelType w:val="hybridMultilevel"/>
    <w:tmpl w:val="D11006D8"/>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8" w15:restartNumberingAfterBreak="0">
    <w:nsid w:val="34E15ABE"/>
    <w:multiLevelType w:val="hybridMultilevel"/>
    <w:tmpl w:val="DC286D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34F9788F"/>
    <w:multiLevelType w:val="hybridMultilevel"/>
    <w:tmpl w:val="D3086F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35303A04"/>
    <w:multiLevelType w:val="hybridMultilevel"/>
    <w:tmpl w:val="B31246C8"/>
    <w:lvl w:ilvl="0" w:tplc="FAFC3E0E">
      <w:start w:val="1"/>
      <w:numFmt w:val="bullet"/>
      <w:lvlText w:val=""/>
      <w:lvlJc w:val="left"/>
      <w:pPr>
        <w:tabs>
          <w:tab w:val="num" w:pos="720"/>
        </w:tabs>
        <w:ind w:left="720" w:hanging="360"/>
      </w:pPr>
      <w:rPr>
        <w:rFonts w:ascii="Wingdings 2" w:hAnsi="Wingdings 2" w:hint="default"/>
      </w:rPr>
    </w:lvl>
    <w:lvl w:ilvl="1" w:tplc="30128626" w:tentative="1">
      <w:start w:val="1"/>
      <w:numFmt w:val="bullet"/>
      <w:lvlText w:val=""/>
      <w:lvlJc w:val="left"/>
      <w:pPr>
        <w:tabs>
          <w:tab w:val="num" w:pos="1440"/>
        </w:tabs>
        <w:ind w:left="1440" w:hanging="360"/>
      </w:pPr>
      <w:rPr>
        <w:rFonts w:ascii="Wingdings 2" w:hAnsi="Wingdings 2" w:hint="default"/>
      </w:rPr>
    </w:lvl>
    <w:lvl w:ilvl="2" w:tplc="E92E2E6C" w:tentative="1">
      <w:start w:val="1"/>
      <w:numFmt w:val="bullet"/>
      <w:lvlText w:val=""/>
      <w:lvlJc w:val="left"/>
      <w:pPr>
        <w:tabs>
          <w:tab w:val="num" w:pos="2160"/>
        </w:tabs>
        <w:ind w:left="2160" w:hanging="360"/>
      </w:pPr>
      <w:rPr>
        <w:rFonts w:ascii="Wingdings 2" w:hAnsi="Wingdings 2" w:hint="default"/>
      </w:rPr>
    </w:lvl>
    <w:lvl w:ilvl="3" w:tplc="40F8C684" w:tentative="1">
      <w:start w:val="1"/>
      <w:numFmt w:val="bullet"/>
      <w:lvlText w:val=""/>
      <w:lvlJc w:val="left"/>
      <w:pPr>
        <w:tabs>
          <w:tab w:val="num" w:pos="2880"/>
        </w:tabs>
        <w:ind w:left="2880" w:hanging="360"/>
      </w:pPr>
      <w:rPr>
        <w:rFonts w:ascii="Wingdings 2" w:hAnsi="Wingdings 2" w:hint="default"/>
      </w:rPr>
    </w:lvl>
    <w:lvl w:ilvl="4" w:tplc="42D8CA48" w:tentative="1">
      <w:start w:val="1"/>
      <w:numFmt w:val="bullet"/>
      <w:lvlText w:val=""/>
      <w:lvlJc w:val="left"/>
      <w:pPr>
        <w:tabs>
          <w:tab w:val="num" w:pos="3600"/>
        </w:tabs>
        <w:ind w:left="3600" w:hanging="360"/>
      </w:pPr>
      <w:rPr>
        <w:rFonts w:ascii="Wingdings 2" w:hAnsi="Wingdings 2" w:hint="default"/>
      </w:rPr>
    </w:lvl>
    <w:lvl w:ilvl="5" w:tplc="D08AD230" w:tentative="1">
      <w:start w:val="1"/>
      <w:numFmt w:val="bullet"/>
      <w:lvlText w:val=""/>
      <w:lvlJc w:val="left"/>
      <w:pPr>
        <w:tabs>
          <w:tab w:val="num" w:pos="4320"/>
        </w:tabs>
        <w:ind w:left="4320" w:hanging="360"/>
      </w:pPr>
      <w:rPr>
        <w:rFonts w:ascii="Wingdings 2" w:hAnsi="Wingdings 2" w:hint="default"/>
      </w:rPr>
    </w:lvl>
    <w:lvl w:ilvl="6" w:tplc="190EB7C4" w:tentative="1">
      <w:start w:val="1"/>
      <w:numFmt w:val="bullet"/>
      <w:lvlText w:val=""/>
      <w:lvlJc w:val="left"/>
      <w:pPr>
        <w:tabs>
          <w:tab w:val="num" w:pos="5040"/>
        </w:tabs>
        <w:ind w:left="5040" w:hanging="360"/>
      </w:pPr>
      <w:rPr>
        <w:rFonts w:ascii="Wingdings 2" w:hAnsi="Wingdings 2" w:hint="default"/>
      </w:rPr>
    </w:lvl>
    <w:lvl w:ilvl="7" w:tplc="60749D98" w:tentative="1">
      <w:start w:val="1"/>
      <w:numFmt w:val="bullet"/>
      <w:lvlText w:val=""/>
      <w:lvlJc w:val="left"/>
      <w:pPr>
        <w:tabs>
          <w:tab w:val="num" w:pos="5760"/>
        </w:tabs>
        <w:ind w:left="5760" w:hanging="360"/>
      </w:pPr>
      <w:rPr>
        <w:rFonts w:ascii="Wingdings 2" w:hAnsi="Wingdings 2" w:hint="default"/>
      </w:rPr>
    </w:lvl>
    <w:lvl w:ilvl="8" w:tplc="69066A3C" w:tentative="1">
      <w:start w:val="1"/>
      <w:numFmt w:val="bullet"/>
      <w:lvlText w:val=""/>
      <w:lvlJc w:val="left"/>
      <w:pPr>
        <w:tabs>
          <w:tab w:val="num" w:pos="6480"/>
        </w:tabs>
        <w:ind w:left="6480" w:hanging="360"/>
      </w:pPr>
      <w:rPr>
        <w:rFonts w:ascii="Wingdings 2" w:hAnsi="Wingdings 2" w:hint="default"/>
      </w:rPr>
    </w:lvl>
  </w:abstractNum>
  <w:abstractNum w:abstractNumId="131" w15:restartNumberingAfterBreak="0">
    <w:nsid w:val="35A06C06"/>
    <w:multiLevelType w:val="hybridMultilevel"/>
    <w:tmpl w:val="C31E07A2"/>
    <w:lvl w:ilvl="0" w:tplc="1A5A77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35A53B87"/>
    <w:multiLevelType w:val="multilevel"/>
    <w:tmpl w:val="5C8016B8"/>
    <w:numStyleLink w:val="Style1"/>
  </w:abstractNum>
  <w:abstractNum w:abstractNumId="133" w15:restartNumberingAfterBreak="0">
    <w:nsid w:val="35BA6F1A"/>
    <w:multiLevelType w:val="multilevel"/>
    <w:tmpl w:val="D1F40506"/>
    <w:styleLink w:val="Style2"/>
    <w:lvl w:ilvl="0">
      <w:start w:val="2"/>
      <w:numFmt w:val="decimal"/>
      <w:lvlText w:val="%1."/>
      <w:lvlJc w:val="left"/>
      <w:pPr>
        <w:ind w:left="360" w:hanging="360"/>
      </w:pPr>
      <w:rPr>
        <w:rFonts w:hint="default"/>
      </w:rPr>
    </w:lvl>
    <w:lvl w:ilvl="1">
      <w:start w:val="1"/>
      <w:numFmt w:val="decimal"/>
      <w:lvlText w:val="%1.%2."/>
      <w:lvlJc w:val="left"/>
      <w:pPr>
        <w:tabs>
          <w:tab w:val="num" w:pos="720"/>
        </w:tabs>
        <w:ind w:left="720" w:hanging="360"/>
      </w:pPr>
      <w:rPr>
        <w:rFonts w:ascii="Times New Roman" w:hAnsi="Times New Roman"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367D0FCF"/>
    <w:multiLevelType w:val="hybridMultilevel"/>
    <w:tmpl w:val="A648BC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37381CA4"/>
    <w:multiLevelType w:val="hybridMultilevel"/>
    <w:tmpl w:val="C18A428C"/>
    <w:lvl w:ilvl="0" w:tplc="04090019">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36" w15:restartNumberingAfterBreak="0">
    <w:nsid w:val="38ED208D"/>
    <w:multiLevelType w:val="hybridMultilevel"/>
    <w:tmpl w:val="2E6A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39647B5D"/>
    <w:multiLevelType w:val="multilevel"/>
    <w:tmpl w:val="D918FEB0"/>
    <w:lvl w:ilvl="0">
      <w:start w:val="7"/>
      <w:numFmt w:val="decimal"/>
      <w:lvlText w:val="%1"/>
      <w:lvlJc w:val="left"/>
      <w:pPr>
        <w:ind w:left="1200" w:hanging="720"/>
      </w:pPr>
      <w:rPr>
        <w:rFonts w:hint="default"/>
        <w:lang w:val="en-US" w:eastAsia="en-US" w:bidi="ar-SA"/>
      </w:rPr>
    </w:lvl>
    <w:lvl w:ilvl="1">
      <w:numFmt w:val="decimal"/>
      <w:lvlText w:val="%1.%2"/>
      <w:lvlJc w:val="left"/>
      <w:pPr>
        <w:ind w:left="1200" w:hanging="720"/>
        <w:jc w:val="right"/>
      </w:pPr>
      <w:rPr>
        <w:rFonts w:hint="default"/>
        <w:w w:val="100"/>
        <w:lang w:val="en-US" w:eastAsia="en-US" w:bidi="ar-SA"/>
      </w:rPr>
    </w:lvl>
    <w:lvl w:ilvl="2">
      <w:start w:val="1"/>
      <w:numFmt w:val="decimal"/>
      <w:lvlText w:val="%1.%2.%3"/>
      <w:lvlJc w:val="left"/>
      <w:pPr>
        <w:ind w:left="2640" w:hanging="720"/>
      </w:pPr>
      <w:rPr>
        <w:rFonts w:ascii="Times New Roman" w:eastAsia="Times New Roman" w:hAnsi="Times New Roman" w:cs="Times New Roman" w:hint="default"/>
        <w:b w:val="0"/>
        <w:bCs w:val="0"/>
        <w:i w:val="0"/>
        <w:iCs w:val="0"/>
        <w:w w:val="100"/>
        <w:sz w:val="22"/>
        <w:szCs w:val="22"/>
        <w:lang w:val="en-US" w:eastAsia="en-US" w:bidi="ar-SA"/>
      </w:rPr>
    </w:lvl>
    <w:lvl w:ilvl="3">
      <w:start w:val="1"/>
      <w:numFmt w:val="decimal"/>
      <w:lvlText w:val="%1.%2.%3.%4"/>
      <w:lvlJc w:val="left"/>
      <w:pPr>
        <w:ind w:left="3548" w:hanging="908"/>
      </w:pPr>
      <w:rPr>
        <w:rFonts w:ascii="Times New Roman" w:eastAsia="Times New Roman" w:hAnsi="Times New Roman" w:cs="Times New Roman" w:hint="default"/>
        <w:b w:val="0"/>
        <w:bCs w:val="0"/>
        <w:i w:val="0"/>
        <w:iCs w:val="0"/>
        <w:w w:val="100"/>
        <w:sz w:val="22"/>
        <w:szCs w:val="22"/>
        <w:lang w:val="en-US" w:eastAsia="en-US" w:bidi="ar-SA"/>
      </w:rPr>
    </w:lvl>
    <w:lvl w:ilvl="4">
      <w:numFmt w:val="bullet"/>
      <w:lvlText w:val="•"/>
      <w:lvlJc w:val="left"/>
      <w:pPr>
        <w:ind w:left="5320" w:hanging="908"/>
      </w:pPr>
      <w:rPr>
        <w:rFonts w:hint="default"/>
        <w:lang w:val="en-US" w:eastAsia="en-US" w:bidi="ar-SA"/>
      </w:rPr>
    </w:lvl>
    <w:lvl w:ilvl="5">
      <w:numFmt w:val="bullet"/>
      <w:lvlText w:val="•"/>
      <w:lvlJc w:val="left"/>
      <w:pPr>
        <w:ind w:left="6210" w:hanging="908"/>
      </w:pPr>
      <w:rPr>
        <w:rFonts w:hint="default"/>
        <w:lang w:val="en-US" w:eastAsia="en-US" w:bidi="ar-SA"/>
      </w:rPr>
    </w:lvl>
    <w:lvl w:ilvl="6">
      <w:numFmt w:val="bullet"/>
      <w:lvlText w:val="•"/>
      <w:lvlJc w:val="left"/>
      <w:pPr>
        <w:ind w:left="7100" w:hanging="908"/>
      </w:pPr>
      <w:rPr>
        <w:rFonts w:hint="default"/>
        <w:lang w:val="en-US" w:eastAsia="en-US" w:bidi="ar-SA"/>
      </w:rPr>
    </w:lvl>
    <w:lvl w:ilvl="7">
      <w:numFmt w:val="bullet"/>
      <w:lvlText w:val="•"/>
      <w:lvlJc w:val="left"/>
      <w:pPr>
        <w:ind w:left="7990" w:hanging="908"/>
      </w:pPr>
      <w:rPr>
        <w:rFonts w:hint="default"/>
        <w:lang w:val="en-US" w:eastAsia="en-US" w:bidi="ar-SA"/>
      </w:rPr>
    </w:lvl>
    <w:lvl w:ilvl="8">
      <w:numFmt w:val="bullet"/>
      <w:lvlText w:val="•"/>
      <w:lvlJc w:val="left"/>
      <w:pPr>
        <w:ind w:left="8880" w:hanging="908"/>
      </w:pPr>
      <w:rPr>
        <w:rFonts w:hint="default"/>
        <w:lang w:val="en-US" w:eastAsia="en-US" w:bidi="ar-SA"/>
      </w:rPr>
    </w:lvl>
  </w:abstractNum>
  <w:abstractNum w:abstractNumId="138" w15:restartNumberingAfterBreak="0">
    <w:nsid w:val="3A5F7E1C"/>
    <w:multiLevelType w:val="multilevel"/>
    <w:tmpl w:val="E494B0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3B3D4AE6"/>
    <w:multiLevelType w:val="hybridMultilevel"/>
    <w:tmpl w:val="5E1E3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3B7E0A8D"/>
    <w:multiLevelType w:val="hybridMultilevel"/>
    <w:tmpl w:val="04A4426E"/>
    <w:lvl w:ilvl="0" w:tplc="04090001">
      <w:start w:val="1"/>
      <w:numFmt w:val="bullet"/>
      <w:lvlText w:val=""/>
      <w:lvlJc w:val="left"/>
      <w:pPr>
        <w:ind w:left="3600" w:hanging="360"/>
      </w:pPr>
      <w:rPr>
        <w:rFonts w:ascii="Symbol" w:hAnsi="Symbol" w:hint="default"/>
      </w:rPr>
    </w:lvl>
    <w:lvl w:ilvl="1" w:tplc="04090001">
      <w:start w:val="1"/>
      <w:numFmt w:val="bullet"/>
      <w:lvlText w:val=""/>
      <w:lvlJc w:val="left"/>
      <w:pPr>
        <w:ind w:left="4320" w:hanging="360"/>
      </w:pPr>
      <w:rPr>
        <w:rFonts w:ascii="Symbol" w:hAnsi="Symbol" w:hint="default"/>
      </w:rPr>
    </w:lvl>
    <w:lvl w:ilvl="2" w:tplc="F4122126" w:tentative="1">
      <w:start w:val="1"/>
      <w:numFmt w:val="bullet"/>
      <w:lvlText w:val=""/>
      <w:lvlJc w:val="left"/>
      <w:pPr>
        <w:ind w:left="5040" w:hanging="360"/>
      </w:pPr>
      <w:rPr>
        <w:rFonts w:ascii="Wingdings" w:hAnsi="Wingdings" w:hint="default"/>
      </w:rPr>
    </w:lvl>
    <w:lvl w:ilvl="3" w:tplc="1C2E975C" w:tentative="1">
      <w:start w:val="1"/>
      <w:numFmt w:val="bullet"/>
      <w:lvlText w:val=""/>
      <w:lvlJc w:val="left"/>
      <w:pPr>
        <w:ind w:left="5760" w:hanging="360"/>
      </w:pPr>
      <w:rPr>
        <w:rFonts w:ascii="Symbol" w:hAnsi="Symbol" w:hint="default"/>
      </w:rPr>
    </w:lvl>
    <w:lvl w:ilvl="4" w:tplc="44B2D706" w:tentative="1">
      <w:start w:val="1"/>
      <w:numFmt w:val="bullet"/>
      <w:lvlText w:val="o"/>
      <w:lvlJc w:val="left"/>
      <w:pPr>
        <w:ind w:left="6480" w:hanging="360"/>
      </w:pPr>
      <w:rPr>
        <w:rFonts w:ascii="Courier New" w:hAnsi="Courier New" w:cs="Courier New" w:hint="default"/>
      </w:rPr>
    </w:lvl>
    <w:lvl w:ilvl="5" w:tplc="B52A8326" w:tentative="1">
      <w:start w:val="1"/>
      <w:numFmt w:val="bullet"/>
      <w:lvlText w:val=""/>
      <w:lvlJc w:val="left"/>
      <w:pPr>
        <w:ind w:left="7200" w:hanging="360"/>
      </w:pPr>
      <w:rPr>
        <w:rFonts w:ascii="Wingdings" w:hAnsi="Wingdings" w:hint="default"/>
      </w:rPr>
    </w:lvl>
    <w:lvl w:ilvl="6" w:tplc="B414D1F2" w:tentative="1">
      <w:start w:val="1"/>
      <w:numFmt w:val="bullet"/>
      <w:lvlText w:val=""/>
      <w:lvlJc w:val="left"/>
      <w:pPr>
        <w:ind w:left="7920" w:hanging="360"/>
      </w:pPr>
      <w:rPr>
        <w:rFonts w:ascii="Symbol" w:hAnsi="Symbol" w:hint="default"/>
      </w:rPr>
    </w:lvl>
    <w:lvl w:ilvl="7" w:tplc="A78655F2" w:tentative="1">
      <w:start w:val="1"/>
      <w:numFmt w:val="bullet"/>
      <w:lvlText w:val="o"/>
      <w:lvlJc w:val="left"/>
      <w:pPr>
        <w:ind w:left="8640" w:hanging="360"/>
      </w:pPr>
      <w:rPr>
        <w:rFonts w:ascii="Courier New" w:hAnsi="Courier New" w:cs="Courier New" w:hint="default"/>
      </w:rPr>
    </w:lvl>
    <w:lvl w:ilvl="8" w:tplc="BD4CBF6A" w:tentative="1">
      <w:start w:val="1"/>
      <w:numFmt w:val="bullet"/>
      <w:lvlText w:val=""/>
      <w:lvlJc w:val="left"/>
      <w:pPr>
        <w:ind w:left="9360" w:hanging="360"/>
      </w:pPr>
      <w:rPr>
        <w:rFonts w:ascii="Wingdings" w:hAnsi="Wingdings" w:hint="default"/>
      </w:rPr>
    </w:lvl>
  </w:abstractNum>
  <w:abstractNum w:abstractNumId="141" w15:restartNumberingAfterBreak="0">
    <w:nsid w:val="3BE90D51"/>
    <w:multiLevelType w:val="hybridMultilevel"/>
    <w:tmpl w:val="3232369E"/>
    <w:lvl w:ilvl="0" w:tplc="B030A6AC">
      <w:start w:val="1"/>
      <w:numFmt w:val="bullet"/>
      <w:lvlText w:val=""/>
      <w:lvlJc w:val="left"/>
      <w:pPr>
        <w:ind w:left="720" w:hanging="360"/>
      </w:pPr>
      <w:rPr>
        <w:rFonts w:ascii="Symbol" w:hAnsi="Symbol"/>
      </w:rPr>
    </w:lvl>
    <w:lvl w:ilvl="1" w:tplc="7D30397A">
      <w:start w:val="1"/>
      <w:numFmt w:val="bullet"/>
      <w:lvlText w:val=""/>
      <w:lvlJc w:val="left"/>
      <w:pPr>
        <w:ind w:left="720" w:hanging="360"/>
      </w:pPr>
      <w:rPr>
        <w:rFonts w:ascii="Symbol" w:hAnsi="Symbol"/>
      </w:rPr>
    </w:lvl>
    <w:lvl w:ilvl="2" w:tplc="883AB97E">
      <w:start w:val="1"/>
      <w:numFmt w:val="bullet"/>
      <w:lvlText w:val=""/>
      <w:lvlJc w:val="left"/>
      <w:pPr>
        <w:ind w:left="720" w:hanging="360"/>
      </w:pPr>
      <w:rPr>
        <w:rFonts w:ascii="Symbol" w:hAnsi="Symbol"/>
      </w:rPr>
    </w:lvl>
    <w:lvl w:ilvl="3" w:tplc="B992A052">
      <w:start w:val="1"/>
      <w:numFmt w:val="bullet"/>
      <w:lvlText w:val=""/>
      <w:lvlJc w:val="left"/>
      <w:pPr>
        <w:ind w:left="720" w:hanging="360"/>
      </w:pPr>
      <w:rPr>
        <w:rFonts w:ascii="Symbol" w:hAnsi="Symbol"/>
      </w:rPr>
    </w:lvl>
    <w:lvl w:ilvl="4" w:tplc="186EBABE">
      <w:start w:val="1"/>
      <w:numFmt w:val="bullet"/>
      <w:lvlText w:val=""/>
      <w:lvlJc w:val="left"/>
      <w:pPr>
        <w:ind w:left="720" w:hanging="360"/>
      </w:pPr>
      <w:rPr>
        <w:rFonts w:ascii="Symbol" w:hAnsi="Symbol"/>
      </w:rPr>
    </w:lvl>
    <w:lvl w:ilvl="5" w:tplc="7DD0359A">
      <w:start w:val="1"/>
      <w:numFmt w:val="bullet"/>
      <w:lvlText w:val=""/>
      <w:lvlJc w:val="left"/>
      <w:pPr>
        <w:ind w:left="720" w:hanging="360"/>
      </w:pPr>
      <w:rPr>
        <w:rFonts w:ascii="Symbol" w:hAnsi="Symbol"/>
      </w:rPr>
    </w:lvl>
    <w:lvl w:ilvl="6" w:tplc="C876DE14">
      <w:start w:val="1"/>
      <w:numFmt w:val="bullet"/>
      <w:lvlText w:val=""/>
      <w:lvlJc w:val="left"/>
      <w:pPr>
        <w:ind w:left="720" w:hanging="360"/>
      </w:pPr>
      <w:rPr>
        <w:rFonts w:ascii="Symbol" w:hAnsi="Symbol"/>
      </w:rPr>
    </w:lvl>
    <w:lvl w:ilvl="7" w:tplc="57302C46">
      <w:start w:val="1"/>
      <w:numFmt w:val="bullet"/>
      <w:lvlText w:val=""/>
      <w:lvlJc w:val="left"/>
      <w:pPr>
        <w:ind w:left="720" w:hanging="360"/>
      </w:pPr>
      <w:rPr>
        <w:rFonts w:ascii="Symbol" w:hAnsi="Symbol"/>
      </w:rPr>
    </w:lvl>
    <w:lvl w:ilvl="8" w:tplc="FC3AC920">
      <w:start w:val="1"/>
      <w:numFmt w:val="bullet"/>
      <w:lvlText w:val=""/>
      <w:lvlJc w:val="left"/>
      <w:pPr>
        <w:ind w:left="720" w:hanging="360"/>
      </w:pPr>
      <w:rPr>
        <w:rFonts w:ascii="Symbol" w:hAnsi="Symbol"/>
      </w:rPr>
    </w:lvl>
  </w:abstractNum>
  <w:abstractNum w:abstractNumId="142" w15:restartNumberingAfterBreak="0">
    <w:nsid w:val="3C304F7E"/>
    <w:multiLevelType w:val="hybridMultilevel"/>
    <w:tmpl w:val="D0780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3C415843"/>
    <w:multiLevelType w:val="hybridMultilevel"/>
    <w:tmpl w:val="9E8AB9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3D3E24C6"/>
    <w:multiLevelType w:val="hybridMultilevel"/>
    <w:tmpl w:val="DA48AC2E"/>
    <w:lvl w:ilvl="0" w:tplc="076C1C32">
      <w:start w:val="1"/>
      <w:numFmt w:val="bullet"/>
      <w:lvlText w:val=""/>
      <w:lvlJc w:val="left"/>
      <w:pPr>
        <w:ind w:left="720" w:hanging="360"/>
      </w:pPr>
      <w:rPr>
        <w:rFonts w:ascii="Symbol" w:hAnsi="Symbol"/>
      </w:rPr>
    </w:lvl>
    <w:lvl w:ilvl="1" w:tplc="10922D38">
      <w:start w:val="1"/>
      <w:numFmt w:val="bullet"/>
      <w:lvlText w:val=""/>
      <w:lvlJc w:val="left"/>
      <w:pPr>
        <w:ind w:left="720" w:hanging="360"/>
      </w:pPr>
      <w:rPr>
        <w:rFonts w:ascii="Symbol" w:hAnsi="Symbol"/>
      </w:rPr>
    </w:lvl>
    <w:lvl w:ilvl="2" w:tplc="1688BD70">
      <w:start w:val="1"/>
      <w:numFmt w:val="bullet"/>
      <w:lvlText w:val=""/>
      <w:lvlJc w:val="left"/>
      <w:pPr>
        <w:ind w:left="720" w:hanging="360"/>
      </w:pPr>
      <w:rPr>
        <w:rFonts w:ascii="Symbol" w:hAnsi="Symbol"/>
      </w:rPr>
    </w:lvl>
    <w:lvl w:ilvl="3" w:tplc="0930D1B8">
      <w:start w:val="1"/>
      <w:numFmt w:val="bullet"/>
      <w:lvlText w:val=""/>
      <w:lvlJc w:val="left"/>
      <w:pPr>
        <w:ind w:left="720" w:hanging="360"/>
      </w:pPr>
      <w:rPr>
        <w:rFonts w:ascii="Symbol" w:hAnsi="Symbol"/>
      </w:rPr>
    </w:lvl>
    <w:lvl w:ilvl="4" w:tplc="2C4EFA7C">
      <w:start w:val="1"/>
      <w:numFmt w:val="bullet"/>
      <w:lvlText w:val=""/>
      <w:lvlJc w:val="left"/>
      <w:pPr>
        <w:ind w:left="720" w:hanging="360"/>
      </w:pPr>
      <w:rPr>
        <w:rFonts w:ascii="Symbol" w:hAnsi="Symbol"/>
      </w:rPr>
    </w:lvl>
    <w:lvl w:ilvl="5" w:tplc="22D8443C">
      <w:start w:val="1"/>
      <w:numFmt w:val="bullet"/>
      <w:lvlText w:val=""/>
      <w:lvlJc w:val="left"/>
      <w:pPr>
        <w:ind w:left="720" w:hanging="360"/>
      </w:pPr>
      <w:rPr>
        <w:rFonts w:ascii="Symbol" w:hAnsi="Symbol"/>
      </w:rPr>
    </w:lvl>
    <w:lvl w:ilvl="6" w:tplc="32F0AE72">
      <w:start w:val="1"/>
      <w:numFmt w:val="bullet"/>
      <w:lvlText w:val=""/>
      <w:lvlJc w:val="left"/>
      <w:pPr>
        <w:ind w:left="720" w:hanging="360"/>
      </w:pPr>
      <w:rPr>
        <w:rFonts w:ascii="Symbol" w:hAnsi="Symbol"/>
      </w:rPr>
    </w:lvl>
    <w:lvl w:ilvl="7" w:tplc="C21E9EAE">
      <w:start w:val="1"/>
      <w:numFmt w:val="bullet"/>
      <w:lvlText w:val=""/>
      <w:lvlJc w:val="left"/>
      <w:pPr>
        <w:ind w:left="720" w:hanging="360"/>
      </w:pPr>
      <w:rPr>
        <w:rFonts w:ascii="Symbol" w:hAnsi="Symbol"/>
      </w:rPr>
    </w:lvl>
    <w:lvl w:ilvl="8" w:tplc="F9BE7764">
      <w:start w:val="1"/>
      <w:numFmt w:val="bullet"/>
      <w:lvlText w:val=""/>
      <w:lvlJc w:val="left"/>
      <w:pPr>
        <w:ind w:left="720" w:hanging="360"/>
      </w:pPr>
      <w:rPr>
        <w:rFonts w:ascii="Symbol" w:hAnsi="Symbol"/>
      </w:rPr>
    </w:lvl>
  </w:abstractNum>
  <w:abstractNum w:abstractNumId="145" w15:restartNumberingAfterBreak="0">
    <w:nsid w:val="3D79115E"/>
    <w:multiLevelType w:val="hybridMultilevel"/>
    <w:tmpl w:val="C82233E4"/>
    <w:lvl w:ilvl="0" w:tplc="0772F73E">
      <w:start w:val="1"/>
      <w:numFmt w:val="bullet"/>
      <w:lvlText w:val=""/>
      <w:lvlJc w:val="left"/>
      <w:pPr>
        <w:ind w:left="720" w:hanging="360"/>
      </w:pPr>
      <w:rPr>
        <w:rFonts w:ascii="Symbol" w:hAnsi="Symbol"/>
      </w:rPr>
    </w:lvl>
    <w:lvl w:ilvl="1" w:tplc="B554E830">
      <w:start w:val="1"/>
      <w:numFmt w:val="bullet"/>
      <w:lvlText w:val=""/>
      <w:lvlJc w:val="left"/>
      <w:pPr>
        <w:ind w:left="720" w:hanging="360"/>
      </w:pPr>
      <w:rPr>
        <w:rFonts w:ascii="Symbol" w:hAnsi="Symbol"/>
      </w:rPr>
    </w:lvl>
    <w:lvl w:ilvl="2" w:tplc="07743066">
      <w:start w:val="1"/>
      <w:numFmt w:val="bullet"/>
      <w:lvlText w:val=""/>
      <w:lvlJc w:val="left"/>
      <w:pPr>
        <w:ind w:left="720" w:hanging="360"/>
      </w:pPr>
      <w:rPr>
        <w:rFonts w:ascii="Symbol" w:hAnsi="Symbol"/>
      </w:rPr>
    </w:lvl>
    <w:lvl w:ilvl="3" w:tplc="077CA20C">
      <w:start w:val="1"/>
      <w:numFmt w:val="bullet"/>
      <w:lvlText w:val=""/>
      <w:lvlJc w:val="left"/>
      <w:pPr>
        <w:ind w:left="720" w:hanging="360"/>
      </w:pPr>
      <w:rPr>
        <w:rFonts w:ascii="Symbol" w:hAnsi="Symbol"/>
      </w:rPr>
    </w:lvl>
    <w:lvl w:ilvl="4" w:tplc="3EBC1704">
      <w:start w:val="1"/>
      <w:numFmt w:val="bullet"/>
      <w:lvlText w:val=""/>
      <w:lvlJc w:val="left"/>
      <w:pPr>
        <w:ind w:left="720" w:hanging="360"/>
      </w:pPr>
      <w:rPr>
        <w:rFonts w:ascii="Symbol" w:hAnsi="Symbol"/>
      </w:rPr>
    </w:lvl>
    <w:lvl w:ilvl="5" w:tplc="359CF2A0">
      <w:start w:val="1"/>
      <w:numFmt w:val="bullet"/>
      <w:lvlText w:val=""/>
      <w:lvlJc w:val="left"/>
      <w:pPr>
        <w:ind w:left="720" w:hanging="360"/>
      </w:pPr>
      <w:rPr>
        <w:rFonts w:ascii="Symbol" w:hAnsi="Symbol"/>
      </w:rPr>
    </w:lvl>
    <w:lvl w:ilvl="6" w:tplc="81D2C7BA">
      <w:start w:val="1"/>
      <w:numFmt w:val="bullet"/>
      <w:lvlText w:val=""/>
      <w:lvlJc w:val="left"/>
      <w:pPr>
        <w:ind w:left="720" w:hanging="360"/>
      </w:pPr>
      <w:rPr>
        <w:rFonts w:ascii="Symbol" w:hAnsi="Symbol"/>
      </w:rPr>
    </w:lvl>
    <w:lvl w:ilvl="7" w:tplc="A836D3A8">
      <w:start w:val="1"/>
      <w:numFmt w:val="bullet"/>
      <w:lvlText w:val=""/>
      <w:lvlJc w:val="left"/>
      <w:pPr>
        <w:ind w:left="720" w:hanging="360"/>
      </w:pPr>
      <w:rPr>
        <w:rFonts w:ascii="Symbol" w:hAnsi="Symbol"/>
      </w:rPr>
    </w:lvl>
    <w:lvl w:ilvl="8" w:tplc="54362A16">
      <w:start w:val="1"/>
      <w:numFmt w:val="bullet"/>
      <w:lvlText w:val=""/>
      <w:lvlJc w:val="left"/>
      <w:pPr>
        <w:ind w:left="720" w:hanging="360"/>
      </w:pPr>
      <w:rPr>
        <w:rFonts w:ascii="Symbol" w:hAnsi="Symbol"/>
      </w:rPr>
    </w:lvl>
  </w:abstractNum>
  <w:abstractNum w:abstractNumId="146" w15:restartNumberingAfterBreak="0">
    <w:nsid w:val="3E2258A3"/>
    <w:multiLevelType w:val="hybridMultilevel"/>
    <w:tmpl w:val="4900F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3FC51DCE"/>
    <w:multiLevelType w:val="hybridMultilevel"/>
    <w:tmpl w:val="86FE2F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3FCC268D"/>
    <w:multiLevelType w:val="hybridMultilevel"/>
    <w:tmpl w:val="4ACE4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3FD222FE"/>
    <w:multiLevelType w:val="hybridMultilevel"/>
    <w:tmpl w:val="66DA37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0" w15:restartNumberingAfterBreak="0">
    <w:nsid w:val="3FF60863"/>
    <w:multiLevelType w:val="hybridMultilevel"/>
    <w:tmpl w:val="ED84A6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02C1401"/>
    <w:multiLevelType w:val="hybridMultilevel"/>
    <w:tmpl w:val="47FE2B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2" w15:restartNumberingAfterBreak="0">
    <w:nsid w:val="4082066F"/>
    <w:multiLevelType w:val="hybridMultilevel"/>
    <w:tmpl w:val="F2EA9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16A534D"/>
    <w:multiLevelType w:val="hybridMultilevel"/>
    <w:tmpl w:val="D7464F34"/>
    <w:lvl w:ilvl="0" w:tplc="04090019">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54" w15:restartNumberingAfterBreak="0">
    <w:nsid w:val="41924088"/>
    <w:multiLevelType w:val="hybridMultilevel"/>
    <w:tmpl w:val="D3340496"/>
    <w:lvl w:ilvl="0" w:tplc="640A2B6C">
      <w:start w:val="1"/>
      <w:numFmt w:val="bullet"/>
      <w:lvlText w:val=""/>
      <w:lvlJc w:val="left"/>
      <w:pPr>
        <w:ind w:left="720" w:hanging="360"/>
      </w:pPr>
      <w:rPr>
        <w:rFonts w:ascii="Symbol" w:hAnsi="Symbol"/>
      </w:rPr>
    </w:lvl>
    <w:lvl w:ilvl="1" w:tplc="24B6DB98">
      <w:start w:val="1"/>
      <w:numFmt w:val="bullet"/>
      <w:lvlText w:val=""/>
      <w:lvlJc w:val="left"/>
      <w:pPr>
        <w:ind w:left="720" w:hanging="360"/>
      </w:pPr>
      <w:rPr>
        <w:rFonts w:ascii="Symbol" w:hAnsi="Symbol"/>
      </w:rPr>
    </w:lvl>
    <w:lvl w:ilvl="2" w:tplc="E3F852F6">
      <w:start w:val="1"/>
      <w:numFmt w:val="bullet"/>
      <w:lvlText w:val=""/>
      <w:lvlJc w:val="left"/>
      <w:pPr>
        <w:ind w:left="720" w:hanging="360"/>
      </w:pPr>
      <w:rPr>
        <w:rFonts w:ascii="Symbol" w:hAnsi="Symbol"/>
      </w:rPr>
    </w:lvl>
    <w:lvl w:ilvl="3" w:tplc="FB301B02">
      <w:start w:val="1"/>
      <w:numFmt w:val="bullet"/>
      <w:lvlText w:val=""/>
      <w:lvlJc w:val="left"/>
      <w:pPr>
        <w:ind w:left="720" w:hanging="360"/>
      </w:pPr>
      <w:rPr>
        <w:rFonts w:ascii="Symbol" w:hAnsi="Symbol"/>
      </w:rPr>
    </w:lvl>
    <w:lvl w:ilvl="4" w:tplc="74183ED8">
      <w:start w:val="1"/>
      <w:numFmt w:val="bullet"/>
      <w:lvlText w:val=""/>
      <w:lvlJc w:val="left"/>
      <w:pPr>
        <w:ind w:left="720" w:hanging="360"/>
      </w:pPr>
      <w:rPr>
        <w:rFonts w:ascii="Symbol" w:hAnsi="Symbol"/>
      </w:rPr>
    </w:lvl>
    <w:lvl w:ilvl="5" w:tplc="4F4A1E04">
      <w:start w:val="1"/>
      <w:numFmt w:val="bullet"/>
      <w:lvlText w:val=""/>
      <w:lvlJc w:val="left"/>
      <w:pPr>
        <w:ind w:left="720" w:hanging="360"/>
      </w:pPr>
      <w:rPr>
        <w:rFonts w:ascii="Symbol" w:hAnsi="Symbol"/>
      </w:rPr>
    </w:lvl>
    <w:lvl w:ilvl="6" w:tplc="E904C942">
      <w:start w:val="1"/>
      <w:numFmt w:val="bullet"/>
      <w:lvlText w:val=""/>
      <w:lvlJc w:val="left"/>
      <w:pPr>
        <w:ind w:left="720" w:hanging="360"/>
      </w:pPr>
      <w:rPr>
        <w:rFonts w:ascii="Symbol" w:hAnsi="Symbol"/>
      </w:rPr>
    </w:lvl>
    <w:lvl w:ilvl="7" w:tplc="71A407C6">
      <w:start w:val="1"/>
      <w:numFmt w:val="bullet"/>
      <w:lvlText w:val=""/>
      <w:lvlJc w:val="left"/>
      <w:pPr>
        <w:ind w:left="720" w:hanging="360"/>
      </w:pPr>
      <w:rPr>
        <w:rFonts w:ascii="Symbol" w:hAnsi="Symbol"/>
      </w:rPr>
    </w:lvl>
    <w:lvl w:ilvl="8" w:tplc="7B9A3300">
      <w:start w:val="1"/>
      <w:numFmt w:val="bullet"/>
      <w:lvlText w:val=""/>
      <w:lvlJc w:val="left"/>
      <w:pPr>
        <w:ind w:left="720" w:hanging="360"/>
      </w:pPr>
      <w:rPr>
        <w:rFonts w:ascii="Symbol" w:hAnsi="Symbol"/>
      </w:rPr>
    </w:lvl>
  </w:abstractNum>
  <w:abstractNum w:abstractNumId="155" w15:restartNumberingAfterBreak="0">
    <w:nsid w:val="41FF0904"/>
    <w:multiLevelType w:val="hybridMultilevel"/>
    <w:tmpl w:val="19EE1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422B3FC3"/>
    <w:multiLevelType w:val="hybridMultilevel"/>
    <w:tmpl w:val="BE402088"/>
    <w:lvl w:ilvl="0" w:tplc="93B29044">
      <w:start w:val="1"/>
      <w:numFmt w:val="decimal"/>
      <w:lvlText w:val="%1."/>
      <w:lvlJc w:val="left"/>
      <w:pPr>
        <w:ind w:left="342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31011EA"/>
    <w:multiLevelType w:val="hybridMultilevel"/>
    <w:tmpl w:val="F06C0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43682DF4"/>
    <w:multiLevelType w:val="multilevel"/>
    <w:tmpl w:val="38AA5EFC"/>
    <w:lvl w:ilvl="0">
      <w:start w:val="1"/>
      <w:numFmt w:val="upperRoman"/>
      <w:suff w:val="space"/>
      <w:lvlText w:val="%1."/>
      <w:lvlJc w:val="left"/>
      <w:pPr>
        <w:ind w:left="720" w:hanging="720"/>
      </w:pPr>
      <w:rPr>
        <w:rFonts w:ascii="Arial" w:hAnsi="Arial" w:hint="default"/>
        <w:b/>
        <w:i w:val="0"/>
        <w:sz w:val="20"/>
        <w:szCs w:val="20"/>
      </w:rPr>
    </w:lvl>
    <w:lvl w:ilvl="1">
      <w:start w:val="1"/>
      <w:numFmt w:val="upperLetter"/>
      <w:suff w:val="space"/>
      <w:lvlText w:val="%2."/>
      <w:lvlJc w:val="right"/>
      <w:pPr>
        <w:ind w:left="720" w:firstLine="0"/>
      </w:pPr>
      <w:rPr>
        <w:rFonts w:hint="default"/>
        <w:b/>
      </w:rPr>
    </w:lvl>
    <w:lvl w:ilvl="2">
      <w:start w:val="1"/>
      <w:numFmt w:val="decimal"/>
      <w:suff w:val="space"/>
      <w:lvlText w:val="%3."/>
      <w:lvlJc w:val="right"/>
      <w:pPr>
        <w:ind w:left="540" w:firstLine="0"/>
      </w:pPr>
      <w:rPr>
        <w:rFonts w:hint="default"/>
        <w:b/>
      </w:rPr>
    </w:lvl>
    <w:lvl w:ilvl="3">
      <w:start w:val="1"/>
      <w:numFmt w:val="lowerLetter"/>
      <w:suff w:val="space"/>
      <w:lvlText w:val="%4."/>
      <w:lvlJc w:val="right"/>
      <w:pPr>
        <w:ind w:left="1170" w:firstLine="0"/>
      </w:pPr>
      <w:rPr>
        <w:rFonts w:hint="default"/>
        <w:b/>
      </w:rPr>
    </w:lvl>
    <w:lvl w:ilvl="4">
      <w:start w:val="1"/>
      <w:numFmt w:val="lowerRoman"/>
      <w:suff w:val="space"/>
      <w:lvlText w:val="%5."/>
      <w:lvlJc w:val="right"/>
      <w:pPr>
        <w:ind w:left="2160" w:firstLine="0"/>
      </w:pPr>
      <w:rPr>
        <w:rFonts w:hint="default"/>
        <w:b/>
      </w:rPr>
    </w:lvl>
    <w:lvl w:ilvl="5">
      <w:start w:val="1"/>
      <w:numFmt w:val="bullet"/>
      <w:suff w:val="space"/>
      <w:lvlText w:val=""/>
      <w:lvlJc w:val="left"/>
      <w:pPr>
        <w:ind w:left="2880" w:hanging="360"/>
      </w:pPr>
      <w:rPr>
        <w:rFonts w:ascii="Symbol" w:hAnsi="Symbol" w:hint="default"/>
        <w:color w:val="auto"/>
      </w:rPr>
    </w:lvl>
    <w:lvl w:ilvl="6">
      <w:start w:val="1"/>
      <w:numFmt w:val="decimal"/>
      <w:lvlText w:val="%7."/>
      <w:lvlJc w:val="left"/>
      <w:pPr>
        <w:tabs>
          <w:tab w:val="num" w:pos="3240"/>
        </w:tabs>
        <w:ind w:left="3456" w:hanging="216"/>
      </w:pPr>
      <w:rPr>
        <w:rFonts w:hint="default"/>
      </w:rPr>
    </w:lvl>
    <w:lvl w:ilvl="7">
      <w:start w:val="1"/>
      <w:numFmt w:val="lowerLetter"/>
      <w:lvlText w:val="%8."/>
      <w:lvlJc w:val="left"/>
      <w:pPr>
        <w:tabs>
          <w:tab w:val="num" w:pos="3672"/>
        </w:tabs>
        <w:ind w:left="3600" w:firstLine="0"/>
      </w:pPr>
      <w:rPr>
        <w:rFonts w:hint="default"/>
      </w:rPr>
    </w:lvl>
    <w:lvl w:ilvl="8">
      <w:start w:val="1"/>
      <w:numFmt w:val="lowerRoman"/>
      <w:lvlText w:val="%9."/>
      <w:lvlJc w:val="right"/>
      <w:pPr>
        <w:ind w:left="4320" w:firstLine="0"/>
      </w:pPr>
      <w:rPr>
        <w:rFonts w:hint="default"/>
      </w:rPr>
    </w:lvl>
  </w:abstractNum>
  <w:abstractNum w:abstractNumId="159" w15:restartNumberingAfterBreak="0">
    <w:nsid w:val="43E03C0F"/>
    <w:multiLevelType w:val="hybridMultilevel"/>
    <w:tmpl w:val="AC34E5C8"/>
    <w:lvl w:ilvl="0" w:tplc="E80A8F40">
      <w:start w:val="1"/>
      <w:numFmt w:val="bullet"/>
      <w:lvlText w:val=""/>
      <w:lvlJc w:val="left"/>
      <w:pPr>
        <w:ind w:left="720" w:hanging="360"/>
      </w:pPr>
      <w:rPr>
        <w:rFonts w:ascii="Symbol" w:hAnsi="Symbol"/>
      </w:rPr>
    </w:lvl>
    <w:lvl w:ilvl="1" w:tplc="262E1D42">
      <w:start w:val="1"/>
      <w:numFmt w:val="bullet"/>
      <w:lvlText w:val=""/>
      <w:lvlJc w:val="left"/>
      <w:pPr>
        <w:ind w:left="720" w:hanging="360"/>
      </w:pPr>
      <w:rPr>
        <w:rFonts w:ascii="Symbol" w:hAnsi="Symbol"/>
      </w:rPr>
    </w:lvl>
    <w:lvl w:ilvl="2" w:tplc="F46673DA">
      <w:start w:val="1"/>
      <w:numFmt w:val="bullet"/>
      <w:lvlText w:val=""/>
      <w:lvlJc w:val="left"/>
      <w:pPr>
        <w:ind w:left="720" w:hanging="360"/>
      </w:pPr>
      <w:rPr>
        <w:rFonts w:ascii="Symbol" w:hAnsi="Symbol"/>
      </w:rPr>
    </w:lvl>
    <w:lvl w:ilvl="3" w:tplc="EE46B81C">
      <w:start w:val="1"/>
      <w:numFmt w:val="bullet"/>
      <w:lvlText w:val=""/>
      <w:lvlJc w:val="left"/>
      <w:pPr>
        <w:ind w:left="720" w:hanging="360"/>
      </w:pPr>
      <w:rPr>
        <w:rFonts w:ascii="Symbol" w:hAnsi="Symbol"/>
      </w:rPr>
    </w:lvl>
    <w:lvl w:ilvl="4" w:tplc="99ACF64A">
      <w:start w:val="1"/>
      <w:numFmt w:val="bullet"/>
      <w:lvlText w:val=""/>
      <w:lvlJc w:val="left"/>
      <w:pPr>
        <w:ind w:left="720" w:hanging="360"/>
      </w:pPr>
      <w:rPr>
        <w:rFonts w:ascii="Symbol" w:hAnsi="Symbol"/>
      </w:rPr>
    </w:lvl>
    <w:lvl w:ilvl="5" w:tplc="33C46F40">
      <w:start w:val="1"/>
      <w:numFmt w:val="bullet"/>
      <w:lvlText w:val=""/>
      <w:lvlJc w:val="left"/>
      <w:pPr>
        <w:ind w:left="720" w:hanging="360"/>
      </w:pPr>
      <w:rPr>
        <w:rFonts w:ascii="Symbol" w:hAnsi="Symbol"/>
      </w:rPr>
    </w:lvl>
    <w:lvl w:ilvl="6" w:tplc="5B843E20">
      <w:start w:val="1"/>
      <w:numFmt w:val="bullet"/>
      <w:lvlText w:val=""/>
      <w:lvlJc w:val="left"/>
      <w:pPr>
        <w:ind w:left="720" w:hanging="360"/>
      </w:pPr>
      <w:rPr>
        <w:rFonts w:ascii="Symbol" w:hAnsi="Symbol"/>
      </w:rPr>
    </w:lvl>
    <w:lvl w:ilvl="7" w:tplc="A80E9CEA">
      <w:start w:val="1"/>
      <w:numFmt w:val="bullet"/>
      <w:lvlText w:val=""/>
      <w:lvlJc w:val="left"/>
      <w:pPr>
        <w:ind w:left="720" w:hanging="360"/>
      </w:pPr>
      <w:rPr>
        <w:rFonts w:ascii="Symbol" w:hAnsi="Symbol"/>
      </w:rPr>
    </w:lvl>
    <w:lvl w:ilvl="8" w:tplc="663A5636">
      <w:start w:val="1"/>
      <w:numFmt w:val="bullet"/>
      <w:lvlText w:val=""/>
      <w:lvlJc w:val="left"/>
      <w:pPr>
        <w:ind w:left="720" w:hanging="360"/>
      </w:pPr>
      <w:rPr>
        <w:rFonts w:ascii="Symbol" w:hAnsi="Symbol"/>
      </w:rPr>
    </w:lvl>
  </w:abstractNum>
  <w:abstractNum w:abstractNumId="160" w15:restartNumberingAfterBreak="0">
    <w:nsid w:val="44635A8F"/>
    <w:multiLevelType w:val="hybridMultilevel"/>
    <w:tmpl w:val="C7DCF032"/>
    <w:lvl w:ilvl="0" w:tplc="5D52AD28">
      <w:start w:val="1"/>
      <w:numFmt w:val="bullet"/>
      <w:lvlText w:val=""/>
      <w:lvlJc w:val="left"/>
      <w:pPr>
        <w:ind w:left="2040" w:hanging="360"/>
      </w:pPr>
      <w:rPr>
        <w:rFonts w:ascii="Symbol" w:hAnsi="Symbol"/>
      </w:rPr>
    </w:lvl>
    <w:lvl w:ilvl="1" w:tplc="7BB43B88">
      <w:start w:val="1"/>
      <w:numFmt w:val="bullet"/>
      <w:lvlText w:val=""/>
      <w:lvlJc w:val="left"/>
      <w:pPr>
        <w:ind w:left="2040" w:hanging="360"/>
      </w:pPr>
      <w:rPr>
        <w:rFonts w:ascii="Symbol" w:hAnsi="Symbol"/>
      </w:rPr>
    </w:lvl>
    <w:lvl w:ilvl="2" w:tplc="5AA61C2A">
      <w:start w:val="1"/>
      <w:numFmt w:val="bullet"/>
      <w:lvlText w:val=""/>
      <w:lvlJc w:val="left"/>
      <w:pPr>
        <w:ind w:left="2040" w:hanging="360"/>
      </w:pPr>
      <w:rPr>
        <w:rFonts w:ascii="Symbol" w:hAnsi="Symbol"/>
      </w:rPr>
    </w:lvl>
    <w:lvl w:ilvl="3" w:tplc="DE00323E">
      <w:start w:val="1"/>
      <w:numFmt w:val="bullet"/>
      <w:lvlText w:val=""/>
      <w:lvlJc w:val="left"/>
      <w:pPr>
        <w:ind w:left="2040" w:hanging="360"/>
      </w:pPr>
      <w:rPr>
        <w:rFonts w:ascii="Symbol" w:hAnsi="Symbol"/>
      </w:rPr>
    </w:lvl>
    <w:lvl w:ilvl="4" w:tplc="BE0C5CFC">
      <w:start w:val="1"/>
      <w:numFmt w:val="bullet"/>
      <w:lvlText w:val=""/>
      <w:lvlJc w:val="left"/>
      <w:pPr>
        <w:ind w:left="2040" w:hanging="360"/>
      </w:pPr>
      <w:rPr>
        <w:rFonts w:ascii="Symbol" w:hAnsi="Symbol"/>
      </w:rPr>
    </w:lvl>
    <w:lvl w:ilvl="5" w:tplc="BCE05ED4">
      <w:start w:val="1"/>
      <w:numFmt w:val="bullet"/>
      <w:lvlText w:val=""/>
      <w:lvlJc w:val="left"/>
      <w:pPr>
        <w:ind w:left="2040" w:hanging="360"/>
      </w:pPr>
      <w:rPr>
        <w:rFonts w:ascii="Symbol" w:hAnsi="Symbol"/>
      </w:rPr>
    </w:lvl>
    <w:lvl w:ilvl="6" w:tplc="7BA4C398">
      <w:start w:val="1"/>
      <w:numFmt w:val="bullet"/>
      <w:lvlText w:val=""/>
      <w:lvlJc w:val="left"/>
      <w:pPr>
        <w:ind w:left="2040" w:hanging="360"/>
      </w:pPr>
      <w:rPr>
        <w:rFonts w:ascii="Symbol" w:hAnsi="Symbol"/>
      </w:rPr>
    </w:lvl>
    <w:lvl w:ilvl="7" w:tplc="4CC0CE48">
      <w:start w:val="1"/>
      <w:numFmt w:val="bullet"/>
      <w:lvlText w:val=""/>
      <w:lvlJc w:val="left"/>
      <w:pPr>
        <w:ind w:left="2040" w:hanging="360"/>
      </w:pPr>
      <w:rPr>
        <w:rFonts w:ascii="Symbol" w:hAnsi="Symbol"/>
      </w:rPr>
    </w:lvl>
    <w:lvl w:ilvl="8" w:tplc="566A9778">
      <w:start w:val="1"/>
      <w:numFmt w:val="bullet"/>
      <w:lvlText w:val=""/>
      <w:lvlJc w:val="left"/>
      <w:pPr>
        <w:ind w:left="2040" w:hanging="360"/>
      </w:pPr>
      <w:rPr>
        <w:rFonts w:ascii="Symbol" w:hAnsi="Symbol"/>
      </w:rPr>
    </w:lvl>
  </w:abstractNum>
  <w:abstractNum w:abstractNumId="161" w15:restartNumberingAfterBreak="0">
    <w:nsid w:val="44EE1A1B"/>
    <w:multiLevelType w:val="singleLevel"/>
    <w:tmpl w:val="18EC6DA4"/>
    <w:lvl w:ilvl="0">
      <w:start w:val="1"/>
      <w:numFmt w:val="bullet"/>
      <w:lvlText w:val=""/>
      <w:lvlJc w:val="left"/>
      <w:pPr>
        <w:tabs>
          <w:tab w:val="num" w:pos="2160"/>
        </w:tabs>
        <w:ind w:left="2160" w:hanging="360"/>
      </w:pPr>
      <w:rPr>
        <w:rFonts w:ascii="Symbol" w:hAnsi="Symbol" w:hint="default"/>
        <w:sz w:val="18"/>
      </w:rPr>
    </w:lvl>
  </w:abstractNum>
  <w:abstractNum w:abstractNumId="162" w15:restartNumberingAfterBreak="0">
    <w:nsid w:val="451B6201"/>
    <w:multiLevelType w:val="hybridMultilevel"/>
    <w:tmpl w:val="45BA4614"/>
    <w:lvl w:ilvl="0" w:tplc="21BE014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859" w:hanging="180"/>
      </w:pPr>
    </w:lvl>
    <w:lvl w:ilvl="3" w:tplc="0409000F" w:tentative="1">
      <w:start w:val="1"/>
      <w:numFmt w:val="decimal"/>
      <w:lvlText w:val="%4."/>
      <w:lvlJc w:val="left"/>
      <w:pPr>
        <w:ind w:left="3579" w:hanging="360"/>
      </w:pPr>
    </w:lvl>
    <w:lvl w:ilvl="4" w:tplc="04090019" w:tentative="1">
      <w:start w:val="1"/>
      <w:numFmt w:val="lowerLetter"/>
      <w:lvlText w:val="%5."/>
      <w:lvlJc w:val="left"/>
      <w:pPr>
        <w:ind w:left="4299" w:hanging="360"/>
      </w:pPr>
    </w:lvl>
    <w:lvl w:ilvl="5" w:tplc="0409001B" w:tentative="1">
      <w:start w:val="1"/>
      <w:numFmt w:val="lowerRoman"/>
      <w:lvlText w:val="%6."/>
      <w:lvlJc w:val="right"/>
      <w:pPr>
        <w:ind w:left="5019" w:hanging="180"/>
      </w:pPr>
    </w:lvl>
    <w:lvl w:ilvl="6" w:tplc="0409000F" w:tentative="1">
      <w:start w:val="1"/>
      <w:numFmt w:val="decimal"/>
      <w:lvlText w:val="%7."/>
      <w:lvlJc w:val="left"/>
      <w:pPr>
        <w:ind w:left="5739" w:hanging="360"/>
      </w:pPr>
    </w:lvl>
    <w:lvl w:ilvl="7" w:tplc="04090019" w:tentative="1">
      <w:start w:val="1"/>
      <w:numFmt w:val="lowerLetter"/>
      <w:lvlText w:val="%8."/>
      <w:lvlJc w:val="left"/>
      <w:pPr>
        <w:ind w:left="6459" w:hanging="360"/>
      </w:pPr>
    </w:lvl>
    <w:lvl w:ilvl="8" w:tplc="0409001B" w:tentative="1">
      <w:start w:val="1"/>
      <w:numFmt w:val="lowerRoman"/>
      <w:lvlText w:val="%9."/>
      <w:lvlJc w:val="right"/>
      <w:pPr>
        <w:ind w:left="7179" w:hanging="180"/>
      </w:pPr>
    </w:lvl>
  </w:abstractNum>
  <w:abstractNum w:abstractNumId="163" w15:restartNumberingAfterBreak="0">
    <w:nsid w:val="467526CC"/>
    <w:multiLevelType w:val="hybridMultilevel"/>
    <w:tmpl w:val="B31C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46C3683D"/>
    <w:multiLevelType w:val="hybridMultilevel"/>
    <w:tmpl w:val="8C8EB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47ED0D74"/>
    <w:multiLevelType w:val="hybridMultilevel"/>
    <w:tmpl w:val="942A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4859317B"/>
    <w:multiLevelType w:val="hybridMultilevel"/>
    <w:tmpl w:val="DDF22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498072E6"/>
    <w:multiLevelType w:val="hybridMultilevel"/>
    <w:tmpl w:val="475013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9A27F4A"/>
    <w:multiLevelType w:val="hybridMultilevel"/>
    <w:tmpl w:val="1FFA38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49E647FD"/>
    <w:multiLevelType w:val="hybridMultilevel"/>
    <w:tmpl w:val="BE402088"/>
    <w:lvl w:ilvl="0" w:tplc="93B29044">
      <w:start w:val="1"/>
      <w:numFmt w:val="decimal"/>
      <w:lvlText w:val="%1."/>
      <w:lvlJc w:val="left"/>
      <w:pPr>
        <w:ind w:left="342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4C2850CB"/>
    <w:multiLevelType w:val="singleLevel"/>
    <w:tmpl w:val="4BF45BA2"/>
    <w:lvl w:ilvl="0">
      <w:start w:val="1"/>
      <w:numFmt w:val="bullet"/>
      <w:lvlText w:val=""/>
      <w:lvlJc w:val="left"/>
      <w:pPr>
        <w:tabs>
          <w:tab w:val="num" w:pos="360"/>
        </w:tabs>
        <w:ind w:left="360" w:hanging="360"/>
      </w:pPr>
      <w:rPr>
        <w:rFonts w:ascii="Symbol" w:hAnsi="Symbol" w:hint="default"/>
        <w:sz w:val="18"/>
      </w:rPr>
    </w:lvl>
  </w:abstractNum>
  <w:abstractNum w:abstractNumId="171" w15:restartNumberingAfterBreak="0">
    <w:nsid w:val="4C662E1E"/>
    <w:multiLevelType w:val="hybridMultilevel"/>
    <w:tmpl w:val="C1268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4CF342F1"/>
    <w:multiLevelType w:val="hybridMultilevel"/>
    <w:tmpl w:val="D0F000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4CFF1999"/>
    <w:multiLevelType w:val="hybridMultilevel"/>
    <w:tmpl w:val="36942462"/>
    <w:lvl w:ilvl="0" w:tplc="2F38EDA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4" w15:restartNumberingAfterBreak="0">
    <w:nsid w:val="4D2669AB"/>
    <w:multiLevelType w:val="hybridMultilevel"/>
    <w:tmpl w:val="367A5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5" w15:restartNumberingAfterBreak="0">
    <w:nsid w:val="4DDE0B7D"/>
    <w:multiLevelType w:val="hybridMultilevel"/>
    <w:tmpl w:val="14C8B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1D761AF"/>
    <w:multiLevelType w:val="hybridMultilevel"/>
    <w:tmpl w:val="5EA42428"/>
    <w:lvl w:ilvl="0" w:tplc="555C3BE4">
      <w:start w:val="1"/>
      <w:numFmt w:val="bullet"/>
      <w:lvlText w:val=""/>
      <w:lvlJc w:val="left"/>
      <w:pPr>
        <w:ind w:left="353" w:hanging="252"/>
      </w:pPr>
      <w:rPr>
        <w:rFonts w:ascii="Wingdings" w:eastAsia="Wingdings" w:hAnsi="Wingdings" w:hint="default"/>
        <w:sz w:val="22"/>
        <w:szCs w:val="22"/>
      </w:rPr>
    </w:lvl>
    <w:lvl w:ilvl="1" w:tplc="EF762C0E">
      <w:start w:val="1"/>
      <w:numFmt w:val="bullet"/>
      <w:lvlText w:val="•"/>
      <w:lvlJc w:val="left"/>
      <w:pPr>
        <w:ind w:left="479" w:hanging="252"/>
      </w:pPr>
      <w:rPr>
        <w:rFonts w:hint="default"/>
      </w:rPr>
    </w:lvl>
    <w:lvl w:ilvl="2" w:tplc="A2342518">
      <w:start w:val="1"/>
      <w:numFmt w:val="bullet"/>
      <w:lvlText w:val="•"/>
      <w:lvlJc w:val="left"/>
      <w:pPr>
        <w:ind w:left="604" w:hanging="252"/>
      </w:pPr>
      <w:rPr>
        <w:rFonts w:hint="default"/>
      </w:rPr>
    </w:lvl>
    <w:lvl w:ilvl="3" w:tplc="7DF6B7DE">
      <w:start w:val="1"/>
      <w:numFmt w:val="bullet"/>
      <w:lvlText w:val="•"/>
      <w:lvlJc w:val="left"/>
      <w:pPr>
        <w:ind w:left="730" w:hanging="252"/>
      </w:pPr>
      <w:rPr>
        <w:rFonts w:hint="default"/>
      </w:rPr>
    </w:lvl>
    <w:lvl w:ilvl="4" w:tplc="65BE97D4">
      <w:start w:val="1"/>
      <w:numFmt w:val="bullet"/>
      <w:lvlText w:val="•"/>
      <w:lvlJc w:val="left"/>
      <w:pPr>
        <w:ind w:left="855" w:hanging="252"/>
      </w:pPr>
      <w:rPr>
        <w:rFonts w:hint="default"/>
      </w:rPr>
    </w:lvl>
    <w:lvl w:ilvl="5" w:tplc="0D1E79D0">
      <w:start w:val="1"/>
      <w:numFmt w:val="bullet"/>
      <w:lvlText w:val="•"/>
      <w:lvlJc w:val="left"/>
      <w:pPr>
        <w:ind w:left="981" w:hanging="252"/>
      </w:pPr>
      <w:rPr>
        <w:rFonts w:hint="default"/>
      </w:rPr>
    </w:lvl>
    <w:lvl w:ilvl="6" w:tplc="83EEB238">
      <w:start w:val="1"/>
      <w:numFmt w:val="bullet"/>
      <w:lvlText w:val="•"/>
      <w:lvlJc w:val="left"/>
      <w:pPr>
        <w:ind w:left="1106" w:hanging="252"/>
      </w:pPr>
      <w:rPr>
        <w:rFonts w:hint="default"/>
      </w:rPr>
    </w:lvl>
    <w:lvl w:ilvl="7" w:tplc="87AE9D62">
      <w:start w:val="1"/>
      <w:numFmt w:val="bullet"/>
      <w:lvlText w:val="•"/>
      <w:lvlJc w:val="left"/>
      <w:pPr>
        <w:ind w:left="1232" w:hanging="252"/>
      </w:pPr>
      <w:rPr>
        <w:rFonts w:hint="default"/>
      </w:rPr>
    </w:lvl>
    <w:lvl w:ilvl="8" w:tplc="2C563182">
      <w:start w:val="1"/>
      <w:numFmt w:val="bullet"/>
      <w:lvlText w:val="•"/>
      <w:lvlJc w:val="left"/>
      <w:pPr>
        <w:ind w:left="1357" w:hanging="252"/>
      </w:pPr>
      <w:rPr>
        <w:rFonts w:hint="default"/>
      </w:rPr>
    </w:lvl>
  </w:abstractNum>
  <w:abstractNum w:abstractNumId="177" w15:restartNumberingAfterBreak="0">
    <w:nsid w:val="52070B61"/>
    <w:multiLevelType w:val="hybridMultilevel"/>
    <w:tmpl w:val="5DA64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33320A0"/>
    <w:multiLevelType w:val="hybridMultilevel"/>
    <w:tmpl w:val="CFFC8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53F11342"/>
    <w:multiLevelType w:val="hybridMultilevel"/>
    <w:tmpl w:val="9370C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4190B0E"/>
    <w:multiLevelType w:val="multilevel"/>
    <w:tmpl w:val="5C8016B8"/>
    <w:styleLink w:val="Style1"/>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20" w:hanging="720"/>
      </w:pPr>
      <w:rPr>
        <w:rFonts w:hint="default"/>
      </w:rPr>
    </w:lvl>
    <w:lvl w:ilvl="2">
      <w:start w:val="1"/>
      <w:numFmt w:val="decimal"/>
      <w:pStyle w:val="Level3Heading"/>
      <w:lvlText w:val="%1.%2.%3"/>
      <w:lvlJc w:val="left"/>
      <w:pPr>
        <w:ind w:left="720" w:hanging="720"/>
      </w:pPr>
      <w:rPr>
        <w:rFonts w:hint="default"/>
      </w:rPr>
    </w:lvl>
    <w:lvl w:ilvl="3">
      <w:start w:val="1"/>
      <w:numFmt w:val="decimal"/>
      <w:pStyle w:val="Level4Heading"/>
      <w:lvlText w:val="%1.%2.%3.%4"/>
      <w:lvlJc w:val="left"/>
      <w:pPr>
        <w:ind w:left="1080" w:hanging="1080"/>
      </w:pPr>
      <w:rPr>
        <w:rFonts w:hint="default"/>
      </w:rPr>
    </w:lvl>
    <w:lvl w:ilvl="4">
      <w:start w:val="1"/>
      <w:numFmt w:val="decimal"/>
      <w:pStyle w:val="Level5Heading"/>
      <w:lvlText w:val="%1.%2.%3.%4.%5"/>
      <w:lvlJc w:val="left"/>
      <w:pPr>
        <w:ind w:left="1296" w:hanging="1296"/>
      </w:pPr>
      <w:rPr>
        <w:rFonts w:hint="default"/>
      </w:rPr>
    </w:lvl>
    <w:lvl w:ilvl="5">
      <w:start w:val="1"/>
      <w:numFmt w:val="decimal"/>
      <w:pStyle w:val="Level6Heading"/>
      <w:lvlText w:val="%1.%2.%3.%4.%5.%6"/>
      <w:lvlJc w:val="left"/>
      <w:pPr>
        <w:ind w:left="1728" w:hanging="1728"/>
      </w:pPr>
      <w:rPr>
        <w:rFonts w:hint="default"/>
      </w:rPr>
    </w:lvl>
    <w:lvl w:ilvl="6">
      <w:start w:val="1"/>
      <w:numFmt w:val="decimal"/>
      <w:lvlText w:val="%1.%2.%3.%4.%5.%6.%7"/>
      <w:lvlJc w:val="left"/>
      <w:pPr>
        <w:ind w:left="1584" w:hanging="1584"/>
      </w:pPr>
      <w:rPr>
        <w:rFonts w:hint="default"/>
      </w:rPr>
    </w:lvl>
    <w:lvl w:ilvl="7">
      <w:start w:val="1"/>
      <w:numFmt w:val="decimal"/>
      <w:lvlText w:val="%1.%2.%3.%4.%5.%6.%7.%8"/>
      <w:lvlJc w:val="left"/>
      <w:pPr>
        <w:ind w:left="1728" w:hanging="1728"/>
      </w:pPr>
      <w:rPr>
        <w:rFonts w:hint="default"/>
      </w:rPr>
    </w:lvl>
    <w:lvl w:ilvl="8">
      <w:start w:val="1"/>
      <w:numFmt w:val="decimal"/>
      <w:lvlText w:val="%1.%2.%3.%4.%5.%6.%7.%8.%9"/>
      <w:lvlJc w:val="left"/>
      <w:pPr>
        <w:ind w:left="1872" w:hanging="1872"/>
      </w:pPr>
      <w:rPr>
        <w:rFonts w:hint="default"/>
      </w:rPr>
    </w:lvl>
  </w:abstractNum>
  <w:abstractNum w:abstractNumId="181" w15:restartNumberingAfterBreak="0">
    <w:nsid w:val="549940EC"/>
    <w:multiLevelType w:val="hybridMultilevel"/>
    <w:tmpl w:val="9FA85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49D4092"/>
    <w:multiLevelType w:val="multilevel"/>
    <w:tmpl w:val="C2328A4A"/>
    <w:lvl w:ilvl="0">
      <w:start w:val="8"/>
      <w:numFmt w:val="decimal"/>
      <w:lvlText w:val="%1"/>
      <w:lvlJc w:val="left"/>
      <w:pPr>
        <w:ind w:left="1200" w:hanging="720"/>
      </w:pPr>
      <w:rPr>
        <w:rFonts w:hint="default"/>
        <w:lang w:val="en-US" w:eastAsia="en-US" w:bidi="ar-SA"/>
      </w:rPr>
    </w:lvl>
    <w:lvl w:ilvl="1">
      <w:numFmt w:val="decimal"/>
      <w:lvlText w:val="%1.%2"/>
      <w:lvlJc w:val="left"/>
      <w:pPr>
        <w:ind w:left="1200" w:hanging="720"/>
        <w:jc w:val="right"/>
      </w:pPr>
      <w:rPr>
        <w:rFonts w:hint="default"/>
        <w:w w:val="100"/>
        <w:lang w:val="en-US" w:eastAsia="en-US" w:bidi="ar-SA"/>
      </w:rPr>
    </w:lvl>
    <w:lvl w:ilvl="2">
      <w:start w:val="1"/>
      <w:numFmt w:val="decimal"/>
      <w:lvlText w:val="%1.%2.%3"/>
      <w:lvlJc w:val="left"/>
      <w:pPr>
        <w:ind w:left="2640" w:hanging="720"/>
      </w:pPr>
      <w:rPr>
        <w:rFonts w:ascii="Times New Roman" w:eastAsia="Times New Roman" w:hAnsi="Times New Roman" w:cs="Times New Roman" w:hint="default"/>
        <w:b w:val="0"/>
        <w:bCs w:val="0"/>
        <w:i w:val="0"/>
        <w:iCs w:val="0"/>
        <w:w w:val="100"/>
        <w:sz w:val="22"/>
        <w:szCs w:val="22"/>
        <w:lang w:val="en-US" w:eastAsia="en-US" w:bidi="ar-SA"/>
      </w:rPr>
    </w:lvl>
    <w:lvl w:ilvl="3">
      <w:start w:val="1"/>
      <w:numFmt w:val="decimal"/>
      <w:lvlText w:val="%1.%2.%3.%4"/>
      <w:lvlJc w:val="left"/>
      <w:pPr>
        <w:ind w:left="3548" w:hanging="908"/>
      </w:pPr>
      <w:rPr>
        <w:rFonts w:ascii="Times New Roman" w:eastAsia="Times New Roman" w:hAnsi="Times New Roman" w:cs="Times New Roman" w:hint="default"/>
        <w:b w:val="0"/>
        <w:bCs w:val="0"/>
        <w:i w:val="0"/>
        <w:iCs w:val="0"/>
        <w:w w:val="100"/>
        <w:sz w:val="22"/>
        <w:szCs w:val="22"/>
        <w:lang w:val="en-US" w:eastAsia="en-US" w:bidi="ar-SA"/>
      </w:rPr>
    </w:lvl>
    <w:lvl w:ilvl="4">
      <w:numFmt w:val="bullet"/>
      <w:lvlText w:val="•"/>
      <w:lvlJc w:val="left"/>
      <w:pPr>
        <w:ind w:left="5320" w:hanging="908"/>
      </w:pPr>
      <w:rPr>
        <w:rFonts w:hint="default"/>
        <w:lang w:val="en-US" w:eastAsia="en-US" w:bidi="ar-SA"/>
      </w:rPr>
    </w:lvl>
    <w:lvl w:ilvl="5">
      <w:numFmt w:val="bullet"/>
      <w:lvlText w:val="•"/>
      <w:lvlJc w:val="left"/>
      <w:pPr>
        <w:ind w:left="6210" w:hanging="908"/>
      </w:pPr>
      <w:rPr>
        <w:rFonts w:hint="default"/>
        <w:lang w:val="en-US" w:eastAsia="en-US" w:bidi="ar-SA"/>
      </w:rPr>
    </w:lvl>
    <w:lvl w:ilvl="6">
      <w:numFmt w:val="bullet"/>
      <w:lvlText w:val="•"/>
      <w:lvlJc w:val="left"/>
      <w:pPr>
        <w:ind w:left="7100" w:hanging="908"/>
      </w:pPr>
      <w:rPr>
        <w:rFonts w:hint="default"/>
        <w:lang w:val="en-US" w:eastAsia="en-US" w:bidi="ar-SA"/>
      </w:rPr>
    </w:lvl>
    <w:lvl w:ilvl="7">
      <w:numFmt w:val="bullet"/>
      <w:lvlText w:val="•"/>
      <w:lvlJc w:val="left"/>
      <w:pPr>
        <w:ind w:left="7990" w:hanging="908"/>
      </w:pPr>
      <w:rPr>
        <w:rFonts w:hint="default"/>
        <w:lang w:val="en-US" w:eastAsia="en-US" w:bidi="ar-SA"/>
      </w:rPr>
    </w:lvl>
    <w:lvl w:ilvl="8">
      <w:numFmt w:val="bullet"/>
      <w:lvlText w:val="•"/>
      <w:lvlJc w:val="left"/>
      <w:pPr>
        <w:ind w:left="8880" w:hanging="908"/>
      </w:pPr>
      <w:rPr>
        <w:rFonts w:hint="default"/>
        <w:lang w:val="en-US" w:eastAsia="en-US" w:bidi="ar-SA"/>
      </w:rPr>
    </w:lvl>
  </w:abstractNum>
  <w:abstractNum w:abstractNumId="183" w15:restartNumberingAfterBreak="0">
    <w:nsid w:val="55931F47"/>
    <w:multiLevelType w:val="hybridMultilevel"/>
    <w:tmpl w:val="8662F95A"/>
    <w:lvl w:ilvl="0" w:tplc="758627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5991964"/>
    <w:multiLevelType w:val="hybridMultilevel"/>
    <w:tmpl w:val="71A2B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56985AAC"/>
    <w:multiLevelType w:val="singleLevel"/>
    <w:tmpl w:val="4BF45BA2"/>
    <w:lvl w:ilvl="0">
      <w:start w:val="1"/>
      <w:numFmt w:val="bullet"/>
      <w:lvlText w:val=""/>
      <w:lvlJc w:val="left"/>
      <w:pPr>
        <w:tabs>
          <w:tab w:val="num" w:pos="360"/>
        </w:tabs>
        <w:ind w:left="360" w:hanging="360"/>
      </w:pPr>
      <w:rPr>
        <w:rFonts w:ascii="Symbol" w:hAnsi="Symbol" w:hint="default"/>
        <w:sz w:val="18"/>
      </w:rPr>
    </w:lvl>
  </w:abstractNum>
  <w:abstractNum w:abstractNumId="186" w15:restartNumberingAfterBreak="0">
    <w:nsid w:val="56EA07EF"/>
    <w:multiLevelType w:val="hybridMultilevel"/>
    <w:tmpl w:val="2ED4F336"/>
    <w:lvl w:ilvl="0" w:tplc="217E339E">
      <w:start w:val="1"/>
      <w:numFmt w:val="bullet"/>
      <w:lvlText w:val=""/>
      <w:lvlJc w:val="left"/>
      <w:pPr>
        <w:ind w:left="720" w:hanging="360"/>
      </w:pPr>
      <w:rPr>
        <w:rFonts w:ascii="Symbol" w:hAnsi="Symbol"/>
      </w:rPr>
    </w:lvl>
    <w:lvl w:ilvl="1" w:tplc="7AC2E3E0">
      <w:start w:val="1"/>
      <w:numFmt w:val="bullet"/>
      <w:lvlText w:val=""/>
      <w:lvlJc w:val="left"/>
      <w:pPr>
        <w:ind w:left="720" w:hanging="360"/>
      </w:pPr>
      <w:rPr>
        <w:rFonts w:ascii="Symbol" w:hAnsi="Symbol"/>
      </w:rPr>
    </w:lvl>
    <w:lvl w:ilvl="2" w:tplc="A1A4ADC8">
      <w:start w:val="1"/>
      <w:numFmt w:val="bullet"/>
      <w:lvlText w:val=""/>
      <w:lvlJc w:val="left"/>
      <w:pPr>
        <w:ind w:left="720" w:hanging="360"/>
      </w:pPr>
      <w:rPr>
        <w:rFonts w:ascii="Symbol" w:hAnsi="Symbol"/>
      </w:rPr>
    </w:lvl>
    <w:lvl w:ilvl="3" w:tplc="5CE89EEE">
      <w:start w:val="1"/>
      <w:numFmt w:val="bullet"/>
      <w:lvlText w:val=""/>
      <w:lvlJc w:val="left"/>
      <w:pPr>
        <w:ind w:left="720" w:hanging="360"/>
      </w:pPr>
      <w:rPr>
        <w:rFonts w:ascii="Symbol" w:hAnsi="Symbol"/>
      </w:rPr>
    </w:lvl>
    <w:lvl w:ilvl="4" w:tplc="AD925338">
      <w:start w:val="1"/>
      <w:numFmt w:val="bullet"/>
      <w:lvlText w:val=""/>
      <w:lvlJc w:val="left"/>
      <w:pPr>
        <w:ind w:left="720" w:hanging="360"/>
      </w:pPr>
      <w:rPr>
        <w:rFonts w:ascii="Symbol" w:hAnsi="Symbol"/>
      </w:rPr>
    </w:lvl>
    <w:lvl w:ilvl="5" w:tplc="E8A0D120">
      <w:start w:val="1"/>
      <w:numFmt w:val="bullet"/>
      <w:lvlText w:val=""/>
      <w:lvlJc w:val="left"/>
      <w:pPr>
        <w:ind w:left="720" w:hanging="360"/>
      </w:pPr>
      <w:rPr>
        <w:rFonts w:ascii="Symbol" w:hAnsi="Symbol"/>
      </w:rPr>
    </w:lvl>
    <w:lvl w:ilvl="6" w:tplc="3196916A">
      <w:start w:val="1"/>
      <w:numFmt w:val="bullet"/>
      <w:lvlText w:val=""/>
      <w:lvlJc w:val="left"/>
      <w:pPr>
        <w:ind w:left="720" w:hanging="360"/>
      </w:pPr>
      <w:rPr>
        <w:rFonts w:ascii="Symbol" w:hAnsi="Symbol"/>
      </w:rPr>
    </w:lvl>
    <w:lvl w:ilvl="7" w:tplc="06BE10B8">
      <w:start w:val="1"/>
      <w:numFmt w:val="bullet"/>
      <w:lvlText w:val=""/>
      <w:lvlJc w:val="left"/>
      <w:pPr>
        <w:ind w:left="720" w:hanging="360"/>
      </w:pPr>
      <w:rPr>
        <w:rFonts w:ascii="Symbol" w:hAnsi="Symbol"/>
      </w:rPr>
    </w:lvl>
    <w:lvl w:ilvl="8" w:tplc="B234E06C">
      <w:start w:val="1"/>
      <w:numFmt w:val="bullet"/>
      <w:lvlText w:val=""/>
      <w:lvlJc w:val="left"/>
      <w:pPr>
        <w:ind w:left="720" w:hanging="360"/>
      </w:pPr>
      <w:rPr>
        <w:rFonts w:ascii="Symbol" w:hAnsi="Symbol"/>
      </w:rPr>
    </w:lvl>
  </w:abstractNum>
  <w:abstractNum w:abstractNumId="187" w15:restartNumberingAfterBreak="0">
    <w:nsid w:val="57D2526B"/>
    <w:multiLevelType w:val="hybridMultilevel"/>
    <w:tmpl w:val="10862524"/>
    <w:lvl w:ilvl="0" w:tplc="3B9E8284">
      <w:start w:val="1"/>
      <w:numFmt w:val="bullet"/>
      <w:lvlText w:val=""/>
      <w:lvlJc w:val="left"/>
      <w:pPr>
        <w:ind w:left="2160" w:hanging="360"/>
      </w:pPr>
      <w:rPr>
        <w:rFonts w:ascii="Symbol" w:hAnsi="Symbol"/>
      </w:rPr>
    </w:lvl>
    <w:lvl w:ilvl="1" w:tplc="6B0061C8">
      <w:start w:val="1"/>
      <w:numFmt w:val="bullet"/>
      <w:lvlText w:val=""/>
      <w:lvlJc w:val="left"/>
      <w:pPr>
        <w:ind w:left="2160" w:hanging="360"/>
      </w:pPr>
      <w:rPr>
        <w:rFonts w:ascii="Symbol" w:hAnsi="Symbol"/>
      </w:rPr>
    </w:lvl>
    <w:lvl w:ilvl="2" w:tplc="A8EE2936">
      <w:start w:val="1"/>
      <w:numFmt w:val="bullet"/>
      <w:lvlText w:val=""/>
      <w:lvlJc w:val="left"/>
      <w:pPr>
        <w:ind w:left="2160" w:hanging="360"/>
      </w:pPr>
      <w:rPr>
        <w:rFonts w:ascii="Symbol" w:hAnsi="Symbol"/>
      </w:rPr>
    </w:lvl>
    <w:lvl w:ilvl="3" w:tplc="5852D08C">
      <w:start w:val="1"/>
      <w:numFmt w:val="bullet"/>
      <w:lvlText w:val=""/>
      <w:lvlJc w:val="left"/>
      <w:pPr>
        <w:ind w:left="2160" w:hanging="360"/>
      </w:pPr>
      <w:rPr>
        <w:rFonts w:ascii="Symbol" w:hAnsi="Symbol"/>
      </w:rPr>
    </w:lvl>
    <w:lvl w:ilvl="4" w:tplc="0FD26DA4">
      <w:start w:val="1"/>
      <w:numFmt w:val="bullet"/>
      <w:lvlText w:val=""/>
      <w:lvlJc w:val="left"/>
      <w:pPr>
        <w:ind w:left="2160" w:hanging="360"/>
      </w:pPr>
      <w:rPr>
        <w:rFonts w:ascii="Symbol" w:hAnsi="Symbol"/>
      </w:rPr>
    </w:lvl>
    <w:lvl w:ilvl="5" w:tplc="B534384C">
      <w:start w:val="1"/>
      <w:numFmt w:val="bullet"/>
      <w:lvlText w:val=""/>
      <w:lvlJc w:val="left"/>
      <w:pPr>
        <w:ind w:left="2160" w:hanging="360"/>
      </w:pPr>
      <w:rPr>
        <w:rFonts w:ascii="Symbol" w:hAnsi="Symbol"/>
      </w:rPr>
    </w:lvl>
    <w:lvl w:ilvl="6" w:tplc="0F7A13A6">
      <w:start w:val="1"/>
      <w:numFmt w:val="bullet"/>
      <w:lvlText w:val=""/>
      <w:lvlJc w:val="left"/>
      <w:pPr>
        <w:ind w:left="2160" w:hanging="360"/>
      </w:pPr>
      <w:rPr>
        <w:rFonts w:ascii="Symbol" w:hAnsi="Symbol"/>
      </w:rPr>
    </w:lvl>
    <w:lvl w:ilvl="7" w:tplc="313E8FB2">
      <w:start w:val="1"/>
      <w:numFmt w:val="bullet"/>
      <w:lvlText w:val=""/>
      <w:lvlJc w:val="left"/>
      <w:pPr>
        <w:ind w:left="2160" w:hanging="360"/>
      </w:pPr>
      <w:rPr>
        <w:rFonts w:ascii="Symbol" w:hAnsi="Symbol"/>
      </w:rPr>
    </w:lvl>
    <w:lvl w:ilvl="8" w:tplc="110AF8C0">
      <w:start w:val="1"/>
      <w:numFmt w:val="bullet"/>
      <w:lvlText w:val=""/>
      <w:lvlJc w:val="left"/>
      <w:pPr>
        <w:ind w:left="2160" w:hanging="360"/>
      </w:pPr>
      <w:rPr>
        <w:rFonts w:ascii="Symbol" w:hAnsi="Symbol"/>
      </w:rPr>
    </w:lvl>
  </w:abstractNum>
  <w:abstractNum w:abstractNumId="188" w15:restartNumberingAfterBreak="0">
    <w:nsid w:val="57E94B35"/>
    <w:multiLevelType w:val="hybridMultilevel"/>
    <w:tmpl w:val="E02C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57FF2882"/>
    <w:multiLevelType w:val="hybridMultilevel"/>
    <w:tmpl w:val="45BA4614"/>
    <w:lvl w:ilvl="0" w:tplc="21BE014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859" w:hanging="180"/>
      </w:pPr>
    </w:lvl>
    <w:lvl w:ilvl="3" w:tplc="0409000F" w:tentative="1">
      <w:start w:val="1"/>
      <w:numFmt w:val="decimal"/>
      <w:lvlText w:val="%4."/>
      <w:lvlJc w:val="left"/>
      <w:pPr>
        <w:ind w:left="3579" w:hanging="360"/>
      </w:pPr>
    </w:lvl>
    <w:lvl w:ilvl="4" w:tplc="04090019" w:tentative="1">
      <w:start w:val="1"/>
      <w:numFmt w:val="lowerLetter"/>
      <w:lvlText w:val="%5."/>
      <w:lvlJc w:val="left"/>
      <w:pPr>
        <w:ind w:left="4299" w:hanging="360"/>
      </w:pPr>
    </w:lvl>
    <w:lvl w:ilvl="5" w:tplc="0409001B" w:tentative="1">
      <w:start w:val="1"/>
      <w:numFmt w:val="lowerRoman"/>
      <w:lvlText w:val="%6."/>
      <w:lvlJc w:val="right"/>
      <w:pPr>
        <w:ind w:left="5019" w:hanging="180"/>
      </w:pPr>
    </w:lvl>
    <w:lvl w:ilvl="6" w:tplc="0409000F" w:tentative="1">
      <w:start w:val="1"/>
      <w:numFmt w:val="decimal"/>
      <w:lvlText w:val="%7."/>
      <w:lvlJc w:val="left"/>
      <w:pPr>
        <w:ind w:left="5739" w:hanging="360"/>
      </w:pPr>
    </w:lvl>
    <w:lvl w:ilvl="7" w:tplc="04090019" w:tentative="1">
      <w:start w:val="1"/>
      <w:numFmt w:val="lowerLetter"/>
      <w:lvlText w:val="%8."/>
      <w:lvlJc w:val="left"/>
      <w:pPr>
        <w:ind w:left="6459" w:hanging="360"/>
      </w:pPr>
    </w:lvl>
    <w:lvl w:ilvl="8" w:tplc="0409001B" w:tentative="1">
      <w:start w:val="1"/>
      <w:numFmt w:val="lowerRoman"/>
      <w:lvlText w:val="%9."/>
      <w:lvlJc w:val="right"/>
      <w:pPr>
        <w:ind w:left="7179" w:hanging="180"/>
      </w:pPr>
    </w:lvl>
  </w:abstractNum>
  <w:abstractNum w:abstractNumId="190" w15:restartNumberingAfterBreak="0">
    <w:nsid w:val="593920E1"/>
    <w:multiLevelType w:val="hybridMultilevel"/>
    <w:tmpl w:val="2628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5AE436DF"/>
    <w:multiLevelType w:val="hybridMultilevel"/>
    <w:tmpl w:val="C1765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2" w15:restartNumberingAfterBreak="0">
    <w:nsid w:val="5BE10B5B"/>
    <w:multiLevelType w:val="hybridMultilevel"/>
    <w:tmpl w:val="AC803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5C462440"/>
    <w:multiLevelType w:val="hybridMultilevel"/>
    <w:tmpl w:val="4C525604"/>
    <w:lvl w:ilvl="0" w:tplc="3A760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15:restartNumberingAfterBreak="0">
    <w:nsid w:val="5CC719EF"/>
    <w:multiLevelType w:val="multilevel"/>
    <w:tmpl w:val="446094C4"/>
    <w:lvl w:ilvl="0">
      <w:start w:val="8"/>
      <w:numFmt w:val="decimal"/>
      <w:lvlText w:val="%1"/>
      <w:lvlJc w:val="left"/>
      <w:pPr>
        <w:ind w:left="1560" w:hanging="721"/>
      </w:pPr>
      <w:rPr>
        <w:rFonts w:hint="default"/>
      </w:rPr>
    </w:lvl>
    <w:lvl w:ilvl="1">
      <w:start w:val="1"/>
      <w:numFmt w:val="decimal"/>
      <w:lvlText w:val="%1.%2"/>
      <w:lvlJc w:val="left"/>
      <w:pPr>
        <w:ind w:left="1560" w:hanging="721"/>
        <w:jc w:val="right"/>
      </w:pPr>
      <w:rPr>
        <w:rFonts w:ascii="Times New Roman" w:eastAsia="Times New Roman" w:hAnsi="Times New Roman" w:hint="default"/>
        <w:b/>
        <w:bCs/>
        <w:sz w:val="22"/>
        <w:szCs w:val="22"/>
      </w:rPr>
    </w:lvl>
    <w:lvl w:ilvl="2">
      <w:start w:val="1"/>
      <w:numFmt w:val="decimal"/>
      <w:lvlText w:val="%1.%2.%3"/>
      <w:lvlJc w:val="left"/>
      <w:pPr>
        <w:ind w:left="2280" w:hanging="721"/>
      </w:pPr>
      <w:rPr>
        <w:rFonts w:ascii="Times New Roman" w:eastAsia="Times New Roman" w:hAnsi="Times New Roman" w:hint="default"/>
        <w:b/>
        <w:bCs/>
        <w:sz w:val="22"/>
        <w:szCs w:val="22"/>
      </w:rPr>
    </w:lvl>
    <w:lvl w:ilvl="3">
      <w:start w:val="1"/>
      <w:numFmt w:val="bullet"/>
      <w:lvlText w:val=""/>
      <w:lvlJc w:val="left"/>
      <w:pPr>
        <w:ind w:left="1967" w:hanging="308"/>
      </w:pPr>
      <w:rPr>
        <w:rFonts w:ascii="Wingdings" w:eastAsia="Wingdings" w:hAnsi="Wingdings" w:hint="default"/>
        <w:sz w:val="22"/>
        <w:szCs w:val="22"/>
      </w:rPr>
    </w:lvl>
    <w:lvl w:ilvl="4">
      <w:start w:val="1"/>
      <w:numFmt w:val="bullet"/>
      <w:lvlText w:val="•"/>
      <w:lvlJc w:val="left"/>
      <w:pPr>
        <w:ind w:left="3428" w:hanging="308"/>
      </w:pPr>
      <w:rPr>
        <w:rFonts w:hint="default"/>
      </w:rPr>
    </w:lvl>
    <w:lvl w:ilvl="5">
      <w:start w:val="1"/>
      <w:numFmt w:val="bullet"/>
      <w:lvlText w:val="•"/>
      <w:lvlJc w:val="left"/>
      <w:pPr>
        <w:ind w:left="4577" w:hanging="308"/>
      </w:pPr>
      <w:rPr>
        <w:rFonts w:hint="default"/>
      </w:rPr>
    </w:lvl>
    <w:lvl w:ilvl="6">
      <w:start w:val="1"/>
      <w:numFmt w:val="bullet"/>
      <w:lvlText w:val="•"/>
      <w:lvlJc w:val="left"/>
      <w:pPr>
        <w:ind w:left="5725" w:hanging="308"/>
      </w:pPr>
      <w:rPr>
        <w:rFonts w:hint="default"/>
      </w:rPr>
    </w:lvl>
    <w:lvl w:ilvl="7">
      <w:start w:val="1"/>
      <w:numFmt w:val="bullet"/>
      <w:lvlText w:val="•"/>
      <w:lvlJc w:val="left"/>
      <w:pPr>
        <w:ind w:left="6874" w:hanging="308"/>
      </w:pPr>
      <w:rPr>
        <w:rFonts w:hint="default"/>
      </w:rPr>
    </w:lvl>
    <w:lvl w:ilvl="8">
      <w:start w:val="1"/>
      <w:numFmt w:val="bullet"/>
      <w:lvlText w:val="•"/>
      <w:lvlJc w:val="left"/>
      <w:pPr>
        <w:ind w:left="8022" w:hanging="308"/>
      </w:pPr>
      <w:rPr>
        <w:rFonts w:hint="default"/>
      </w:rPr>
    </w:lvl>
  </w:abstractNum>
  <w:abstractNum w:abstractNumId="195" w15:restartNumberingAfterBreak="0">
    <w:nsid w:val="5DCF1F8A"/>
    <w:multiLevelType w:val="hybridMultilevel"/>
    <w:tmpl w:val="57FCBEC0"/>
    <w:lvl w:ilvl="0" w:tplc="04090019">
      <w:start w:val="1"/>
      <w:numFmt w:val="lowerLetter"/>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96" w15:restartNumberingAfterBreak="0">
    <w:nsid w:val="5DFB3B76"/>
    <w:multiLevelType w:val="hybridMultilevel"/>
    <w:tmpl w:val="C2C80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5E4C5C2D"/>
    <w:multiLevelType w:val="hybridMultilevel"/>
    <w:tmpl w:val="F9FE1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5E8D1D0A"/>
    <w:multiLevelType w:val="hybridMultilevel"/>
    <w:tmpl w:val="7CECD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5F2F46F5"/>
    <w:multiLevelType w:val="multilevel"/>
    <w:tmpl w:val="D1A8C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60671B57"/>
    <w:multiLevelType w:val="hybridMultilevel"/>
    <w:tmpl w:val="3F60C5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1" w15:restartNumberingAfterBreak="0">
    <w:nsid w:val="60ED3EC4"/>
    <w:multiLevelType w:val="hybridMultilevel"/>
    <w:tmpl w:val="5C405EE4"/>
    <w:lvl w:ilvl="0" w:tplc="AF9C9FEC">
      <w:start w:val="1"/>
      <w:numFmt w:val="bullet"/>
      <w:lvlText w:val=""/>
      <w:lvlJc w:val="left"/>
      <w:pPr>
        <w:ind w:left="720" w:hanging="360"/>
      </w:pPr>
      <w:rPr>
        <w:rFonts w:ascii="Symbol" w:hAnsi="Symbol"/>
      </w:rPr>
    </w:lvl>
    <w:lvl w:ilvl="1" w:tplc="CF744B88">
      <w:start w:val="1"/>
      <w:numFmt w:val="bullet"/>
      <w:lvlText w:val=""/>
      <w:lvlJc w:val="left"/>
      <w:pPr>
        <w:ind w:left="720" w:hanging="360"/>
      </w:pPr>
      <w:rPr>
        <w:rFonts w:ascii="Symbol" w:hAnsi="Symbol"/>
      </w:rPr>
    </w:lvl>
    <w:lvl w:ilvl="2" w:tplc="0CFECDF4">
      <w:start w:val="1"/>
      <w:numFmt w:val="bullet"/>
      <w:lvlText w:val=""/>
      <w:lvlJc w:val="left"/>
      <w:pPr>
        <w:ind w:left="720" w:hanging="360"/>
      </w:pPr>
      <w:rPr>
        <w:rFonts w:ascii="Symbol" w:hAnsi="Symbol"/>
      </w:rPr>
    </w:lvl>
    <w:lvl w:ilvl="3" w:tplc="860611A0">
      <w:start w:val="1"/>
      <w:numFmt w:val="bullet"/>
      <w:lvlText w:val=""/>
      <w:lvlJc w:val="left"/>
      <w:pPr>
        <w:ind w:left="720" w:hanging="360"/>
      </w:pPr>
      <w:rPr>
        <w:rFonts w:ascii="Symbol" w:hAnsi="Symbol"/>
      </w:rPr>
    </w:lvl>
    <w:lvl w:ilvl="4" w:tplc="634A8BE0">
      <w:start w:val="1"/>
      <w:numFmt w:val="bullet"/>
      <w:lvlText w:val=""/>
      <w:lvlJc w:val="left"/>
      <w:pPr>
        <w:ind w:left="720" w:hanging="360"/>
      </w:pPr>
      <w:rPr>
        <w:rFonts w:ascii="Symbol" w:hAnsi="Symbol"/>
      </w:rPr>
    </w:lvl>
    <w:lvl w:ilvl="5" w:tplc="B9686DB4">
      <w:start w:val="1"/>
      <w:numFmt w:val="bullet"/>
      <w:lvlText w:val=""/>
      <w:lvlJc w:val="left"/>
      <w:pPr>
        <w:ind w:left="720" w:hanging="360"/>
      </w:pPr>
      <w:rPr>
        <w:rFonts w:ascii="Symbol" w:hAnsi="Symbol"/>
      </w:rPr>
    </w:lvl>
    <w:lvl w:ilvl="6" w:tplc="FC18E5EA">
      <w:start w:val="1"/>
      <w:numFmt w:val="bullet"/>
      <w:lvlText w:val=""/>
      <w:lvlJc w:val="left"/>
      <w:pPr>
        <w:ind w:left="720" w:hanging="360"/>
      </w:pPr>
      <w:rPr>
        <w:rFonts w:ascii="Symbol" w:hAnsi="Symbol"/>
      </w:rPr>
    </w:lvl>
    <w:lvl w:ilvl="7" w:tplc="F76EE9FA">
      <w:start w:val="1"/>
      <w:numFmt w:val="bullet"/>
      <w:lvlText w:val=""/>
      <w:lvlJc w:val="left"/>
      <w:pPr>
        <w:ind w:left="720" w:hanging="360"/>
      </w:pPr>
      <w:rPr>
        <w:rFonts w:ascii="Symbol" w:hAnsi="Symbol"/>
      </w:rPr>
    </w:lvl>
    <w:lvl w:ilvl="8" w:tplc="B262DCBA">
      <w:start w:val="1"/>
      <w:numFmt w:val="bullet"/>
      <w:lvlText w:val=""/>
      <w:lvlJc w:val="left"/>
      <w:pPr>
        <w:ind w:left="720" w:hanging="360"/>
      </w:pPr>
      <w:rPr>
        <w:rFonts w:ascii="Symbol" w:hAnsi="Symbol"/>
      </w:rPr>
    </w:lvl>
  </w:abstractNum>
  <w:abstractNum w:abstractNumId="202" w15:restartNumberingAfterBreak="0">
    <w:nsid w:val="61EC541B"/>
    <w:multiLevelType w:val="hybridMultilevel"/>
    <w:tmpl w:val="CC4C2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62232A8E"/>
    <w:multiLevelType w:val="multilevel"/>
    <w:tmpl w:val="FB00CEAA"/>
    <w:lvl w:ilvl="0">
      <w:start w:val="1"/>
      <w:numFmt w:val="bullet"/>
      <w:lvlText w:val=""/>
      <w:lvlJc w:val="left"/>
      <w:pPr>
        <w:tabs>
          <w:tab w:val="num" w:pos="1440"/>
        </w:tabs>
        <w:ind w:left="1440" w:hanging="720"/>
      </w:pPr>
      <w:rPr>
        <w:rFonts w:ascii="Symbol" w:hAnsi="Symbol" w:hint="default"/>
        <w:color w:val="auto"/>
        <w:sz w:val="22"/>
      </w:rPr>
    </w:lvl>
    <w:lvl w:ilvl="1">
      <w:start w:val="1"/>
      <w:numFmt w:val="bullet"/>
      <w:lvlText w:val="o"/>
      <w:lvlJc w:val="left"/>
      <w:pPr>
        <w:tabs>
          <w:tab w:val="num" w:pos="2160"/>
        </w:tabs>
        <w:ind w:left="2160" w:hanging="720"/>
      </w:pPr>
      <w:rPr>
        <w:rFonts w:ascii="Courier New" w:hAnsi="Courier New" w:cs="Courier New" w:hint="default"/>
        <w:color w:val="auto"/>
      </w:rPr>
    </w:lvl>
    <w:lvl w:ilvl="2">
      <w:start w:val="1"/>
      <w:numFmt w:val="bullet"/>
      <w:lvlText w:val=""/>
      <w:lvlJc w:val="left"/>
      <w:pPr>
        <w:tabs>
          <w:tab w:val="num" w:pos="2880"/>
        </w:tabs>
        <w:ind w:left="2880" w:hanging="720"/>
      </w:pPr>
      <w:rPr>
        <w:rFonts w:ascii="Symbol" w:hAnsi="Symbol" w:hint="default"/>
      </w:rPr>
    </w:lvl>
    <w:lvl w:ilvl="3">
      <w:start w:val="1"/>
      <w:numFmt w:val="bullet"/>
      <w:lvlText w:val=""/>
      <w:lvlJc w:val="left"/>
      <w:pPr>
        <w:tabs>
          <w:tab w:val="num" w:pos="3600"/>
        </w:tabs>
        <w:ind w:left="3600" w:hanging="720"/>
      </w:pPr>
      <w:rPr>
        <w:rFonts w:ascii="Symbol" w:hAnsi="Symbol" w:hint="default"/>
        <w:color w:val="auto"/>
      </w:rPr>
    </w:lvl>
    <w:lvl w:ilvl="4">
      <w:start w:val="1"/>
      <w:numFmt w:val="bullet"/>
      <w:lvlText w:val=""/>
      <w:lvlJc w:val="left"/>
      <w:pPr>
        <w:tabs>
          <w:tab w:val="num" w:pos="4320"/>
        </w:tabs>
        <w:ind w:left="4320" w:hanging="720"/>
      </w:pPr>
      <w:rPr>
        <w:rFonts w:ascii="Symbol" w:hAnsi="Symbol" w:hint="default"/>
      </w:rPr>
    </w:lvl>
    <w:lvl w:ilvl="5">
      <w:start w:val="1"/>
      <w:numFmt w:val="bullet"/>
      <w:lvlText w:val=""/>
      <w:lvlJc w:val="left"/>
      <w:pPr>
        <w:tabs>
          <w:tab w:val="num" w:pos="5040"/>
        </w:tabs>
        <w:ind w:left="5040" w:hanging="720"/>
      </w:pPr>
      <w:rPr>
        <w:rFonts w:ascii="Symbol" w:hAnsi="Symbol" w:hint="default"/>
      </w:rPr>
    </w:lvl>
    <w:lvl w:ilvl="6">
      <w:start w:val="1"/>
      <w:numFmt w:val="bullet"/>
      <w:lvlText w:val=""/>
      <w:lvlJc w:val="left"/>
      <w:pPr>
        <w:tabs>
          <w:tab w:val="num" w:pos="5760"/>
        </w:tabs>
        <w:ind w:left="5760" w:hanging="720"/>
      </w:pPr>
      <w:rPr>
        <w:rFonts w:ascii="Symbol" w:hAnsi="Symbol" w:hint="default"/>
        <w:sz w:val="22"/>
      </w:rPr>
    </w:lvl>
    <w:lvl w:ilvl="7">
      <w:start w:val="1"/>
      <w:numFmt w:val="bullet"/>
      <w:lvlText w:val=""/>
      <w:lvlJc w:val="left"/>
      <w:pPr>
        <w:tabs>
          <w:tab w:val="num" w:pos="6480"/>
        </w:tabs>
        <w:ind w:left="6480" w:hanging="720"/>
      </w:pPr>
      <w:rPr>
        <w:rFonts w:ascii="Symbol" w:hAnsi="Symbol" w:hint="default"/>
      </w:rPr>
    </w:lvl>
    <w:lvl w:ilvl="8">
      <w:start w:val="1"/>
      <w:numFmt w:val="bullet"/>
      <w:lvlText w:val=""/>
      <w:lvlJc w:val="left"/>
      <w:pPr>
        <w:tabs>
          <w:tab w:val="num" w:pos="7200"/>
        </w:tabs>
        <w:ind w:left="7200" w:hanging="720"/>
      </w:pPr>
      <w:rPr>
        <w:rFonts w:ascii="Symbol" w:hAnsi="Symbol" w:hint="default"/>
      </w:rPr>
    </w:lvl>
  </w:abstractNum>
  <w:abstractNum w:abstractNumId="204" w15:restartNumberingAfterBreak="0">
    <w:nsid w:val="62663A47"/>
    <w:multiLevelType w:val="hybridMultilevel"/>
    <w:tmpl w:val="834C5E2E"/>
    <w:lvl w:ilvl="0" w:tplc="B8ECA9B2">
      <w:start w:val="1"/>
      <w:numFmt w:val="upp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205" w15:restartNumberingAfterBreak="0">
    <w:nsid w:val="62A46A0A"/>
    <w:multiLevelType w:val="hybridMultilevel"/>
    <w:tmpl w:val="9EF470FE"/>
    <w:lvl w:ilvl="0" w:tplc="23480864">
      <w:start w:val="1"/>
      <w:numFmt w:val="bullet"/>
      <w:lvlText w:val=""/>
      <w:lvlJc w:val="left"/>
      <w:pPr>
        <w:ind w:left="2040" w:hanging="360"/>
      </w:pPr>
      <w:rPr>
        <w:rFonts w:ascii="Symbol" w:hAnsi="Symbol"/>
      </w:rPr>
    </w:lvl>
    <w:lvl w:ilvl="1" w:tplc="254C29F0">
      <w:start w:val="1"/>
      <w:numFmt w:val="bullet"/>
      <w:lvlText w:val=""/>
      <w:lvlJc w:val="left"/>
      <w:pPr>
        <w:ind w:left="2040" w:hanging="360"/>
      </w:pPr>
      <w:rPr>
        <w:rFonts w:ascii="Symbol" w:hAnsi="Symbol"/>
      </w:rPr>
    </w:lvl>
    <w:lvl w:ilvl="2" w:tplc="1FC8ABC0">
      <w:start w:val="1"/>
      <w:numFmt w:val="bullet"/>
      <w:lvlText w:val=""/>
      <w:lvlJc w:val="left"/>
      <w:pPr>
        <w:ind w:left="2040" w:hanging="360"/>
      </w:pPr>
      <w:rPr>
        <w:rFonts w:ascii="Symbol" w:hAnsi="Symbol"/>
      </w:rPr>
    </w:lvl>
    <w:lvl w:ilvl="3" w:tplc="856E5B70">
      <w:start w:val="1"/>
      <w:numFmt w:val="bullet"/>
      <w:lvlText w:val=""/>
      <w:lvlJc w:val="left"/>
      <w:pPr>
        <w:ind w:left="2040" w:hanging="360"/>
      </w:pPr>
      <w:rPr>
        <w:rFonts w:ascii="Symbol" w:hAnsi="Symbol"/>
      </w:rPr>
    </w:lvl>
    <w:lvl w:ilvl="4" w:tplc="6B82CD5A">
      <w:start w:val="1"/>
      <w:numFmt w:val="bullet"/>
      <w:lvlText w:val=""/>
      <w:lvlJc w:val="left"/>
      <w:pPr>
        <w:ind w:left="2040" w:hanging="360"/>
      </w:pPr>
      <w:rPr>
        <w:rFonts w:ascii="Symbol" w:hAnsi="Symbol"/>
      </w:rPr>
    </w:lvl>
    <w:lvl w:ilvl="5" w:tplc="A4A48F28">
      <w:start w:val="1"/>
      <w:numFmt w:val="bullet"/>
      <w:lvlText w:val=""/>
      <w:lvlJc w:val="left"/>
      <w:pPr>
        <w:ind w:left="2040" w:hanging="360"/>
      </w:pPr>
      <w:rPr>
        <w:rFonts w:ascii="Symbol" w:hAnsi="Symbol"/>
      </w:rPr>
    </w:lvl>
    <w:lvl w:ilvl="6" w:tplc="6EECB28E">
      <w:start w:val="1"/>
      <w:numFmt w:val="bullet"/>
      <w:lvlText w:val=""/>
      <w:lvlJc w:val="left"/>
      <w:pPr>
        <w:ind w:left="2040" w:hanging="360"/>
      </w:pPr>
      <w:rPr>
        <w:rFonts w:ascii="Symbol" w:hAnsi="Symbol"/>
      </w:rPr>
    </w:lvl>
    <w:lvl w:ilvl="7" w:tplc="6A026370">
      <w:start w:val="1"/>
      <w:numFmt w:val="bullet"/>
      <w:lvlText w:val=""/>
      <w:lvlJc w:val="left"/>
      <w:pPr>
        <w:ind w:left="2040" w:hanging="360"/>
      </w:pPr>
      <w:rPr>
        <w:rFonts w:ascii="Symbol" w:hAnsi="Symbol"/>
      </w:rPr>
    </w:lvl>
    <w:lvl w:ilvl="8" w:tplc="4CE2DE40">
      <w:start w:val="1"/>
      <w:numFmt w:val="bullet"/>
      <w:lvlText w:val=""/>
      <w:lvlJc w:val="left"/>
      <w:pPr>
        <w:ind w:left="2040" w:hanging="360"/>
      </w:pPr>
      <w:rPr>
        <w:rFonts w:ascii="Symbol" w:hAnsi="Symbol"/>
      </w:rPr>
    </w:lvl>
  </w:abstractNum>
  <w:abstractNum w:abstractNumId="206" w15:restartNumberingAfterBreak="0">
    <w:nsid w:val="6358637F"/>
    <w:multiLevelType w:val="hybridMultilevel"/>
    <w:tmpl w:val="59822F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635F75B3"/>
    <w:multiLevelType w:val="hybridMultilevel"/>
    <w:tmpl w:val="596E6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63FC16E3"/>
    <w:multiLevelType w:val="hybridMultilevel"/>
    <w:tmpl w:val="673AB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64920F83"/>
    <w:multiLevelType w:val="hybridMultilevel"/>
    <w:tmpl w:val="683C31B6"/>
    <w:lvl w:ilvl="0" w:tplc="7B642A92">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0" w15:restartNumberingAfterBreak="0">
    <w:nsid w:val="64D463F5"/>
    <w:multiLevelType w:val="hybridMultilevel"/>
    <w:tmpl w:val="9FBE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65507A9B"/>
    <w:multiLevelType w:val="hybridMultilevel"/>
    <w:tmpl w:val="DFDA5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657A3A40"/>
    <w:multiLevelType w:val="hybridMultilevel"/>
    <w:tmpl w:val="C784C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65FA7B95"/>
    <w:multiLevelType w:val="hybridMultilevel"/>
    <w:tmpl w:val="ABB6F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4" w15:restartNumberingAfterBreak="0">
    <w:nsid w:val="67847DB2"/>
    <w:multiLevelType w:val="hybridMultilevel"/>
    <w:tmpl w:val="C6182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67A734FD"/>
    <w:multiLevelType w:val="hybridMultilevel"/>
    <w:tmpl w:val="DF0A1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67AA231E"/>
    <w:multiLevelType w:val="hybridMultilevel"/>
    <w:tmpl w:val="E95AA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68A26004"/>
    <w:multiLevelType w:val="hybridMultilevel"/>
    <w:tmpl w:val="8BBE9220"/>
    <w:lvl w:ilvl="0" w:tplc="7D9A0E0A">
      <w:start w:val="1"/>
      <w:numFmt w:val="bullet"/>
      <w:lvlText w:val=""/>
      <w:lvlJc w:val="left"/>
      <w:pPr>
        <w:ind w:left="2040" w:hanging="360"/>
      </w:pPr>
      <w:rPr>
        <w:rFonts w:ascii="Symbol" w:hAnsi="Symbol"/>
      </w:rPr>
    </w:lvl>
    <w:lvl w:ilvl="1" w:tplc="EEE0C602">
      <w:start w:val="1"/>
      <w:numFmt w:val="bullet"/>
      <w:lvlText w:val=""/>
      <w:lvlJc w:val="left"/>
      <w:pPr>
        <w:ind w:left="2040" w:hanging="360"/>
      </w:pPr>
      <w:rPr>
        <w:rFonts w:ascii="Symbol" w:hAnsi="Symbol"/>
      </w:rPr>
    </w:lvl>
    <w:lvl w:ilvl="2" w:tplc="F830EEAC">
      <w:start w:val="1"/>
      <w:numFmt w:val="bullet"/>
      <w:lvlText w:val=""/>
      <w:lvlJc w:val="left"/>
      <w:pPr>
        <w:ind w:left="2040" w:hanging="360"/>
      </w:pPr>
      <w:rPr>
        <w:rFonts w:ascii="Symbol" w:hAnsi="Symbol"/>
      </w:rPr>
    </w:lvl>
    <w:lvl w:ilvl="3" w:tplc="C0AC3EE2">
      <w:start w:val="1"/>
      <w:numFmt w:val="bullet"/>
      <w:lvlText w:val=""/>
      <w:lvlJc w:val="left"/>
      <w:pPr>
        <w:ind w:left="2040" w:hanging="360"/>
      </w:pPr>
      <w:rPr>
        <w:rFonts w:ascii="Symbol" w:hAnsi="Symbol"/>
      </w:rPr>
    </w:lvl>
    <w:lvl w:ilvl="4" w:tplc="B5BA3DC2">
      <w:start w:val="1"/>
      <w:numFmt w:val="bullet"/>
      <w:lvlText w:val=""/>
      <w:lvlJc w:val="left"/>
      <w:pPr>
        <w:ind w:left="2040" w:hanging="360"/>
      </w:pPr>
      <w:rPr>
        <w:rFonts w:ascii="Symbol" w:hAnsi="Symbol"/>
      </w:rPr>
    </w:lvl>
    <w:lvl w:ilvl="5" w:tplc="AA24B032">
      <w:start w:val="1"/>
      <w:numFmt w:val="bullet"/>
      <w:lvlText w:val=""/>
      <w:lvlJc w:val="left"/>
      <w:pPr>
        <w:ind w:left="2040" w:hanging="360"/>
      </w:pPr>
      <w:rPr>
        <w:rFonts w:ascii="Symbol" w:hAnsi="Symbol"/>
      </w:rPr>
    </w:lvl>
    <w:lvl w:ilvl="6" w:tplc="10C251CE">
      <w:start w:val="1"/>
      <w:numFmt w:val="bullet"/>
      <w:lvlText w:val=""/>
      <w:lvlJc w:val="left"/>
      <w:pPr>
        <w:ind w:left="2040" w:hanging="360"/>
      </w:pPr>
      <w:rPr>
        <w:rFonts w:ascii="Symbol" w:hAnsi="Symbol"/>
      </w:rPr>
    </w:lvl>
    <w:lvl w:ilvl="7" w:tplc="D2C0C2D4">
      <w:start w:val="1"/>
      <w:numFmt w:val="bullet"/>
      <w:lvlText w:val=""/>
      <w:lvlJc w:val="left"/>
      <w:pPr>
        <w:ind w:left="2040" w:hanging="360"/>
      </w:pPr>
      <w:rPr>
        <w:rFonts w:ascii="Symbol" w:hAnsi="Symbol"/>
      </w:rPr>
    </w:lvl>
    <w:lvl w:ilvl="8" w:tplc="E6B6951A">
      <w:start w:val="1"/>
      <w:numFmt w:val="bullet"/>
      <w:lvlText w:val=""/>
      <w:lvlJc w:val="left"/>
      <w:pPr>
        <w:ind w:left="2040" w:hanging="360"/>
      </w:pPr>
      <w:rPr>
        <w:rFonts w:ascii="Symbol" w:hAnsi="Symbol"/>
      </w:rPr>
    </w:lvl>
  </w:abstractNum>
  <w:abstractNum w:abstractNumId="218" w15:restartNumberingAfterBreak="0">
    <w:nsid w:val="68F36F0D"/>
    <w:multiLevelType w:val="hybridMultilevel"/>
    <w:tmpl w:val="0916F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9" w15:restartNumberingAfterBreak="0">
    <w:nsid w:val="697046FB"/>
    <w:multiLevelType w:val="hybridMultilevel"/>
    <w:tmpl w:val="B35A1318"/>
    <w:lvl w:ilvl="0" w:tplc="005E6D92">
      <w:start w:val="1"/>
      <w:numFmt w:val="bullet"/>
      <w:lvlText w:val=""/>
      <w:lvlJc w:val="left"/>
      <w:pPr>
        <w:ind w:left="351" w:hanging="252"/>
      </w:pPr>
      <w:rPr>
        <w:rFonts w:ascii="Wingdings" w:eastAsia="Wingdings" w:hAnsi="Wingdings" w:hint="default"/>
        <w:sz w:val="22"/>
        <w:szCs w:val="22"/>
      </w:rPr>
    </w:lvl>
    <w:lvl w:ilvl="1" w:tplc="09962410">
      <w:start w:val="1"/>
      <w:numFmt w:val="bullet"/>
      <w:lvlText w:val="•"/>
      <w:lvlJc w:val="left"/>
      <w:pPr>
        <w:ind w:left="493" w:hanging="252"/>
      </w:pPr>
      <w:rPr>
        <w:rFonts w:hint="default"/>
      </w:rPr>
    </w:lvl>
    <w:lvl w:ilvl="2" w:tplc="BF826DD8">
      <w:start w:val="1"/>
      <w:numFmt w:val="bullet"/>
      <w:lvlText w:val="•"/>
      <w:lvlJc w:val="left"/>
      <w:pPr>
        <w:ind w:left="635" w:hanging="252"/>
      </w:pPr>
      <w:rPr>
        <w:rFonts w:hint="default"/>
      </w:rPr>
    </w:lvl>
    <w:lvl w:ilvl="3" w:tplc="68109AF8">
      <w:start w:val="1"/>
      <w:numFmt w:val="bullet"/>
      <w:lvlText w:val="•"/>
      <w:lvlJc w:val="left"/>
      <w:pPr>
        <w:ind w:left="776" w:hanging="252"/>
      </w:pPr>
      <w:rPr>
        <w:rFonts w:hint="default"/>
      </w:rPr>
    </w:lvl>
    <w:lvl w:ilvl="4" w:tplc="93349CA6">
      <w:start w:val="1"/>
      <w:numFmt w:val="bullet"/>
      <w:lvlText w:val="•"/>
      <w:lvlJc w:val="left"/>
      <w:pPr>
        <w:ind w:left="918" w:hanging="252"/>
      </w:pPr>
      <w:rPr>
        <w:rFonts w:hint="default"/>
      </w:rPr>
    </w:lvl>
    <w:lvl w:ilvl="5" w:tplc="1C42803C">
      <w:start w:val="1"/>
      <w:numFmt w:val="bullet"/>
      <w:lvlText w:val="•"/>
      <w:lvlJc w:val="left"/>
      <w:pPr>
        <w:ind w:left="1060" w:hanging="252"/>
      </w:pPr>
      <w:rPr>
        <w:rFonts w:hint="default"/>
      </w:rPr>
    </w:lvl>
    <w:lvl w:ilvl="6" w:tplc="0AC6A86C">
      <w:start w:val="1"/>
      <w:numFmt w:val="bullet"/>
      <w:lvlText w:val="•"/>
      <w:lvlJc w:val="left"/>
      <w:pPr>
        <w:ind w:left="1202" w:hanging="252"/>
      </w:pPr>
      <w:rPr>
        <w:rFonts w:hint="default"/>
      </w:rPr>
    </w:lvl>
    <w:lvl w:ilvl="7" w:tplc="B83A14DC">
      <w:start w:val="1"/>
      <w:numFmt w:val="bullet"/>
      <w:lvlText w:val="•"/>
      <w:lvlJc w:val="left"/>
      <w:pPr>
        <w:ind w:left="1343" w:hanging="252"/>
      </w:pPr>
      <w:rPr>
        <w:rFonts w:hint="default"/>
      </w:rPr>
    </w:lvl>
    <w:lvl w:ilvl="8" w:tplc="8896665A">
      <w:start w:val="1"/>
      <w:numFmt w:val="bullet"/>
      <w:lvlText w:val="•"/>
      <w:lvlJc w:val="left"/>
      <w:pPr>
        <w:ind w:left="1485" w:hanging="252"/>
      </w:pPr>
      <w:rPr>
        <w:rFonts w:hint="default"/>
      </w:rPr>
    </w:lvl>
  </w:abstractNum>
  <w:abstractNum w:abstractNumId="220" w15:restartNumberingAfterBreak="0">
    <w:nsid w:val="697740CC"/>
    <w:multiLevelType w:val="hybridMultilevel"/>
    <w:tmpl w:val="3D98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69B22814"/>
    <w:multiLevelType w:val="multilevel"/>
    <w:tmpl w:val="A09C2762"/>
    <w:lvl w:ilvl="0">
      <w:start w:val="5"/>
      <w:numFmt w:val="decimal"/>
      <w:lvlText w:val="%1"/>
      <w:lvlJc w:val="left"/>
      <w:pPr>
        <w:ind w:left="600" w:hanging="600"/>
      </w:pPr>
    </w:lvl>
    <w:lvl w:ilvl="1">
      <w:start w:val="11"/>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2" w15:restartNumberingAfterBreak="0">
    <w:nsid w:val="69D13A81"/>
    <w:multiLevelType w:val="hybridMultilevel"/>
    <w:tmpl w:val="397E294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3" w15:restartNumberingAfterBreak="0">
    <w:nsid w:val="6A5465AE"/>
    <w:multiLevelType w:val="hybridMultilevel"/>
    <w:tmpl w:val="320EB06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4" w15:restartNumberingAfterBreak="0">
    <w:nsid w:val="6A656081"/>
    <w:multiLevelType w:val="hybridMultilevel"/>
    <w:tmpl w:val="791E0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6AC2662F"/>
    <w:multiLevelType w:val="hybridMultilevel"/>
    <w:tmpl w:val="C7443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6" w15:restartNumberingAfterBreak="0">
    <w:nsid w:val="6C1B1D34"/>
    <w:multiLevelType w:val="hybridMultilevel"/>
    <w:tmpl w:val="8662F95A"/>
    <w:lvl w:ilvl="0" w:tplc="758627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6C6C2911"/>
    <w:multiLevelType w:val="multilevel"/>
    <w:tmpl w:val="CE181342"/>
    <w:lvl w:ilvl="0">
      <w:start w:val="5"/>
      <w:numFmt w:val="decimal"/>
      <w:lvlText w:val="%1"/>
      <w:lvlJc w:val="left"/>
      <w:pPr>
        <w:ind w:left="1559" w:hanging="721"/>
      </w:pPr>
      <w:rPr>
        <w:rFonts w:hint="default"/>
      </w:rPr>
    </w:lvl>
    <w:lvl w:ilvl="1">
      <w:start w:val="1"/>
      <w:numFmt w:val="decimal"/>
      <w:lvlText w:val="%1.%2"/>
      <w:lvlJc w:val="left"/>
      <w:pPr>
        <w:ind w:left="1559" w:hanging="721"/>
        <w:jc w:val="right"/>
      </w:pPr>
      <w:rPr>
        <w:rFonts w:ascii="Times New Roman" w:eastAsia="Times New Roman" w:hAnsi="Times New Roman" w:hint="default"/>
        <w:b/>
        <w:bCs/>
        <w:sz w:val="22"/>
        <w:szCs w:val="22"/>
      </w:rPr>
    </w:lvl>
    <w:lvl w:ilvl="2">
      <w:start w:val="1"/>
      <w:numFmt w:val="bullet"/>
      <w:lvlText w:val="•"/>
      <w:lvlJc w:val="left"/>
      <w:pPr>
        <w:ind w:left="3311" w:hanging="721"/>
      </w:pPr>
      <w:rPr>
        <w:rFonts w:hint="default"/>
      </w:rPr>
    </w:lvl>
    <w:lvl w:ilvl="3">
      <w:start w:val="1"/>
      <w:numFmt w:val="bullet"/>
      <w:lvlText w:val="•"/>
      <w:lvlJc w:val="left"/>
      <w:pPr>
        <w:ind w:left="4187" w:hanging="721"/>
      </w:pPr>
      <w:rPr>
        <w:rFonts w:hint="default"/>
      </w:rPr>
    </w:lvl>
    <w:lvl w:ilvl="4">
      <w:start w:val="1"/>
      <w:numFmt w:val="bullet"/>
      <w:lvlText w:val="•"/>
      <w:lvlJc w:val="left"/>
      <w:pPr>
        <w:ind w:left="5063" w:hanging="721"/>
      </w:pPr>
      <w:rPr>
        <w:rFonts w:hint="default"/>
      </w:rPr>
    </w:lvl>
    <w:lvl w:ilvl="5">
      <w:start w:val="1"/>
      <w:numFmt w:val="bullet"/>
      <w:lvlText w:val="•"/>
      <w:lvlJc w:val="left"/>
      <w:pPr>
        <w:ind w:left="5939" w:hanging="721"/>
      </w:pPr>
      <w:rPr>
        <w:rFonts w:hint="default"/>
      </w:rPr>
    </w:lvl>
    <w:lvl w:ilvl="6">
      <w:start w:val="1"/>
      <w:numFmt w:val="bullet"/>
      <w:lvlText w:val="•"/>
      <w:lvlJc w:val="left"/>
      <w:pPr>
        <w:ind w:left="6815" w:hanging="721"/>
      </w:pPr>
      <w:rPr>
        <w:rFonts w:hint="default"/>
      </w:rPr>
    </w:lvl>
    <w:lvl w:ilvl="7">
      <w:start w:val="1"/>
      <w:numFmt w:val="bullet"/>
      <w:lvlText w:val="•"/>
      <w:lvlJc w:val="left"/>
      <w:pPr>
        <w:ind w:left="7691" w:hanging="721"/>
      </w:pPr>
      <w:rPr>
        <w:rFonts w:hint="default"/>
      </w:rPr>
    </w:lvl>
    <w:lvl w:ilvl="8">
      <w:start w:val="1"/>
      <w:numFmt w:val="bullet"/>
      <w:lvlText w:val="•"/>
      <w:lvlJc w:val="left"/>
      <w:pPr>
        <w:ind w:left="8567" w:hanging="721"/>
      </w:pPr>
      <w:rPr>
        <w:rFonts w:hint="default"/>
      </w:rPr>
    </w:lvl>
  </w:abstractNum>
  <w:abstractNum w:abstractNumId="228" w15:restartNumberingAfterBreak="0">
    <w:nsid w:val="6D0C4044"/>
    <w:multiLevelType w:val="hybridMultilevel"/>
    <w:tmpl w:val="7D1C2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6D2D365D"/>
    <w:multiLevelType w:val="hybridMultilevel"/>
    <w:tmpl w:val="740EC6CE"/>
    <w:lvl w:ilvl="0" w:tplc="D0BC6D80">
      <w:start w:val="1"/>
      <w:numFmt w:val="decimal"/>
      <w:lvlText w:val="(%1)"/>
      <w:lvlJc w:val="left"/>
      <w:pPr>
        <w:ind w:left="720" w:hanging="360"/>
      </w:pPr>
      <w:rPr>
        <w:rFonts w:hint="default"/>
      </w:rPr>
    </w:lvl>
    <w:lvl w:ilvl="1" w:tplc="B8D40C80">
      <w:start w:val="1"/>
      <w:numFmt w:val="lowerLetter"/>
      <w:lvlText w:val="%2."/>
      <w:lvlJc w:val="left"/>
      <w:pPr>
        <w:ind w:left="540" w:hanging="360"/>
      </w:pPr>
      <w:rPr>
        <w:b/>
      </w:rPr>
    </w:lvl>
    <w:lvl w:ilvl="2" w:tplc="8722854A">
      <w:start w:val="1"/>
      <w:numFmt w:val="lowerRoman"/>
      <w:lvlText w:val="%3."/>
      <w:lvlJc w:val="right"/>
      <w:pPr>
        <w:ind w:left="900" w:hanging="180"/>
      </w:pPr>
      <w:rPr>
        <w:b/>
      </w:rPr>
    </w:lvl>
    <w:lvl w:ilvl="3" w:tplc="0409000F">
      <w:start w:val="1"/>
      <w:numFmt w:val="decimal"/>
      <w:lvlText w:val="%4."/>
      <w:lvlJc w:val="left"/>
      <w:pPr>
        <w:ind w:left="189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6D3266F2"/>
    <w:multiLevelType w:val="hybridMultilevel"/>
    <w:tmpl w:val="81700E6C"/>
    <w:lvl w:ilvl="0" w:tplc="C21AE8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6DB87894"/>
    <w:multiLevelType w:val="multilevel"/>
    <w:tmpl w:val="376E0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6DDE2646"/>
    <w:multiLevelType w:val="hybridMultilevel"/>
    <w:tmpl w:val="26FE6310"/>
    <w:lvl w:ilvl="0" w:tplc="DD862086">
      <w:start w:val="1"/>
      <w:numFmt w:val="bullet"/>
      <w:lvlText w:val=""/>
      <w:lvlJc w:val="left"/>
      <w:pPr>
        <w:ind w:left="1320" w:hanging="360"/>
      </w:pPr>
      <w:rPr>
        <w:rFonts w:ascii="Symbol" w:hAnsi="Symbol"/>
      </w:rPr>
    </w:lvl>
    <w:lvl w:ilvl="1" w:tplc="0CA6B902">
      <w:start w:val="1"/>
      <w:numFmt w:val="bullet"/>
      <w:lvlText w:val=""/>
      <w:lvlJc w:val="left"/>
      <w:pPr>
        <w:ind w:left="1320" w:hanging="360"/>
      </w:pPr>
      <w:rPr>
        <w:rFonts w:ascii="Symbol" w:hAnsi="Symbol"/>
      </w:rPr>
    </w:lvl>
    <w:lvl w:ilvl="2" w:tplc="F7E0CD74">
      <w:start w:val="1"/>
      <w:numFmt w:val="bullet"/>
      <w:lvlText w:val=""/>
      <w:lvlJc w:val="left"/>
      <w:pPr>
        <w:ind w:left="1320" w:hanging="360"/>
      </w:pPr>
      <w:rPr>
        <w:rFonts w:ascii="Symbol" w:hAnsi="Symbol"/>
      </w:rPr>
    </w:lvl>
    <w:lvl w:ilvl="3" w:tplc="5B6489C0">
      <w:start w:val="1"/>
      <w:numFmt w:val="bullet"/>
      <w:lvlText w:val=""/>
      <w:lvlJc w:val="left"/>
      <w:pPr>
        <w:ind w:left="1320" w:hanging="360"/>
      </w:pPr>
      <w:rPr>
        <w:rFonts w:ascii="Symbol" w:hAnsi="Symbol"/>
      </w:rPr>
    </w:lvl>
    <w:lvl w:ilvl="4" w:tplc="1282571E">
      <w:start w:val="1"/>
      <w:numFmt w:val="bullet"/>
      <w:lvlText w:val=""/>
      <w:lvlJc w:val="left"/>
      <w:pPr>
        <w:ind w:left="1320" w:hanging="360"/>
      </w:pPr>
      <w:rPr>
        <w:rFonts w:ascii="Symbol" w:hAnsi="Symbol"/>
      </w:rPr>
    </w:lvl>
    <w:lvl w:ilvl="5" w:tplc="A70ABA10">
      <w:start w:val="1"/>
      <w:numFmt w:val="bullet"/>
      <w:lvlText w:val=""/>
      <w:lvlJc w:val="left"/>
      <w:pPr>
        <w:ind w:left="1320" w:hanging="360"/>
      </w:pPr>
      <w:rPr>
        <w:rFonts w:ascii="Symbol" w:hAnsi="Symbol"/>
      </w:rPr>
    </w:lvl>
    <w:lvl w:ilvl="6" w:tplc="90D6E32E">
      <w:start w:val="1"/>
      <w:numFmt w:val="bullet"/>
      <w:lvlText w:val=""/>
      <w:lvlJc w:val="left"/>
      <w:pPr>
        <w:ind w:left="1320" w:hanging="360"/>
      </w:pPr>
      <w:rPr>
        <w:rFonts w:ascii="Symbol" w:hAnsi="Symbol"/>
      </w:rPr>
    </w:lvl>
    <w:lvl w:ilvl="7" w:tplc="E760E6F2">
      <w:start w:val="1"/>
      <w:numFmt w:val="bullet"/>
      <w:lvlText w:val=""/>
      <w:lvlJc w:val="left"/>
      <w:pPr>
        <w:ind w:left="1320" w:hanging="360"/>
      </w:pPr>
      <w:rPr>
        <w:rFonts w:ascii="Symbol" w:hAnsi="Symbol"/>
      </w:rPr>
    </w:lvl>
    <w:lvl w:ilvl="8" w:tplc="910845BE">
      <w:start w:val="1"/>
      <w:numFmt w:val="bullet"/>
      <w:lvlText w:val=""/>
      <w:lvlJc w:val="left"/>
      <w:pPr>
        <w:ind w:left="1320" w:hanging="360"/>
      </w:pPr>
      <w:rPr>
        <w:rFonts w:ascii="Symbol" w:hAnsi="Symbol"/>
      </w:rPr>
    </w:lvl>
  </w:abstractNum>
  <w:abstractNum w:abstractNumId="233" w15:restartNumberingAfterBreak="0">
    <w:nsid w:val="6E271377"/>
    <w:multiLevelType w:val="multilevel"/>
    <w:tmpl w:val="F7AC0A6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6EAD23DC"/>
    <w:multiLevelType w:val="hybridMultilevel"/>
    <w:tmpl w:val="90E8963A"/>
    <w:lvl w:ilvl="0" w:tplc="FFFFFFFF">
      <w:start w:val="1"/>
      <w:numFmt w:val="decimal"/>
      <w:lvlText w:val="%1)"/>
      <w:lvlJc w:val="left"/>
      <w:pPr>
        <w:ind w:left="432" w:hanging="360"/>
      </w:pPr>
      <w:rPr>
        <w:rFonts w:hint="default"/>
        <w:b w:val="0"/>
      </w:rPr>
    </w:lvl>
    <w:lvl w:ilvl="1" w:tplc="FFFFFFFF">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235" w15:restartNumberingAfterBreak="0">
    <w:nsid w:val="6ED7774F"/>
    <w:multiLevelType w:val="hybridMultilevel"/>
    <w:tmpl w:val="A7DC0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6F8C2F04"/>
    <w:multiLevelType w:val="hybridMultilevel"/>
    <w:tmpl w:val="CF966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70887143"/>
    <w:multiLevelType w:val="hybridMultilevel"/>
    <w:tmpl w:val="4C525604"/>
    <w:lvl w:ilvl="0" w:tplc="3A760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8" w15:restartNumberingAfterBreak="0">
    <w:nsid w:val="70956342"/>
    <w:multiLevelType w:val="hybridMultilevel"/>
    <w:tmpl w:val="66AEA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9" w15:restartNumberingAfterBreak="0">
    <w:nsid w:val="70FD60BA"/>
    <w:multiLevelType w:val="hybridMultilevel"/>
    <w:tmpl w:val="0EF65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71367222"/>
    <w:multiLevelType w:val="hybridMultilevel"/>
    <w:tmpl w:val="84BEF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71C73B22"/>
    <w:multiLevelType w:val="hybridMultilevel"/>
    <w:tmpl w:val="89586B60"/>
    <w:lvl w:ilvl="0" w:tplc="76B2F87C">
      <w:start w:val="1"/>
      <w:numFmt w:val="bullet"/>
      <w:lvlText w:val=""/>
      <w:lvlJc w:val="left"/>
      <w:pPr>
        <w:tabs>
          <w:tab w:val="num" w:pos="1080"/>
        </w:tabs>
        <w:ind w:left="1080" w:hanging="360"/>
      </w:pPr>
      <w:rPr>
        <w:rFonts w:ascii="Symbol" w:hAnsi="Symbol" w:hint="default"/>
      </w:rPr>
    </w:lvl>
    <w:lvl w:ilvl="1" w:tplc="6902E56C" w:tentative="1">
      <w:start w:val="1"/>
      <w:numFmt w:val="bullet"/>
      <w:lvlText w:val="o"/>
      <w:lvlJc w:val="left"/>
      <w:pPr>
        <w:tabs>
          <w:tab w:val="num" w:pos="1800"/>
        </w:tabs>
        <w:ind w:left="1800" w:hanging="360"/>
      </w:pPr>
      <w:rPr>
        <w:rFonts w:ascii="Courier New" w:hAnsi="Courier New" w:hint="default"/>
      </w:rPr>
    </w:lvl>
    <w:lvl w:ilvl="2" w:tplc="14D80074" w:tentative="1">
      <w:start w:val="1"/>
      <w:numFmt w:val="bullet"/>
      <w:lvlText w:val=""/>
      <w:lvlJc w:val="left"/>
      <w:pPr>
        <w:tabs>
          <w:tab w:val="num" w:pos="2520"/>
        </w:tabs>
        <w:ind w:left="2520" w:hanging="360"/>
      </w:pPr>
      <w:rPr>
        <w:rFonts w:ascii="Wingdings" w:hAnsi="Wingdings" w:hint="default"/>
      </w:rPr>
    </w:lvl>
    <w:lvl w:ilvl="3" w:tplc="D58A9414" w:tentative="1">
      <w:start w:val="1"/>
      <w:numFmt w:val="bullet"/>
      <w:lvlText w:val=""/>
      <w:lvlJc w:val="left"/>
      <w:pPr>
        <w:tabs>
          <w:tab w:val="num" w:pos="3240"/>
        </w:tabs>
        <w:ind w:left="3240" w:hanging="360"/>
      </w:pPr>
      <w:rPr>
        <w:rFonts w:ascii="Symbol" w:hAnsi="Symbol" w:hint="default"/>
      </w:rPr>
    </w:lvl>
    <w:lvl w:ilvl="4" w:tplc="5D7A67D6" w:tentative="1">
      <w:start w:val="1"/>
      <w:numFmt w:val="bullet"/>
      <w:lvlText w:val="o"/>
      <w:lvlJc w:val="left"/>
      <w:pPr>
        <w:tabs>
          <w:tab w:val="num" w:pos="3960"/>
        </w:tabs>
        <w:ind w:left="3960" w:hanging="360"/>
      </w:pPr>
      <w:rPr>
        <w:rFonts w:ascii="Courier New" w:hAnsi="Courier New" w:hint="default"/>
      </w:rPr>
    </w:lvl>
    <w:lvl w:ilvl="5" w:tplc="112E5802" w:tentative="1">
      <w:start w:val="1"/>
      <w:numFmt w:val="bullet"/>
      <w:lvlText w:val=""/>
      <w:lvlJc w:val="left"/>
      <w:pPr>
        <w:tabs>
          <w:tab w:val="num" w:pos="4680"/>
        </w:tabs>
        <w:ind w:left="4680" w:hanging="360"/>
      </w:pPr>
      <w:rPr>
        <w:rFonts w:ascii="Wingdings" w:hAnsi="Wingdings" w:hint="default"/>
      </w:rPr>
    </w:lvl>
    <w:lvl w:ilvl="6" w:tplc="BC6CECB4" w:tentative="1">
      <w:start w:val="1"/>
      <w:numFmt w:val="bullet"/>
      <w:lvlText w:val=""/>
      <w:lvlJc w:val="left"/>
      <w:pPr>
        <w:tabs>
          <w:tab w:val="num" w:pos="5400"/>
        </w:tabs>
        <w:ind w:left="5400" w:hanging="360"/>
      </w:pPr>
      <w:rPr>
        <w:rFonts w:ascii="Symbol" w:hAnsi="Symbol" w:hint="default"/>
      </w:rPr>
    </w:lvl>
    <w:lvl w:ilvl="7" w:tplc="63FC1252" w:tentative="1">
      <w:start w:val="1"/>
      <w:numFmt w:val="bullet"/>
      <w:lvlText w:val="o"/>
      <w:lvlJc w:val="left"/>
      <w:pPr>
        <w:tabs>
          <w:tab w:val="num" w:pos="6120"/>
        </w:tabs>
        <w:ind w:left="6120" w:hanging="360"/>
      </w:pPr>
      <w:rPr>
        <w:rFonts w:ascii="Courier New" w:hAnsi="Courier New" w:hint="default"/>
      </w:rPr>
    </w:lvl>
    <w:lvl w:ilvl="8" w:tplc="2332B844" w:tentative="1">
      <w:start w:val="1"/>
      <w:numFmt w:val="bullet"/>
      <w:lvlText w:val=""/>
      <w:lvlJc w:val="left"/>
      <w:pPr>
        <w:tabs>
          <w:tab w:val="num" w:pos="6840"/>
        </w:tabs>
        <w:ind w:left="6840" w:hanging="360"/>
      </w:pPr>
      <w:rPr>
        <w:rFonts w:ascii="Wingdings" w:hAnsi="Wingdings" w:hint="default"/>
      </w:rPr>
    </w:lvl>
  </w:abstractNum>
  <w:abstractNum w:abstractNumId="242" w15:restartNumberingAfterBreak="0">
    <w:nsid w:val="71F10896"/>
    <w:multiLevelType w:val="hybridMultilevel"/>
    <w:tmpl w:val="DAFC9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243" w15:restartNumberingAfterBreak="0">
    <w:nsid w:val="72086A89"/>
    <w:multiLevelType w:val="hybridMultilevel"/>
    <w:tmpl w:val="AE3A6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4" w15:restartNumberingAfterBreak="0">
    <w:nsid w:val="724D379C"/>
    <w:multiLevelType w:val="hybridMultilevel"/>
    <w:tmpl w:val="1CEAB2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5" w15:restartNumberingAfterBreak="0">
    <w:nsid w:val="7415165F"/>
    <w:multiLevelType w:val="multilevel"/>
    <w:tmpl w:val="FEF6C052"/>
    <w:lvl w:ilvl="0">
      <w:start w:val="5"/>
      <w:numFmt w:val="decimal"/>
      <w:lvlText w:val="%1"/>
      <w:lvlJc w:val="left"/>
      <w:pPr>
        <w:ind w:left="1200" w:hanging="720"/>
      </w:pPr>
      <w:rPr>
        <w:rFonts w:hint="default"/>
        <w:lang w:val="en-US" w:eastAsia="en-US" w:bidi="ar-SA"/>
      </w:rPr>
    </w:lvl>
    <w:lvl w:ilvl="1">
      <w:numFmt w:val="decimal"/>
      <w:lvlText w:val="%1.%2"/>
      <w:lvlJc w:val="left"/>
      <w:pPr>
        <w:ind w:left="1200" w:hanging="720"/>
        <w:jc w:val="right"/>
      </w:pPr>
      <w:rPr>
        <w:rFonts w:hint="default"/>
        <w:w w:val="100"/>
        <w:lang w:val="en-US" w:eastAsia="en-US" w:bidi="ar-SA"/>
      </w:rPr>
    </w:lvl>
    <w:lvl w:ilvl="2">
      <w:numFmt w:val="bullet"/>
      <w:lvlText w:val="•"/>
      <w:lvlJc w:val="left"/>
      <w:pPr>
        <w:ind w:left="3092" w:hanging="720"/>
      </w:pPr>
      <w:rPr>
        <w:rFonts w:hint="default"/>
        <w:lang w:val="en-US" w:eastAsia="en-US" w:bidi="ar-SA"/>
      </w:rPr>
    </w:lvl>
    <w:lvl w:ilvl="3">
      <w:numFmt w:val="bullet"/>
      <w:lvlText w:val="•"/>
      <w:lvlJc w:val="left"/>
      <w:pPr>
        <w:ind w:left="4038" w:hanging="720"/>
      </w:pPr>
      <w:rPr>
        <w:rFonts w:hint="default"/>
        <w:lang w:val="en-US" w:eastAsia="en-US" w:bidi="ar-SA"/>
      </w:rPr>
    </w:lvl>
    <w:lvl w:ilvl="4">
      <w:numFmt w:val="bullet"/>
      <w:lvlText w:val="•"/>
      <w:lvlJc w:val="left"/>
      <w:pPr>
        <w:ind w:left="4984" w:hanging="720"/>
      </w:pPr>
      <w:rPr>
        <w:rFonts w:hint="default"/>
        <w:lang w:val="en-US" w:eastAsia="en-US" w:bidi="ar-SA"/>
      </w:rPr>
    </w:lvl>
    <w:lvl w:ilvl="5">
      <w:numFmt w:val="bullet"/>
      <w:lvlText w:val="•"/>
      <w:lvlJc w:val="left"/>
      <w:pPr>
        <w:ind w:left="5930" w:hanging="720"/>
      </w:pPr>
      <w:rPr>
        <w:rFonts w:hint="default"/>
        <w:lang w:val="en-US" w:eastAsia="en-US" w:bidi="ar-SA"/>
      </w:rPr>
    </w:lvl>
    <w:lvl w:ilvl="6">
      <w:numFmt w:val="bullet"/>
      <w:lvlText w:val="•"/>
      <w:lvlJc w:val="left"/>
      <w:pPr>
        <w:ind w:left="6876" w:hanging="720"/>
      </w:pPr>
      <w:rPr>
        <w:rFonts w:hint="default"/>
        <w:lang w:val="en-US" w:eastAsia="en-US" w:bidi="ar-SA"/>
      </w:rPr>
    </w:lvl>
    <w:lvl w:ilvl="7">
      <w:numFmt w:val="bullet"/>
      <w:lvlText w:val="•"/>
      <w:lvlJc w:val="left"/>
      <w:pPr>
        <w:ind w:left="7822" w:hanging="720"/>
      </w:pPr>
      <w:rPr>
        <w:rFonts w:hint="default"/>
        <w:lang w:val="en-US" w:eastAsia="en-US" w:bidi="ar-SA"/>
      </w:rPr>
    </w:lvl>
    <w:lvl w:ilvl="8">
      <w:numFmt w:val="bullet"/>
      <w:lvlText w:val="•"/>
      <w:lvlJc w:val="left"/>
      <w:pPr>
        <w:ind w:left="8768" w:hanging="720"/>
      </w:pPr>
      <w:rPr>
        <w:rFonts w:hint="default"/>
        <w:lang w:val="en-US" w:eastAsia="en-US" w:bidi="ar-SA"/>
      </w:rPr>
    </w:lvl>
  </w:abstractNum>
  <w:abstractNum w:abstractNumId="246" w15:restartNumberingAfterBreak="0">
    <w:nsid w:val="74AA6FF2"/>
    <w:multiLevelType w:val="hybridMultilevel"/>
    <w:tmpl w:val="E8CA4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74E668E4"/>
    <w:multiLevelType w:val="hybridMultilevel"/>
    <w:tmpl w:val="9AAAE9FE"/>
    <w:lvl w:ilvl="0" w:tplc="04090003">
      <w:start w:val="1"/>
      <w:numFmt w:val="bullet"/>
      <w:lvlText w:val="o"/>
      <w:lvlJc w:val="left"/>
      <w:pPr>
        <w:ind w:left="3600" w:hanging="360"/>
      </w:pPr>
      <w:rPr>
        <w:rFonts w:ascii="Courier New" w:hAnsi="Courier New" w:cs="Courier New" w:hint="default"/>
      </w:rPr>
    </w:lvl>
    <w:lvl w:ilvl="1" w:tplc="4344040E">
      <w:start w:val="8"/>
      <w:numFmt w:val="bullet"/>
      <w:lvlText w:val="•"/>
      <w:lvlJc w:val="left"/>
      <w:pPr>
        <w:ind w:left="4320" w:hanging="360"/>
      </w:pPr>
      <w:rPr>
        <w:rFonts w:ascii="Arial" w:eastAsia="Times New Roman" w:hAnsi="Arial" w:cs="Arial" w:hint="default"/>
      </w:rPr>
    </w:lvl>
    <w:lvl w:ilvl="2" w:tplc="F4122126" w:tentative="1">
      <w:start w:val="1"/>
      <w:numFmt w:val="bullet"/>
      <w:lvlText w:val=""/>
      <w:lvlJc w:val="left"/>
      <w:pPr>
        <w:ind w:left="5040" w:hanging="360"/>
      </w:pPr>
      <w:rPr>
        <w:rFonts w:ascii="Wingdings" w:hAnsi="Wingdings" w:hint="default"/>
      </w:rPr>
    </w:lvl>
    <w:lvl w:ilvl="3" w:tplc="1C2E975C" w:tentative="1">
      <w:start w:val="1"/>
      <w:numFmt w:val="bullet"/>
      <w:lvlText w:val=""/>
      <w:lvlJc w:val="left"/>
      <w:pPr>
        <w:ind w:left="5760" w:hanging="360"/>
      </w:pPr>
      <w:rPr>
        <w:rFonts w:ascii="Symbol" w:hAnsi="Symbol" w:hint="default"/>
      </w:rPr>
    </w:lvl>
    <w:lvl w:ilvl="4" w:tplc="44B2D706" w:tentative="1">
      <w:start w:val="1"/>
      <w:numFmt w:val="bullet"/>
      <w:lvlText w:val="o"/>
      <w:lvlJc w:val="left"/>
      <w:pPr>
        <w:ind w:left="6480" w:hanging="360"/>
      </w:pPr>
      <w:rPr>
        <w:rFonts w:ascii="Courier New" w:hAnsi="Courier New" w:cs="Courier New" w:hint="default"/>
      </w:rPr>
    </w:lvl>
    <w:lvl w:ilvl="5" w:tplc="B52A8326" w:tentative="1">
      <w:start w:val="1"/>
      <w:numFmt w:val="bullet"/>
      <w:lvlText w:val=""/>
      <w:lvlJc w:val="left"/>
      <w:pPr>
        <w:ind w:left="7200" w:hanging="360"/>
      </w:pPr>
      <w:rPr>
        <w:rFonts w:ascii="Wingdings" w:hAnsi="Wingdings" w:hint="default"/>
      </w:rPr>
    </w:lvl>
    <w:lvl w:ilvl="6" w:tplc="B414D1F2" w:tentative="1">
      <w:start w:val="1"/>
      <w:numFmt w:val="bullet"/>
      <w:lvlText w:val=""/>
      <w:lvlJc w:val="left"/>
      <w:pPr>
        <w:ind w:left="7920" w:hanging="360"/>
      </w:pPr>
      <w:rPr>
        <w:rFonts w:ascii="Symbol" w:hAnsi="Symbol" w:hint="default"/>
      </w:rPr>
    </w:lvl>
    <w:lvl w:ilvl="7" w:tplc="A78655F2" w:tentative="1">
      <w:start w:val="1"/>
      <w:numFmt w:val="bullet"/>
      <w:lvlText w:val="o"/>
      <w:lvlJc w:val="left"/>
      <w:pPr>
        <w:ind w:left="8640" w:hanging="360"/>
      </w:pPr>
      <w:rPr>
        <w:rFonts w:ascii="Courier New" w:hAnsi="Courier New" w:cs="Courier New" w:hint="default"/>
      </w:rPr>
    </w:lvl>
    <w:lvl w:ilvl="8" w:tplc="BD4CBF6A" w:tentative="1">
      <w:start w:val="1"/>
      <w:numFmt w:val="bullet"/>
      <w:lvlText w:val=""/>
      <w:lvlJc w:val="left"/>
      <w:pPr>
        <w:ind w:left="9360" w:hanging="360"/>
      </w:pPr>
      <w:rPr>
        <w:rFonts w:ascii="Wingdings" w:hAnsi="Wingdings" w:hint="default"/>
      </w:rPr>
    </w:lvl>
  </w:abstractNum>
  <w:abstractNum w:abstractNumId="248" w15:restartNumberingAfterBreak="0">
    <w:nsid w:val="75BC7B1E"/>
    <w:multiLevelType w:val="hybridMultilevel"/>
    <w:tmpl w:val="FB5EE320"/>
    <w:lvl w:ilvl="0" w:tplc="DF7E651A">
      <w:start w:val="1"/>
      <w:numFmt w:val="bullet"/>
      <w:lvlText w:val=""/>
      <w:lvlJc w:val="left"/>
      <w:pPr>
        <w:ind w:left="720" w:hanging="360"/>
      </w:pPr>
      <w:rPr>
        <w:rFonts w:ascii="Symbol" w:hAnsi="Symbol"/>
      </w:rPr>
    </w:lvl>
    <w:lvl w:ilvl="1" w:tplc="28AEECDA">
      <w:start w:val="1"/>
      <w:numFmt w:val="bullet"/>
      <w:lvlText w:val=""/>
      <w:lvlJc w:val="left"/>
      <w:pPr>
        <w:ind w:left="720" w:hanging="360"/>
      </w:pPr>
      <w:rPr>
        <w:rFonts w:ascii="Symbol" w:hAnsi="Symbol"/>
      </w:rPr>
    </w:lvl>
    <w:lvl w:ilvl="2" w:tplc="035EA140">
      <w:start w:val="1"/>
      <w:numFmt w:val="bullet"/>
      <w:lvlText w:val=""/>
      <w:lvlJc w:val="left"/>
      <w:pPr>
        <w:ind w:left="720" w:hanging="360"/>
      </w:pPr>
      <w:rPr>
        <w:rFonts w:ascii="Symbol" w:hAnsi="Symbol"/>
      </w:rPr>
    </w:lvl>
    <w:lvl w:ilvl="3" w:tplc="8AC2B0C8">
      <w:start w:val="1"/>
      <w:numFmt w:val="bullet"/>
      <w:lvlText w:val=""/>
      <w:lvlJc w:val="left"/>
      <w:pPr>
        <w:ind w:left="720" w:hanging="360"/>
      </w:pPr>
      <w:rPr>
        <w:rFonts w:ascii="Symbol" w:hAnsi="Symbol"/>
      </w:rPr>
    </w:lvl>
    <w:lvl w:ilvl="4" w:tplc="6344A30E">
      <w:start w:val="1"/>
      <w:numFmt w:val="bullet"/>
      <w:lvlText w:val=""/>
      <w:lvlJc w:val="left"/>
      <w:pPr>
        <w:ind w:left="720" w:hanging="360"/>
      </w:pPr>
      <w:rPr>
        <w:rFonts w:ascii="Symbol" w:hAnsi="Symbol"/>
      </w:rPr>
    </w:lvl>
    <w:lvl w:ilvl="5" w:tplc="FD4009BE">
      <w:start w:val="1"/>
      <w:numFmt w:val="bullet"/>
      <w:lvlText w:val=""/>
      <w:lvlJc w:val="left"/>
      <w:pPr>
        <w:ind w:left="720" w:hanging="360"/>
      </w:pPr>
      <w:rPr>
        <w:rFonts w:ascii="Symbol" w:hAnsi="Symbol"/>
      </w:rPr>
    </w:lvl>
    <w:lvl w:ilvl="6" w:tplc="F95CDBD4">
      <w:start w:val="1"/>
      <w:numFmt w:val="bullet"/>
      <w:lvlText w:val=""/>
      <w:lvlJc w:val="left"/>
      <w:pPr>
        <w:ind w:left="720" w:hanging="360"/>
      </w:pPr>
      <w:rPr>
        <w:rFonts w:ascii="Symbol" w:hAnsi="Symbol"/>
      </w:rPr>
    </w:lvl>
    <w:lvl w:ilvl="7" w:tplc="CD048D66">
      <w:start w:val="1"/>
      <w:numFmt w:val="bullet"/>
      <w:lvlText w:val=""/>
      <w:lvlJc w:val="left"/>
      <w:pPr>
        <w:ind w:left="720" w:hanging="360"/>
      </w:pPr>
      <w:rPr>
        <w:rFonts w:ascii="Symbol" w:hAnsi="Symbol"/>
      </w:rPr>
    </w:lvl>
    <w:lvl w:ilvl="8" w:tplc="FAA08090">
      <w:start w:val="1"/>
      <w:numFmt w:val="bullet"/>
      <w:lvlText w:val=""/>
      <w:lvlJc w:val="left"/>
      <w:pPr>
        <w:ind w:left="720" w:hanging="360"/>
      </w:pPr>
      <w:rPr>
        <w:rFonts w:ascii="Symbol" w:hAnsi="Symbol"/>
      </w:rPr>
    </w:lvl>
  </w:abstractNum>
  <w:abstractNum w:abstractNumId="249" w15:restartNumberingAfterBreak="0">
    <w:nsid w:val="75BE40BD"/>
    <w:multiLevelType w:val="hybridMultilevel"/>
    <w:tmpl w:val="BF64F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75E40625"/>
    <w:multiLevelType w:val="hybridMultilevel"/>
    <w:tmpl w:val="834C5E2E"/>
    <w:lvl w:ilvl="0" w:tplc="B8ECA9B2">
      <w:start w:val="1"/>
      <w:numFmt w:val="upp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251" w15:restartNumberingAfterBreak="0">
    <w:nsid w:val="76404E3D"/>
    <w:multiLevelType w:val="hybridMultilevel"/>
    <w:tmpl w:val="6CFEB1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52" w15:restartNumberingAfterBreak="0">
    <w:nsid w:val="76B249C5"/>
    <w:multiLevelType w:val="hybridMultilevel"/>
    <w:tmpl w:val="8FC059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3" w15:restartNumberingAfterBreak="0">
    <w:nsid w:val="781C2657"/>
    <w:multiLevelType w:val="hybridMultilevel"/>
    <w:tmpl w:val="82989D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4" w15:restartNumberingAfterBreak="0">
    <w:nsid w:val="783556CE"/>
    <w:multiLevelType w:val="hybridMultilevel"/>
    <w:tmpl w:val="D8E45236"/>
    <w:lvl w:ilvl="0" w:tplc="6D74546A">
      <w:start w:val="1"/>
      <w:numFmt w:val="bullet"/>
      <w:lvlText w:val=""/>
      <w:lvlJc w:val="left"/>
      <w:pPr>
        <w:ind w:left="720" w:hanging="360"/>
      </w:pPr>
      <w:rPr>
        <w:rFonts w:ascii="Symbol" w:hAnsi="Symbol"/>
      </w:rPr>
    </w:lvl>
    <w:lvl w:ilvl="1" w:tplc="D610CE16">
      <w:start w:val="1"/>
      <w:numFmt w:val="bullet"/>
      <w:lvlText w:val=""/>
      <w:lvlJc w:val="left"/>
      <w:pPr>
        <w:ind w:left="720" w:hanging="360"/>
      </w:pPr>
      <w:rPr>
        <w:rFonts w:ascii="Symbol" w:hAnsi="Symbol"/>
      </w:rPr>
    </w:lvl>
    <w:lvl w:ilvl="2" w:tplc="E0A245BE">
      <w:start w:val="1"/>
      <w:numFmt w:val="bullet"/>
      <w:lvlText w:val=""/>
      <w:lvlJc w:val="left"/>
      <w:pPr>
        <w:ind w:left="720" w:hanging="360"/>
      </w:pPr>
      <w:rPr>
        <w:rFonts w:ascii="Symbol" w:hAnsi="Symbol"/>
      </w:rPr>
    </w:lvl>
    <w:lvl w:ilvl="3" w:tplc="E932A8FE">
      <w:start w:val="1"/>
      <w:numFmt w:val="bullet"/>
      <w:lvlText w:val=""/>
      <w:lvlJc w:val="left"/>
      <w:pPr>
        <w:ind w:left="720" w:hanging="360"/>
      </w:pPr>
      <w:rPr>
        <w:rFonts w:ascii="Symbol" w:hAnsi="Symbol"/>
      </w:rPr>
    </w:lvl>
    <w:lvl w:ilvl="4" w:tplc="AF2E0FE6">
      <w:start w:val="1"/>
      <w:numFmt w:val="bullet"/>
      <w:lvlText w:val=""/>
      <w:lvlJc w:val="left"/>
      <w:pPr>
        <w:ind w:left="720" w:hanging="360"/>
      </w:pPr>
      <w:rPr>
        <w:rFonts w:ascii="Symbol" w:hAnsi="Symbol"/>
      </w:rPr>
    </w:lvl>
    <w:lvl w:ilvl="5" w:tplc="2834BE72">
      <w:start w:val="1"/>
      <w:numFmt w:val="bullet"/>
      <w:lvlText w:val=""/>
      <w:lvlJc w:val="left"/>
      <w:pPr>
        <w:ind w:left="720" w:hanging="360"/>
      </w:pPr>
      <w:rPr>
        <w:rFonts w:ascii="Symbol" w:hAnsi="Symbol"/>
      </w:rPr>
    </w:lvl>
    <w:lvl w:ilvl="6" w:tplc="B8FE636C">
      <w:start w:val="1"/>
      <w:numFmt w:val="bullet"/>
      <w:lvlText w:val=""/>
      <w:lvlJc w:val="left"/>
      <w:pPr>
        <w:ind w:left="720" w:hanging="360"/>
      </w:pPr>
      <w:rPr>
        <w:rFonts w:ascii="Symbol" w:hAnsi="Symbol"/>
      </w:rPr>
    </w:lvl>
    <w:lvl w:ilvl="7" w:tplc="BC5836E6">
      <w:start w:val="1"/>
      <w:numFmt w:val="bullet"/>
      <w:lvlText w:val=""/>
      <w:lvlJc w:val="left"/>
      <w:pPr>
        <w:ind w:left="720" w:hanging="360"/>
      </w:pPr>
      <w:rPr>
        <w:rFonts w:ascii="Symbol" w:hAnsi="Symbol"/>
      </w:rPr>
    </w:lvl>
    <w:lvl w:ilvl="8" w:tplc="7B18A7E2">
      <w:start w:val="1"/>
      <w:numFmt w:val="bullet"/>
      <w:lvlText w:val=""/>
      <w:lvlJc w:val="left"/>
      <w:pPr>
        <w:ind w:left="720" w:hanging="360"/>
      </w:pPr>
      <w:rPr>
        <w:rFonts w:ascii="Symbol" w:hAnsi="Symbol"/>
      </w:rPr>
    </w:lvl>
  </w:abstractNum>
  <w:abstractNum w:abstractNumId="255" w15:restartNumberingAfterBreak="0">
    <w:nsid w:val="78E949AF"/>
    <w:multiLevelType w:val="hybridMultilevel"/>
    <w:tmpl w:val="FAFE8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791316E4"/>
    <w:multiLevelType w:val="hybridMultilevel"/>
    <w:tmpl w:val="EF38F2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7965787B"/>
    <w:multiLevelType w:val="hybridMultilevel"/>
    <w:tmpl w:val="B0EE2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799462FC"/>
    <w:multiLevelType w:val="hybridMultilevel"/>
    <w:tmpl w:val="552AB2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9" w15:restartNumberingAfterBreak="0">
    <w:nsid w:val="79D2338B"/>
    <w:multiLevelType w:val="hybridMultilevel"/>
    <w:tmpl w:val="4C525604"/>
    <w:lvl w:ilvl="0" w:tplc="3A760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0" w15:restartNumberingAfterBreak="0">
    <w:nsid w:val="7A9E54E1"/>
    <w:multiLevelType w:val="hybridMultilevel"/>
    <w:tmpl w:val="3D6C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7AE333B1"/>
    <w:multiLevelType w:val="hybridMultilevel"/>
    <w:tmpl w:val="756046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7C396924"/>
    <w:multiLevelType w:val="hybridMultilevel"/>
    <w:tmpl w:val="ACFE0D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7C9E0431"/>
    <w:multiLevelType w:val="hybridMultilevel"/>
    <w:tmpl w:val="19D08C9E"/>
    <w:lvl w:ilvl="0" w:tplc="3078D388">
      <w:start w:val="1"/>
      <w:numFmt w:val="bullet"/>
      <w:lvlText w:val=""/>
      <w:lvlJc w:val="left"/>
      <w:pPr>
        <w:ind w:left="2040" w:hanging="360"/>
      </w:pPr>
      <w:rPr>
        <w:rFonts w:ascii="Symbol" w:hAnsi="Symbol"/>
      </w:rPr>
    </w:lvl>
    <w:lvl w:ilvl="1" w:tplc="A606E00A">
      <w:start w:val="1"/>
      <w:numFmt w:val="bullet"/>
      <w:lvlText w:val=""/>
      <w:lvlJc w:val="left"/>
      <w:pPr>
        <w:ind w:left="2040" w:hanging="360"/>
      </w:pPr>
      <w:rPr>
        <w:rFonts w:ascii="Symbol" w:hAnsi="Symbol"/>
      </w:rPr>
    </w:lvl>
    <w:lvl w:ilvl="2" w:tplc="646E55DA">
      <w:start w:val="1"/>
      <w:numFmt w:val="bullet"/>
      <w:lvlText w:val=""/>
      <w:lvlJc w:val="left"/>
      <w:pPr>
        <w:ind w:left="2040" w:hanging="360"/>
      </w:pPr>
      <w:rPr>
        <w:rFonts w:ascii="Symbol" w:hAnsi="Symbol"/>
      </w:rPr>
    </w:lvl>
    <w:lvl w:ilvl="3" w:tplc="1804C854">
      <w:start w:val="1"/>
      <w:numFmt w:val="bullet"/>
      <w:lvlText w:val=""/>
      <w:lvlJc w:val="left"/>
      <w:pPr>
        <w:ind w:left="2040" w:hanging="360"/>
      </w:pPr>
      <w:rPr>
        <w:rFonts w:ascii="Symbol" w:hAnsi="Symbol"/>
      </w:rPr>
    </w:lvl>
    <w:lvl w:ilvl="4" w:tplc="BA6EA8F4">
      <w:start w:val="1"/>
      <w:numFmt w:val="bullet"/>
      <w:lvlText w:val=""/>
      <w:lvlJc w:val="left"/>
      <w:pPr>
        <w:ind w:left="2040" w:hanging="360"/>
      </w:pPr>
      <w:rPr>
        <w:rFonts w:ascii="Symbol" w:hAnsi="Symbol"/>
      </w:rPr>
    </w:lvl>
    <w:lvl w:ilvl="5" w:tplc="19787ABA">
      <w:start w:val="1"/>
      <w:numFmt w:val="bullet"/>
      <w:lvlText w:val=""/>
      <w:lvlJc w:val="left"/>
      <w:pPr>
        <w:ind w:left="2040" w:hanging="360"/>
      </w:pPr>
      <w:rPr>
        <w:rFonts w:ascii="Symbol" w:hAnsi="Symbol"/>
      </w:rPr>
    </w:lvl>
    <w:lvl w:ilvl="6" w:tplc="C1963DB2">
      <w:start w:val="1"/>
      <w:numFmt w:val="bullet"/>
      <w:lvlText w:val=""/>
      <w:lvlJc w:val="left"/>
      <w:pPr>
        <w:ind w:left="2040" w:hanging="360"/>
      </w:pPr>
      <w:rPr>
        <w:rFonts w:ascii="Symbol" w:hAnsi="Symbol"/>
      </w:rPr>
    </w:lvl>
    <w:lvl w:ilvl="7" w:tplc="6A942CB0">
      <w:start w:val="1"/>
      <w:numFmt w:val="bullet"/>
      <w:lvlText w:val=""/>
      <w:lvlJc w:val="left"/>
      <w:pPr>
        <w:ind w:left="2040" w:hanging="360"/>
      </w:pPr>
      <w:rPr>
        <w:rFonts w:ascii="Symbol" w:hAnsi="Symbol"/>
      </w:rPr>
    </w:lvl>
    <w:lvl w:ilvl="8" w:tplc="C8ECC098">
      <w:start w:val="1"/>
      <w:numFmt w:val="bullet"/>
      <w:lvlText w:val=""/>
      <w:lvlJc w:val="left"/>
      <w:pPr>
        <w:ind w:left="2040" w:hanging="360"/>
      </w:pPr>
      <w:rPr>
        <w:rFonts w:ascii="Symbol" w:hAnsi="Symbol"/>
      </w:rPr>
    </w:lvl>
  </w:abstractNum>
  <w:abstractNum w:abstractNumId="264" w15:restartNumberingAfterBreak="0">
    <w:nsid w:val="7CB051B0"/>
    <w:multiLevelType w:val="hybridMultilevel"/>
    <w:tmpl w:val="12E08CE4"/>
    <w:lvl w:ilvl="0" w:tplc="694C0EE8">
      <w:start w:val="1"/>
      <w:numFmt w:val="bullet"/>
      <w:lvlText w:val=""/>
      <w:lvlJc w:val="left"/>
      <w:pPr>
        <w:ind w:left="1320" w:hanging="360"/>
      </w:pPr>
      <w:rPr>
        <w:rFonts w:ascii="Symbol" w:hAnsi="Symbol"/>
      </w:rPr>
    </w:lvl>
    <w:lvl w:ilvl="1" w:tplc="40D21910">
      <w:start w:val="1"/>
      <w:numFmt w:val="bullet"/>
      <w:lvlText w:val=""/>
      <w:lvlJc w:val="left"/>
      <w:pPr>
        <w:ind w:left="1320" w:hanging="360"/>
      </w:pPr>
      <w:rPr>
        <w:rFonts w:ascii="Symbol" w:hAnsi="Symbol"/>
      </w:rPr>
    </w:lvl>
    <w:lvl w:ilvl="2" w:tplc="FC3C3F04">
      <w:start w:val="1"/>
      <w:numFmt w:val="bullet"/>
      <w:lvlText w:val=""/>
      <w:lvlJc w:val="left"/>
      <w:pPr>
        <w:ind w:left="1320" w:hanging="360"/>
      </w:pPr>
      <w:rPr>
        <w:rFonts w:ascii="Symbol" w:hAnsi="Symbol"/>
      </w:rPr>
    </w:lvl>
    <w:lvl w:ilvl="3" w:tplc="E6E6B980">
      <w:start w:val="1"/>
      <w:numFmt w:val="bullet"/>
      <w:lvlText w:val=""/>
      <w:lvlJc w:val="left"/>
      <w:pPr>
        <w:ind w:left="1320" w:hanging="360"/>
      </w:pPr>
      <w:rPr>
        <w:rFonts w:ascii="Symbol" w:hAnsi="Symbol"/>
      </w:rPr>
    </w:lvl>
    <w:lvl w:ilvl="4" w:tplc="155EF694">
      <w:start w:val="1"/>
      <w:numFmt w:val="bullet"/>
      <w:lvlText w:val=""/>
      <w:lvlJc w:val="left"/>
      <w:pPr>
        <w:ind w:left="1320" w:hanging="360"/>
      </w:pPr>
      <w:rPr>
        <w:rFonts w:ascii="Symbol" w:hAnsi="Symbol"/>
      </w:rPr>
    </w:lvl>
    <w:lvl w:ilvl="5" w:tplc="43243E3A">
      <w:start w:val="1"/>
      <w:numFmt w:val="bullet"/>
      <w:lvlText w:val=""/>
      <w:lvlJc w:val="left"/>
      <w:pPr>
        <w:ind w:left="1320" w:hanging="360"/>
      </w:pPr>
      <w:rPr>
        <w:rFonts w:ascii="Symbol" w:hAnsi="Symbol"/>
      </w:rPr>
    </w:lvl>
    <w:lvl w:ilvl="6" w:tplc="C2282A58">
      <w:start w:val="1"/>
      <w:numFmt w:val="bullet"/>
      <w:lvlText w:val=""/>
      <w:lvlJc w:val="left"/>
      <w:pPr>
        <w:ind w:left="1320" w:hanging="360"/>
      </w:pPr>
      <w:rPr>
        <w:rFonts w:ascii="Symbol" w:hAnsi="Symbol"/>
      </w:rPr>
    </w:lvl>
    <w:lvl w:ilvl="7" w:tplc="E79278EE">
      <w:start w:val="1"/>
      <w:numFmt w:val="bullet"/>
      <w:lvlText w:val=""/>
      <w:lvlJc w:val="left"/>
      <w:pPr>
        <w:ind w:left="1320" w:hanging="360"/>
      </w:pPr>
      <w:rPr>
        <w:rFonts w:ascii="Symbol" w:hAnsi="Symbol"/>
      </w:rPr>
    </w:lvl>
    <w:lvl w:ilvl="8" w:tplc="D2C0985C">
      <w:start w:val="1"/>
      <w:numFmt w:val="bullet"/>
      <w:lvlText w:val=""/>
      <w:lvlJc w:val="left"/>
      <w:pPr>
        <w:ind w:left="1320" w:hanging="360"/>
      </w:pPr>
      <w:rPr>
        <w:rFonts w:ascii="Symbol" w:hAnsi="Symbol"/>
      </w:rPr>
    </w:lvl>
  </w:abstractNum>
  <w:abstractNum w:abstractNumId="265" w15:restartNumberingAfterBreak="0">
    <w:nsid w:val="7D544C50"/>
    <w:multiLevelType w:val="hybridMultilevel"/>
    <w:tmpl w:val="B3B478D6"/>
    <w:lvl w:ilvl="0" w:tplc="04090001">
      <w:start w:val="1"/>
      <w:numFmt w:val="bullet"/>
      <w:lvlText w:val=""/>
      <w:lvlJc w:val="left"/>
      <w:pPr>
        <w:tabs>
          <w:tab w:val="num" w:pos="2160"/>
        </w:tabs>
        <w:ind w:left="2088" w:hanging="288"/>
      </w:pPr>
      <w:rPr>
        <w:rFonts w:ascii="Symbol" w:hAnsi="Symbol" w:hint="default"/>
        <w:sz w:val="18"/>
      </w:rPr>
    </w:lvl>
    <w:lvl w:ilvl="1" w:tplc="04090003">
      <w:start w:val="10"/>
      <w:numFmt w:val="bullet"/>
      <w:lvlText w:val="-"/>
      <w:lvlJc w:val="left"/>
      <w:pPr>
        <w:tabs>
          <w:tab w:val="num" w:pos="2808"/>
        </w:tabs>
        <w:ind w:left="2808" w:hanging="360"/>
      </w:pPr>
      <w:rPr>
        <w:rFonts w:ascii="Times New Roman" w:eastAsia="Times New Roman" w:hAnsi="Times New Roman" w:cs="Times New Roman" w:hint="default"/>
      </w:rPr>
    </w:lvl>
    <w:lvl w:ilvl="2" w:tplc="04090005" w:tentative="1">
      <w:start w:val="1"/>
      <w:numFmt w:val="bullet"/>
      <w:lvlText w:val=""/>
      <w:lvlJc w:val="left"/>
      <w:pPr>
        <w:tabs>
          <w:tab w:val="num" w:pos="3528"/>
        </w:tabs>
        <w:ind w:left="3528" w:hanging="360"/>
      </w:pPr>
      <w:rPr>
        <w:rFonts w:ascii="Wingdings" w:hAnsi="Wingdings" w:hint="default"/>
      </w:rPr>
    </w:lvl>
    <w:lvl w:ilvl="3" w:tplc="04090001" w:tentative="1">
      <w:start w:val="1"/>
      <w:numFmt w:val="bullet"/>
      <w:lvlText w:val=""/>
      <w:lvlJc w:val="left"/>
      <w:pPr>
        <w:tabs>
          <w:tab w:val="num" w:pos="4248"/>
        </w:tabs>
        <w:ind w:left="4248" w:hanging="360"/>
      </w:pPr>
      <w:rPr>
        <w:rFonts w:ascii="Symbol" w:hAnsi="Symbol" w:hint="default"/>
      </w:rPr>
    </w:lvl>
    <w:lvl w:ilvl="4" w:tplc="04090003" w:tentative="1">
      <w:start w:val="1"/>
      <w:numFmt w:val="bullet"/>
      <w:lvlText w:val="o"/>
      <w:lvlJc w:val="left"/>
      <w:pPr>
        <w:tabs>
          <w:tab w:val="num" w:pos="4968"/>
        </w:tabs>
        <w:ind w:left="4968" w:hanging="360"/>
      </w:pPr>
      <w:rPr>
        <w:rFonts w:ascii="Courier New" w:hAnsi="Courier New" w:hint="default"/>
      </w:rPr>
    </w:lvl>
    <w:lvl w:ilvl="5" w:tplc="04090005" w:tentative="1">
      <w:start w:val="1"/>
      <w:numFmt w:val="bullet"/>
      <w:lvlText w:val=""/>
      <w:lvlJc w:val="left"/>
      <w:pPr>
        <w:tabs>
          <w:tab w:val="num" w:pos="5688"/>
        </w:tabs>
        <w:ind w:left="5688" w:hanging="360"/>
      </w:pPr>
      <w:rPr>
        <w:rFonts w:ascii="Wingdings" w:hAnsi="Wingdings" w:hint="default"/>
      </w:rPr>
    </w:lvl>
    <w:lvl w:ilvl="6" w:tplc="04090001" w:tentative="1">
      <w:start w:val="1"/>
      <w:numFmt w:val="bullet"/>
      <w:lvlText w:val=""/>
      <w:lvlJc w:val="left"/>
      <w:pPr>
        <w:tabs>
          <w:tab w:val="num" w:pos="6408"/>
        </w:tabs>
        <w:ind w:left="6408" w:hanging="360"/>
      </w:pPr>
      <w:rPr>
        <w:rFonts w:ascii="Symbol" w:hAnsi="Symbol" w:hint="default"/>
      </w:rPr>
    </w:lvl>
    <w:lvl w:ilvl="7" w:tplc="04090003" w:tentative="1">
      <w:start w:val="1"/>
      <w:numFmt w:val="bullet"/>
      <w:lvlText w:val="o"/>
      <w:lvlJc w:val="left"/>
      <w:pPr>
        <w:tabs>
          <w:tab w:val="num" w:pos="7128"/>
        </w:tabs>
        <w:ind w:left="7128" w:hanging="360"/>
      </w:pPr>
      <w:rPr>
        <w:rFonts w:ascii="Courier New" w:hAnsi="Courier New" w:hint="default"/>
      </w:rPr>
    </w:lvl>
    <w:lvl w:ilvl="8" w:tplc="04090005" w:tentative="1">
      <w:start w:val="1"/>
      <w:numFmt w:val="bullet"/>
      <w:lvlText w:val=""/>
      <w:lvlJc w:val="left"/>
      <w:pPr>
        <w:tabs>
          <w:tab w:val="num" w:pos="7848"/>
        </w:tabs>
        <w:ind w:left="7848" w:hanging="360"/>
      </w:pPr>
      <w:rPr>
        <w:rFonts w:ascii="Wingdings" w:hAnsi="Wingdings" w:hint="default"/>
      </w:rPr>
    </w:lvl>
  </w:abstractNum>
  <w:abstractNum w:abstractNumId="266" w15:restartNumberingAfterBreak="0">
    <w:nsid w:val="7DE33993"/>
    <w:multiLevelType w:val="multilevel"/>
    <w:tmpl w:val="FB00CEAA"/>
    <w:lvl w:ilvl="0">
      <w:start w:val="1"/>
      <w:numFmt w:val="bullet"/>
      <w:lvlText w:val=""/>
      <w:lvlJc w:val="left"/>
      <w:pPr>
        <w:tabs>
          <w:tab w:val="num" w:pos="1440"/>
        </w:tabs>
        <w:ind w:left="1440" w:hanging="720"/>
      </w:pPr>
      <w:rPr>
        <w:rFonts w:ascii="Symbol" w:hAnsi="Symbol" w:hint="default"/>
        <w:color w:val="auto"/>
        <w:sz w:val="22"/>
      </w:rPr>
    </w:lvl>
    <w:lvl w:ilvl="1">
      <w:start w:val="1"/>
      <w:numFmt w:val="bullet"/>
      <w:lvlText w:val="o"/>
      <w:lvlJc w:val="left"/>
      <w:pPr>
        <w:tabs>
          <w:tab w:val="num" w:pos="2160"/>
        </w:tabs>
        <w:ind w:left="2160" w:hanging="720"/>
      </w:pPr>
      <w:rPr>
        <w:rFonts w:ascii="Courier New" w:hAnsi="Courier New" w:cs="Courier New" w:hint="default"/>
        <w:color w:val="auto"/>
      </w:rPr>
    </w:lvl>
    <w:lvl w:ilvl="2">
      <w:start w:val="1"/>
      <w:numFmt w:val="bullet"/>
      <w:lvlText w:val=""/>
      <w:lvlJc w:val="left"/>
      <w:pPr>
        <w:tabs>
          <w:tab w:val="num" w:pos="2880"/>
        </w:tabs>
        <w:ind w:left="2880" w:hanging="720"/>
      </w:pPr>
      <w:rPr>
        <w:rFonts w:ascii="Symbol" w:hAnsi="Symbol" w:hint="default"/>
      </w:rPr>
    </w:lvl>
    <w:lvl w:ilvl="3">
      <w:start w:val="1"/>
      <w:numFmt w:val="bullet"/>
      <w:lvlText w:val=""/>
      <w:lvlJc w:val="left"/>
      <w:pPr>
        <w:tabs>
          <w:tab w:val="num" w:pos="3600"/>
        </w:tabs>
        <w:ind w:left="3600" w:hanging="720"/>
      </w:pPr>
      <w:rPr>
        <w:rFonts w:ascii="Symbol" w:hAnsi="Symbol" w:hint="default"/>
        <w:color w:val="auto"/>
      </w:rPr>
    </w:lvl>
    <w:lvl w:ilvl="4">
      <w:start w:val="1"/>
      <w:numFmt w:val="bullet"/>
      <w:lvlText w:val=""/>
      <w:lvlJc w:val="left"/>
      <w:pPr>
        <w:tabs>
          <w:tab w:val="num" w:pos="4320"/>
        </w:tabs>
        <w:ind w:left="4320" w:hanging="720"/>
      </w:pPr>
      <w:rPr>
        <w:rFonts w:ascii="Symbol" w:hAnsi="Symbol" w:hint="default"/>
      </w:rPr>
    </w:lvl>
    <w:lvl w:ilvl="5">
      <w:start w:val="1"/>
      <w:numFmt w:val="bullet"/>
      <w:lvlText w:val=""/>
      <w:lvlJc w:val="left"/>
      <w:pPr>
        <w:tabs>
          <w:tab w:val="num" w:pos="5040"/>
        </w:tabs>
        <w:ind w:left="5040" w:hanging="720"/>
      </w:pPr>
      <w:rPr>
        <w:rFonts w:ascii="Symbol" w:hAnsi="Symbol" w:hint="default"/>
      </w:rPr>
    </w:lvl>
    <w:lvl w:ilvl="6">
      <w:start w:val="1"/>
      <w:numFmt w:val="bullet"/>
      <w:lvlText w:val=""/>
      <w:lvlJc w:val="left"/>
      <w:pPr>
        <w:tabs>
          <w:tab w:val="num" w:pos="5760"/>
        </w:tabs>
        <w:ind w:left="5760" w:hanging="720"/>
      </w:pPr>
      <w:rPr>
        <w:rFonts w:ascii="Symbol" w:hAnsi="Symbol" w:hint="default"/>
        <w:sz w:val="22"/>
      </w:rPr>
    </w:lvl>
    <w:lvl w:ilvl="7">
      <w:start w:val="1"/>
      <w:numFmt w:val="bullet"/>
      <w:lvlText w:val=""/>
      <w:lvlJc w:val="left"/>
      <w:pPr>
        <w:tabs>
          <w:tab w:val="num" w:pos="6480"/>
        </w:tabs>
        <w:ind w:left="6480" w:hanging="720"/>
      </w:pPr>
      <w:rPr>
        <w:rFonts w:ascii="Symbol" w:hAnsi="Symbol" w:hint="default"/>
      </w:rPr>
    </w:lvl>
    <w:lvl w:ilvl="8">
      <w:start w:val="1"/>
      <w:numFmt w:val="bullet"/>
      <w:lvlText w:val=""/>
      <w:lvlJc w:val="left"/>
      <w:pPr>
        <w:tabs>
          <w:tab w:val="num" w:pos="7200"/>
        </w:tabs>
        <w:ind w:left="7200" w:hanging="720"/>
      </w:pPr>
      <w:rPr>
        <w:rFonts w:ascii="Symbol" w:hAnsi="Symbol" w:hint="default"/>
      </w:rPr>
    </w:lvl>
  </w:abstractNum>
  <w:abstractNum w:abstractNumId="267" w15:restartNumberingAfterBreak="0">
    <w:nsid w:val="7DE51350"/>
    <w:multiLevelType w:val="hybridMultilevel"/>
    <w:tmpl w:val="B68A3CCE"/>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774" w:hanging="360"/>
      </w:pPr>
      <w:rPr>
        <w:rFonts w:ascii="Courier New" w:hAnsi="Courier New" w:cs="Courier New" w:hint="default"/>
      </w:rPr>
    </w:lvl>
    <w:lvl w:ilvl="2" w:tplc="04090005" w:tentative="1">
      <w:start w:val="1"/>
      <w:numFmt w:val="bullet"/>
      <w:lvlText w:val=""/>
      <w:lvlJc w:val="left"/>
      <w:pPr>
        <w:ind w:left="-54" w:hanging="360"/>
      </w:pPr>
      <w:rPr>
        <w:rFonts w:ascii="Wingdings" w:hAnsi="Wingdings" w:hint="default"/>
      </w:rPr>
    </w:lvl>
    <w:lvl w:ilvl="3" w:tplc="04090001" w:tentative="1">
      <w:start w:val="1"/>
      <w:numFmt w:val="bullet"/>
      <w:lvlText w:val=""/>
      <w:lvlJc w:val="left"/>
      <w:pPr>
        <w:ind w:left="666" w:hanging="360"/>
      </w:pPr>
      <w:rPr>
        <w:rFonts w:ascii="Symbol" w:hAnsi="Symbol" w:hint="default"/>
      </w:rPr>
    </w:lvl>
    <w:lvl w:ilvl="4" w:tplc="04090003" w:tentative="1">
      <w:start w:val="1"/>
      <w:numFmt w:val="bullet"/>
      <w:lvlText w:val="o"/>
      <w:lvlJc w:val="left"/>
      <w:pPr>
        <w:ind w:left="1386" w:hanging="360"/>
      </w:pPr>
      <w:rPr>
        <w:rFonts w:ascii="Courier New" w:hAnsi="Courier New" w:cs="Courier New" w:hint="default"/>
      </w:rPr>
    </w:lvl>
    <w:lvl w:ilvl="5" w:tplc="04090005" w:tentative="1">
      <w:start w:val="1"/>
      <w:numFmt w:val="bullet"/>
      <w:lvlText w:val=""/>
      <w:lvlJc w:val="left"/>
      <w:pPr>
        <w:ind w:left="2106" w:hanging="360"/>
      </w:pPr>
      <w:rPr>
        <w:rFonts w:ascii="Wingdings" w:hAnsi="Wingdings" w:hint="default"/>
      </w:rPr>
    </w:lvl>
    <w:lvl w:ilvl="6" w:tplc="04090001" w:tentative="1">
      <w:start w:val="1"/>
      <w:numFmt w:val="bullet"/>
      <w:lvlText w:val=""/>
      <w:lvlJc w:val="left"/>
      <w:pPr>
        <w:ind w:left="2826" w:hanging="360"/>
      </w:pPr>
      <w:rPr>
        <w:rFonts w:ascii="Symbol" w:hAnsi="Symbol" w:hint="default"/>
      </w:rPr>
    </w:lvl>
    <w:lvl w:ilvl="7" w:tplc="04090003" w:tentative="1">
      <w:start w:val="1"/>
      <w:numFmt w:val="bullet"/>
      <w:lvlText w:val="o"/>
      <w:lvlJc w:val="left"/>
      <w:pPr>
        <w:ind w:left="3546" w:hanging="360"/>
      </w:pPr>
      <w:rPr>
        <w:rFonts w:ascii="Courier New" w:hAnsi="Courier New" w:cs="Courier New" w:hint="default"/>
      </w:rPr>
    </w:lvl>
    <w:lvl w:ilvl="8" w:tplc="04090005" w:tentative="1">
      <w:start w:val="1"/>
      <w:numFmt w:val="bullet"/>
      <w:lvlText w:val=""/>
      <w:lvlJc w:val="left"/>
      <w:pPr>
        <w:ind w:left="4266" w:hanging="360"/>
      </w:pPr>
      <w:rPr>
        <w:rFonts w:ascii="Wingdings" w:hAnsi="Wingdings" w:hint="default"/>
      </w:rPr>
    </w:lvl>
  </w:abstractNum>
  <w:abstractNum w:abstractNumId="268" w15:restartNumberingAfterBreak="0">
    <w:nsid w:val="7DEC220A"/>
    <w:multiLevelType w:val="hybridMultilevel"/>
    <w:tmpl w:val="CF80F13A"/>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69" w15:restartNumberingAfterBreak="0">
    <w:nsid w:val="7DF443BF"/>
    <w:multiLevelType w:val="hybridMultilevel"/>
    <w:tmpl w:val="CC5C946C"/>
    <w:lvl w:ilvl="0" w:tplc="4BE045D0">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0" w15:restartNumberingAfterBreak="0">
    <w:nsid w:val="7DFC7A4F"/>
    <w:multiLevelType w:val="hybridMultilevel"/>
    <w:tmpl w:val="EB887C1E"/>
    <w:lvl w:ilvl="0" w:tplc="8DB612D0">
      <w:start w:val="5"/>
      <w:numFmt w:val="decimal"/>
      <w:lvlText w:val="%1."/>
      <w:lvlJc w:val="left"/>
      <w:pPr>
        <w:ind w:left="61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7DFF6188"/>
    <w:multiLevelType w:val="hybridMultilevel"/>
    <w:tmpl w:val="475013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2" w15:restartNumberingAfterBreak="0">
    <w:nsid w:val="7E4E498D"/>
    <w:multiLevelType w:val="hybridMultilevel"/>
    <w:tmpl w:val="615A3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7E94559C"/>
    <w:multiLevelType w:val="hybridMultilevel"/>
    <w:tmpl w:val="FB4A0B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4" w15:restartNumberingAfterBreak="0">
    <w:nsid w:val="7F331988"/>
    <w:multiLevelType w:val="hybridMultilevel"/>
    <w:tmpl w:val="B4B6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7FA5362A"/>
    <w:multiLevelType w:val="hybridMultilevel"/>
    <w:tmpl w:val="378AFB50"/>
    <w:lvl w:ilvl="0" w:tplc="F42CBCF8">
      <w:start w:val="1"/>
      <w:numFmt w:val="bullet"/>
      <w:lvlText w:val=""/>
      <w:lvlJc w:val="left"/>
      <w:pPr>
        <w:ind w:left="2040" w:hanging="360"/>
      </w:pPr>
      <w:rPr>
        <w:rFonts w:ascii="Symbol" w:hAnsi="Symbol"/>
      </w:rPr>
    </w:lvl>
    <w:lvl w:ilvl="1" w:tplc="E9BA0C48">
      <w:start w:val="1"/>
      <w:numFmt w:val="bullet"/>
      <w:lvlText w:val=""/>
      <w:lvlJc w:val="left"/>
      <w:pPr>
        <w:ind w:left="2040" w:hanging="360"/>
      </w:pPr>
      <w:rPr>
        <w:rFonts w:ascii="Symbol" w:hAnsi="Symbol"/>
      </w:rPr>
    </w:lvl>
    <w:lvl w:ilvl="2" w:tplc="9C8893B4">
      <w:start w:val="1"/>
      <w:numFmt w:val="bullet"/>
      <w:lvlText w:val=""/>
      <w:lvlJc w:val="left"/>
      <w:pPr>
        <w:ind w:left="2040" w:hanging="360"/>
      </w:pPr>
      <w:rPr>
        <w:rFonts w:ascii="Symbol" w:hAnsi="Symbol"/>
      </w:rPr>
    </w:lvl>
    <w:lvl w:ilvl="3" w:tplc="0D0AA6AA">
      <w:start w:val="1"/>
      <w:numFmt w:val="bullet"/>
      <w:lvlText w:val=""/>
      <w:lvlJc w:val="left"/>
      <w:pPr>
        <w:ind w:left="2040" w:hanging="360"/>
      </w:pPr>
      <w:rPr>
        <w:rFonts w:ascii="Symbol" w:hAnsi="Symbol"/>
      </w:rPr>
    </w:lvl>
    <w:lvl w:ilvl="4" w:tplc="658E6894">
      <w:start w:val="1"/>
      <w:numFmt w:val="bullet"/>
      <w:lvlText w:val=""/>
      <w:lvlJc w:val="left"/>
      <w:pPr>
        <w:ind w:left="2040" w:hanging="360"/>
      </w:pPr>
      <w:rPr>
        <w:rFonts w:ascii="Symbol" w:hAnsi="Symbol"/>
      </w:rPr>
    </w:lvl>
    <w:lvl w:ilvl="5" w:tplc="85FC778C">
      <w:start w:val="1"/>
      <w:numFmt w:val="bullet"/>
      <w:lvlText w:val=""/>
      <w:lvlJc w:val="left"/>
      <w:pPr>
        <w:ind w:left="2040" w:hanging="360"/>
      </w:pPr>
      <w:rPr>
        <w:rFonts w:ascii="Symbol" w:hAnsi="Symbol"/>
      </w:rPr>
    </w:lvl>
    <w:lvl w:ilvl="6" w:tplc="B86ED4AA">
      <w:start w:val="1"/>
      <w:numFmt w:val="bullet"/>
      <w:lvlText w:val=""/>
      <w:lvlJc w:val="left"/>
      <w:pPr>
        <w:ind w:left="2040" w:hanging="360"/>
      </w:pPr>
      <w:rPr>
        <w:rFonts w:ascii="Symbol" w:hAnsi="Symbol"/>
      </w:rPr>
    </w:lvl>
    <w:lvl w:ilvl="7" w:tplc="1EAE6D1C">
      <w:start w:val="1"/>
      <w:numFmt w:val="bullet"/>
      <w:lvlText w:val=""/>
      <w:lvlJc w:val="left"/>
      <w:pPr>
        <w:ind w:left="2040" w:hanging="360"/>
      </w:pPr>
      <w:rPr>
        <w:rFonts w:ascii="Symbol" w:hAnsi="Symbol"/>
      </w:rPr>
    </w:lvl>
    <w:lvl w:ilvl="8" w:tplc="4948E4C4">
      <w:start w:val="1"/>
      <w:numFmt w:val="bullet"/>
      <w:lvlText w:val=""/>
      <w:lvlJc w:val="left"/>
      <w:pPr>
        <w:ind w:left="2040" w:hanging="360"/>
      </w:pPr>
      <w:rPr>
        <w:rFonts w:ascii="Symbol" w:hAnsi="Symbol"/>
      </w:rPr>
    </w:lvl>
  </w:abstractNum>
  <w:num w:numId="1" w16cid:durableId="1794639362">
    <w:abstractNumId w:val="161"/>
  </w:num>
  <w:num w:numId="2" w16cid:durableId="1866557836">
    <w:abstractNumId w:val="83"/>
  </w:num>
  <w:num w:numId="3" w16cid:durableId="1515028437">
    <w:abstractNumId w:val="185"/>
  </w:num>
  <w:num w:numId="4" w16cid:durableId="194196915">
    <w:abstractNumId w:val="170"/>
  </w:num>
  <w:num w:numId="5" w16cid:durableId="378633902">
    <w:abstractNumId w:val="268"/>
  </w:num>
  <w:num w:numId="6" w16cid:durableId="506093700">
    <w:abstractNumId w:val="27"/>
  </w:num>
  <w:num w:numId="7" w16cid:durableId="414786816">
    <w:abstractNumId w:val="134"/>
  </w:num>
  <w:num w:numId="8" w16cid:durableId="1234660011">
    <w:abstractNumId w:val="131"/>
  </w:num>
  <w:num w:numId="9" w16cid:durableId="2092237506">
    <w:abstractNumId w:val="14"/>
  </w:num>
  <w:num w:numId="10" w16cid:durableId="129054377">
    <w:abstractNumId w:val="79"/>
  </w:num>
  <w:num w:numId="11" w16cid:durableId="1909227342">
    <w:abstractNumId w:val="230"/>
  </w:num>
  <w:num w:numId="12" w16cid:durableId="980772983">
    <w:abstractNumId w:val="72"/>
  </w:num>
  <w:num w:numId="13" w16cid:durableId="712391204">
    <w:abstractNumId w:val="9"/>
  </w:num>
  <w:num w:numId="14" w16cid:durableId="2141914272">
    <w:abstractNumId w:val="7"/>
  </w:num>
  <w:num w:numId="15" w16cid:durableId="1654989011">
    <w:abstractNumId w:val="6"/>
  </w:num>
  <w:num w:numId="16" w16cid:durableId="1620992430">
    <w:abstractNumId w:val="5"/>
  </w:num>
  <w:num w:numId="17" w16cid:durableId="1301501085">
    <w:abstractNumId w:val="4"/>
  </w:num>
  <w:num w:numId="18" w16cid:durableId="1625382423">
    <w:abstractNumId w:val="8"/>
  </w:num>
  <w:num w:numId="19" w16cid:durableId="1067262023">
    <w:abstractNumId w:val="3"/>
  </w:num>
  <w:num w:numId="20" w16cid:durableId="1315135576">
    <w:abstractNumId w:val="2"/>
  </w:num>
  <w:num w:numId="21" w16cid:durableId="1690376774">
    <w:abstractNumId w:val="1"/>
  </w:num>
  <w:num w:numId="22" w16cid:durableId="1949658343">
    <w:abstractNumId w:val="0"/>
  </w:num>
  <w:num w:numId="23" w16cid:durableId="1338535710">
    <w:abstractNumId w:val="179"/>
  </w:num>
  <w:num w:numId="24" w16cid:durableId="1105609797">
    <w:abstractNumId w:val="242"/>
  </w:num>
  <w:num w:numId="25" w16cid:durableId="1624458956">
    <w:abstractNumId w:val="265"/>
  </w:num>
  <w:num w:numId="26" w16cid:durableId="967971315">
    <w:abstractNumId w:val="120"/>
  </w:num>
  <w:num w:numId="27" w16cid:durableId="1123771614">
    <w:abstractNumId w:val="80"/>
  </w:num>
  <w:num w:numId="28" w16cid:durableId="1378578520">
    <w:abstractNumId w:val="206"/>
  </w:num>
  <w:num w:numId="29" w16cid:durableId="1239560285">
    <w:abstractNumId w:val="39"/>
  </w:num>
  <w:num w:numId="30" w16cid:durableId="21130000">
    <w:abstractNumId w:val="266"/>
  </w:num>
  <w:num w:numId="31" w16cid:durableId="592251141">
    <w:abstractNumId w:val="203"/>
  </w:num>
  <w:num w:numId="32" w16cid:durableId="609358931">
    <w:abstractNumId w:val="66"/>
  </w:num>
  <w:num w:numId="33" w16cid:durableId="331300719">
    <w:abstractNumId w:val="247"/>
  </w:num>
  <w:num w:numId="34" w16cid:durableId="1388996519">
    <w:abstractNumId w:val="212"/>
  </w:num>
  <w:num w:numId="35" w16cid:durableId="1216086625">
    <w:abstractNumId w:val="197"/>
  </w:num>
  <w:num w:numId="36" w16cid:durableId="2044941724">
    <w:abstractNumId w:val="178"/>
  </w:num>
  <w:num w:numId="37" w16cid:durableId="266236796">
    <w:abstractNumId w:val="69"/>
  </w:num>
  <w:num w:numId="38" w16cid:durableId="422730246">
    <w:abstractNumId w:val="110"/>
  </w:num>
  <w:num w:numId="39" w16cid:durableId="393705513">
    <w:abstractNumId w:val="177"/>
  </w:num>
  <w:num w:numId="40" w16cid:durableId="1692876828">
    <w:abstractNumId w:val="261"/>
  </w:num>
  <w:num w:numId="41" w16cid:durableId="1836653009">
    <w:abstractNumId w:val="171"/>
  </w:num>
  <w:num w:numId="42" w16cid:durableId="46847882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78439589">
    <w:abstractNumId w:val="90"/>
  </w:num>
  <w:num w:numId="44" w16cid:durableId="246769171">
    <w:abstractNumId w:val="190"/>
  </w:num>
  <w:num w:numId="45" w16cid:durableId="1645357866">
    <w:abstractNumId w:val="125"/>
  </w:num>
  <w:num w:numId="46" w16cid:durableId="1679889884">
    <w:abstractNumId w:val="139"/>
  </w:num>
  <w:num w:numId="47" w16cid:durableId="1389720279">
    <w:abstractNumId w:val="175"/>
  </w:num>
  <w:num w:numId="48" w16cid:durableId="1941906680">
    <w:abstractNumId w:val="84"/>
  </w:num>
  <w:num w:numId="49" w16cid:durableId="2031292798">
    <w:abstractNumId w:val="207"/>
  </w:num>
  <w:num w:numId="50" w16cid:durableId="316569963">
    <w:abstractNumId w:val="15"/>
  </w:num>
  <w:num w:numId="51" w16cid:durableId="1727141177">
    <w:abstractNumId w:val="167"/>
  </w:num>
  <w:num w:numId="52" w16cid:durableId="1934433678">
    <w:abstractNumId w:val="166"/>
  </w:num>
  <w:num w:numId="53" w16cid:durableId="1503659711">
    <w:abstractNumId w:val="226"/>
  </w:num>
  <w:num w:numId="54" w16cid:durableId="868372575">
    <w:abstractNumId w:val="78"/>
  </w:num>
  <w:num w:numId="55" w16cid:durableId="1432361281">
    <w:abstractNumId w:val="238"/>
  </w:num>
  <w:num w:numId="56" w16cid:durableId="808981789">
    <w:abstractNumId w:val="225"/>
  </w:num>
  <w:num w:numId="57" w16cid:durableId="1098451140">
    <w:abstractNumId w:val="174"/>
  </w:num>
  <w:num w:numId="58" w16cid:durableId="1355226680">
    <w:abstractNumId w:val="89"/>
  </w:num>
  <w:num w:numId="59" w16cid:durableId="719401403">
    <w:abstractNumId w:val="181"/>
  </w:num>
  <w:num w:numId="60" w16cid:durableId="903295183">
    <w:abstractNumId w:val="146"/>
  </w:num>
  <w:num w:numId="61" w16cid:durableId="394276523">
    <w:abstractNumId w:val="122"/>
  </w:num>
  <w:num w:numId="62" w16cid:durableId="977219864">
    <w:abstractNumId w:val="43"/>
  </w:num>
  <w:num w:numId="63" w16cid:durableId="2048211119">
    <w:abstractNumId w:val="243"/>
  </w:num>
  <w:num w:numId="64" w16cid:durableId="809908134">
    <w:abstractNumId w:val="231"/>
  </w:num>
  <w:num w:numId="65" w16cid:durableId="1553418890">
    <w:abstractNumId w:val="82"/>
  </w:num>
  <w:num w:numId="66" w16cid:durableId="1768766241">
    <w:abstractNumId w:val="86"/>
  </w:num>
  <w:num w:numId="67" w16cid:durableId="1534341500">
    <w:abstractNumId w:val="157"/>
  </w:num>
  <w:num w:numId="68" w16cid:durableId="1523013126">
    <w:abstractNumId w:val="133"/>
  </w:num>
  <w:num w:numId="69" w16cid:durableId="279647274">
    <w:abstractNumId w:val="36"/>
  </w:num>
  <w:num w:numId="70" w16cid:durableId="1072234907">
    <w:abstractNumId w:val="180"/>
  </w:num>
  <w:num w:numId="71" w16cid:durableId="1215773734">
    <w:abstractNumId w:val="132"/>
    <w:lvlOverride w:ilvl="1">
      <w:lvl w:ilvl="1">
        <w:start w:val="1"/>
        <w:numFmt w:val="decimal"/>
        <w:pStyle w:val="Heading2"/>
        <w:lvlText w:val="%1.%2"/>
        <w:lvlJc w:val="left"/>
        <w:pPr>
          <w:ind w:left="720" w:hanging="720"/>
        </w:pPr>
        <w:rPr>
          <w:rFonts w:hint="default"/>
          <w:i w:val="0"/>
          <w:iCs/>
        </w:rPr>
      </w:lvl>
    </w:lvlOverride>
    <w:lvlOverride w:ilvl="2">
      <w:lvl w:ilvl="2">
        <w:start w:val="1"/>
        <w:numFmt w:val="decimal"/>
        <w:pStyle w:val="Level3Heading"/>
        <w:lvlText w:val="%1.%2.%3"/>
        <w:lvlJc w:val="left"/>
        <w:pPr>
          <w:ind w:left="720" w:hanging="720"/>
        </w:pPr>
        <w:rPr>
          <w:rFonts w:hint="default"/>
          <w:b w:val="0"/>
          <w:bCs/>
          <w:i w:val="0"/>
          <w:iCs/>
        </w:rPr>
      </w:lvl>
    </w:lvlOverride>
    <w:lvlOverride w:ilvl="3">
      <w:lvl w:ilvl="3">
        <w:start w:val="1"/>
        <w:numFmt w:val="decimal"/>
        <w:pStyle w:val="Level4Heading"/>
        <w:lvlText w:val="%1.%2.%3.%4"/>
        <w:lvlJc w:val="left"/>
        <w:pPr>
          <w:ind w:left="1080" w:hanging="1080"/>
        </w:pPr>
        <w:rPr>
          <w:rFonts w:hint="default"/>
          <w:i w:val="0"/>
          <w:iCs w:val="0"/>
        </w:rPr>
      </w:lvl>
    </w:lvlOverride>
  </w:num>
  <w:num w:numId="72" w16cid:durableId="1158880109">
    <w:abstractNumId w:val="127"/>
  </w:num>
  <w:num w:numId="73" w16cid:durableId="1294942464">
    <w:abstractNumId w:val="209"/>
  </w:num>
  <w:num w:numId="74" w16cid:durableId="618806174">
    <w:abstractNumId w:val="104"/>
  </w:num>
  <w:num w:numId="75" w16cid:durableId="1647396429">
    <w:abstractNumId w:val="108"/>
  </w:num>
  <w:num w:numId="76" w16cid:durableId="1251112618">
    <w:abstractNumId w:val="54"/>
  </w:num>
  <w:num w:numId="77" w16cid:durableId="1749961878">
    <w:abstractNumId w:val="192"/>
  </w:num>
  <w:num w:numId="78" w16cid:durableId="791170519">
    <w:abstractNumId w:val="260"/>
  </w:num>
  <w:num w:numId="79" w16cid:durableId="1506168517">
    <w:abstractNumId w:val="123"/>
  </w:num>
  <w:num w:numId="80" w16cid:durableId="408890717">
    <w:abstractNumId w:val="256"/>
  </w:num>
  <w:num w:numId="81" w16cid:durableId="1668357874">
    <w:abstractNumId w:val="200"/>
  </w:num>
  <w:num w:numId="82" w16cid:durableId="1621689785">
    <w:abstractNumId w:val="101"/>
  </w:num>
  <w:num w:numId="83" w16cid:durableId="40638935">
    <w:abstractNumId w:val="88"/>
  </w:num>
  <w:num w:numId="84" w16cid:durableId="794325703">
    <w:abstractNumId w:val="29"/>
  </w:num>
  <w:num w:numId="85" w16cid:durableId="37318516">
    <w:abstractNumId w:val="34"/>
  </w:num>
  <w:num w:numId="86" w16cid:durableId="956763286">
    <w:abstractNumId w:val="65"/>
  </w:num>
  <w:num w:numId="87" w16cid:durableId="1580091597">
    <w:abstractNumId w:val="271"/>
  </w:num>
  <w:num w:numId="88" w16cid:durableId="1250194623">
    <w:abstractNumId w:val="11"/>
  </w:num>
  <w:num w:numId="89" w16cid:durableId="638221025">
    <w:abstractNumId w:val="10"/>
  </w:num>
  <w:num w:numId="90" w16cid:durableId="1471631584">
    <w:abstractNumId w:val="118"/>
  </w:num>
  <w:num w:numId="91" w16cid:durableId="2070182859">
    <w:abstractNumId w:val="220"/>
  </w:num>
  <w:num w:numId="92" w16cid:durableId="1594892976">
    <w:abstractNumId w:val="81"/>
  </w:num>
  <w:num w:numId="93" w16cid:durableId="133373110">
    <w:abstractNumId w:val="52"/>
  </w:num>
  <w:num w:numId="94" w16cid:durableId="2027518244">
    <w:abstractNumId w:val="233"/>
  </w:num>
  <w:num w:numId="95" w16cid:durableId="2510211">
    <w:abstractNumId w:val="241"/>
  </w:num>
  <w:num w:numId="96" w16cid:durableId="699818306">
    <w:abstractNumId w:val="32"/>
  </w:num>
  <w:num w:numId="97" w16cid:durableId="1878857462">
    <w:abstractNumId w:val="94"/>
  </w:num>
  <w:num w:numId="98" w16cid:durableId="214396444">
    <w:abstractNumId w:val="162"/>
  </w:num>
  <w:num w:numId="99" w16cid:durableId="1216967163">
    <w:abstractNumId w:val="22"/>
  </w:num>
  <w:num w:numId="100" w16cid:durableId="1746604728">
    <w:abstractNumId w:val="41"/>
  </w:num>
  <w:num w:numId="101" w16cid:durableId="554391520">
    <w:abstractNumId w:val="129"/>
  </w:num>
  <w:num w:numId="102" w16cid:durableId="249046920">
    <w:abstractNumId w:val="18"/>
  </w:num>
  <w:num w:numId="103" w16cid:durableId="2120758954">
    <w:abstractNumId w:val="124"/>
  </w:num>
  <w:num w:numId="104" w16cid:durableId="188766482">
    <w:abstractNumId w:val="30"/>
  </w:num>
  <w:num w:numId="105" w16cid:durableId="591934997">
    <w:abstractNumId w:val="216"/>
  </w:num>
  <w:num w:numId="106" w16cid:durableId="692223505">
    <w:abstractNumId w:val="223"/>
  </w:num>
  <w:num w:numId="107" w16cid:durableId="139269600">
    <w:abstractNumId w:val="251"/>
  </w:num>
  <w:num w:numId="108" w16cid:durableId="122624370">
    <w:abstractNumId w:val="111"/>
  </w:num>
  <w:num w:numId="109" w16cid:durableId="1002663545">
    <w:abstractNumId w:val="58"/>
  </w:num>
  <w:num w:numId="110" w16cid:durableId="1174300426">
    <w:abstractNumId w:val="107"/>
  </w:num>
  <w:num w:numId="111" w16cid:durableId="1794791972">
    <w:abstractNumId w:val="168"/>
  </w:num>
  <w:num w:numId="112" w16cid:durableId="1776171761">
    <w:abstractNumId w:val="136"/>
  </w:num>
  <w:num w:numId="113" w16cid:durableId="1022704734">
    <w:abstractNumId w:val="150"/>
  </w:num>
  <w:num w:numId="114" w16cid:durableId="170918511">
    <w:abstractNumId w:val="147"/>
  </w:num>
  <w:num w:numId="115" w16cid:durableId="2005278669">
    <w:abstractNumId w:val="164"/>
  </w:num>
  <w:num w:numId="116" w16cid:durableId="348532662">
    <w:abstractNumId w:val="45"/>
  </w:num>
  <w:num w:numId="117" w16cid:durableId="567694058">
    <w:abstractNumId w:val="208"/>
  </w:num>
  <w:num w:numId="118" w16cid:durableId="600113417">
    <w:abstractNumId w:val="172"/>
  </w:num>
  <w:num w:numId="119" w16cid:durableId="1959291146">
    <w:abstractNumId w:val="236"/>
  </w:num>
  <w:num w:numId="120" w16cid:durableId="1940479541">
    <w:abstractNumId w:val="267"/>
  </w:num>
  <w:num w:numId="121" w16cid:durableId="1705208885">
    <w:abstractNumId w:val="42"/>
  </w:num>
  <w:num w:numId="122" w16cid:durableId="1079711104">
    <w:abstractNumId w:val="240"/>
  </w:num>
  <w:num w:numId="123" w16cid:durableId="1752847397">
    <w:abstractNumId w:val="196"/>
  </w:num>
  <w:num w:numId="124" w16cid:durableId="1176534342">
    <w:abstractNumId w:val="215"/>
  </w:num>
  <w:num w:numId="125" w16cid:durableId="439422447">
    <w:abstractNumId w:val="148"/>
  </w:num>
  <w:num w:numId="126" w16cid:durableId="2001351482">
    <w:abstractNumId w:val="33"/>
  </w:num>
  <w:num w:numId="127" w16cid:durableId="1185293376">
    <w:abstractNumId w:val="100"/>
  </w:num>
  <w:num w:numId="128" w16cid:durableId="807431728">
    <w:abstractNumId w:val="74"/>
  </w:num>
  <w:num w:numId="129" w16cid:durableId="694188439">
    <w:abstractNumId w:val="222"/>
  </w:num>
  <w:num w:numId="130" w16cid:durableId="389886522">
    <w:abstractNumId w:val="152"/>
  </w:num>
  <w:num w:numId="131" w16cid:durableId="649481627">
    <w:abstractNumId w:val="114"/>
  </w:num>
  <w:num w:numId="132" w16cid:durableId="2074965278">
    <w:abstractNumId w:val="273"/>
  </w:num>
  <w:num w:numId="133" w16cid:durableId="1278289823">
    <w:abstractNumId w:val="92"/>
  </w:num>
  <w:num w:numId="134" w16cid:durableId="1780562426">
    <w:abstractNumId w:val="210"/>
  </w:num>
  <w:num w:numId="135" w16cid:durableId="781539068">
    <w:abstractNumId w:val="274"/>
  </w:num>
  <w:num w:numId="136" w16cid:durableId="52394916">
    <w:abstractNumId w:val="228"/>
  </w:num>
  <w:num w:numId="137" w16cid:durableId="908736099">
    <w:abstractNumId w:val="272"/>
  </w:num>
  <w:num w:numId="138" w16cid:durableId="1533960660">
    <w:abstractNumId w:val="224"/>
  </w:num>
  <w:num w:numId="139" w16cid:durableId="1281566320">
    <w:abstractNumId w:val="155"/>
  </w:num>
  <w:num w:numId="140" w16cid:durableId="468013636">
    <w:abstractNumId w:val="126"/>
  </w:num>
  <w:num w:numId="141" w16cid:durableId="1049454507">
    <w:abstractNumId w:val="28"/>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296" w:hanging="1296"/>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584" w:hanging="1584"/>
        </w:pPr>
        <w:rPr>
          <w:rFonts w:hint="default"/>
        </w:rPr>
      </w:lvl>
    </w:lvlOverride>
    <w:lvlOverride w:ilvl="7">
      <w:lvl w:ilvl="7">
        <w:start w:val="1"/>
        <w:numFmt w:val="decimal"/>
        <w:lvlText w:val="%1.%2.%3.%4.%5.%6.%7.%8"/>
        <w:lvlJc w:val="left"/>
        <w:pPr>
          <w:ind w:left="1728" w:hanging="1728"/>
        </w:pPr>
        <w:rPr>
          <w:rFonts w:hint="default"/>
        </w:rPr>
      </w:lvl>
    </w:lvlOverride>
    <w:lvlOverride w:ilvl="8">
      <w:lvl w:ilvl="8">
        <w:start w:val="1"/>
        <w:numFmt w:val="decimal"/>
        <w:lvlText w:val="%1.%2.%3.%4.%5.%6.%7.%8.%9"/>
        <w:lvlJc w:val="left"/>
        <w:pPr>
          <w:ind w:left="1872" w:hanging="1872"/>
        </w:pPr>
        <w:rPr>
          <w:rFonts w:hint="default"/>
        </w:rPr>
      </w:lvl>
    </w:lvlOverride>
  </w:num>
  <w:num w:numId="142" w16cid:durableId="1346133088">
    <w:abstractNumId w:val="28"/>
    <w:lvlOverride w:ilvl="0">
      <w:lvl w:ilvl="0">
        <w:numFmt w:val="decimal"/>
        <w:lvlText w:val=""/>
        <w:lvlJc w:val="left"/>
      </w:lvl>
    </w:lvlOverride>
    <w:lvlOverride w:ilvl="1">
      <w:lvl w:ilvl="1">
        <w:start w:val="1"/>
        <w:numFmt w:val="decimal"/>
        <w:lvlText w:val="%1.%2"/>
        <w:lvlJc w:val="left"/>
        <w:pPr>
          <w:ind w:left="576" w:hanging="576"/>
        </w:pPr>
        <w:rPr>
          <w:rFonts w:hint="default"/>
          <w:i w:val="0"/>
        </w:rPr>
      </w:lvl>
    </w:lvlOverride>
    <w:lvlOverride w:ilvl="2">
      <w:lvl w:ilvl="2">
        <w:start w:val="1"/>
        <w:numFmt w:val="decimal"/>
        <w:lvlText w:val="%1.%2.%3"/>
        <w:lvlJc w:val="left"/>
        <w:pPr>
          <w:ind w:left="810" w:hanging="720"/>
        </w:pPr>
        <w:rPr>
          <w:rFonts w:hint="default"/>
          <w:b w:val="0"/>
          <w:i w:val="0"/>
          <w:u w:val="none"/>
        </w:rPr>
      </w:lvl>
    </w:lvlOverride>
  </w:num>
  <w:num w:numId="143" w16cid:durableId="1318656223">
    <w:abstractNumId w:val="188"/>
  </w:num>
  <w:num w:numId="144" w16cid:durableId="1898931169">
    <w:abstractNumId w:val="20"/>
  </w:num>
  <w:num w:numId="145" w16cid:durableId="558516708">
    <w:abstractNumId w:val="71"/>
  </w:num>
  <w:num w:numId="146" w16cid:durableId="99518152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19958215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81621453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24596587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8442512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79949776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76573343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48493020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69411217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80061264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61285656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25410042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77736347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61999624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55604210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77104661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57536148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01222431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91720887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53099057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22055147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201923522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837265373">
    <w:abstractNumId w:val="28"/>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decimal"/>
        <w:lvlText w:val="%1.%2.%3.%4"/>
        <w:lvlJc w:val="left"/>
        <w:pPr>
          <w:ind w:left="5724" w:hanging="864"/>
        </w:pPr>
        <w:rPr>
          <w:rFonts w:hint="default"/>
        </w:rPr>
      </w:lvl>
    </w:lvlOverride>
    <w:lvlOverride w:ilvl="4">
      <w:lvl w:ilvl="4">
        <w:start w:val="1"/>
        <w:numFmt w:val="decimal"/>
        <w:lvlText w:val="%1.%2.%3.%4.%5"/>
        <w:lvlJc w:val="left"/>
        <w:pPr>
          <w:ind w:left="1008" w:hanging="1008"/>
        </w:pPr>
        <w:rPr>
          <w:rFonts w:hint="default"/>
          <w:b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69" w16cid:durableId="1260404649">
    <w:abstractNumId w:val="169"/>
  </w:num>
  <w:num w:numId="170" w16cid:durableId="689143132">
    <w:abstractNumId w:val="40"/>
  </w:num>
  <w:num w:numId="171" w16cid:durableId="1241251946">
    <w:abstractNumId w:val="28"/>
    <w:lvlOverride w:ilvl="0">
      <w:lvl w:ilvl="0">
        <w:start w:val="5"/>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72" w16cid:durableId="1995452732">
    <w:abstractNumId w:val="87"/>
  </w:num>
  <w:num w:numId="173" w16cid:durableId="659383119">
    <w:abstractNumId w:val="128"/>
  </w:num>
  <w:num w:numId="174" w16cid:durableId="1553344581">
    <w:abstractNumId w:val="191"/>
  </w:num>
  <w:num w:numId="175" w16cid:durableId="2094088974">
    <w:abstractNumId w:val="44"/>
  </w:num>
  <w:num w:numId="176" w16cid:durableId="1789931518">
    <w:abstractNumId w:val="151"/>
  </w:num>
  <w:num w:numId="177" w16cid:durableId="1089277637">
    <w:abstractNumId w:val="47"/>
  </w:num>
  <w:num w:numId="178" w16cid:durableId="1556813601">
    <w:abstractNumId w:val="259"/>
  </w:num>
  <w:num w:numId="179" w16cid:durableId="1813594591">
    <w:abstractNumId w:val="117"/>
  </w:num>
  <w:num w:numId="180" w16cid:durableId="1302887028">
    <w:abstractNumId w:val="59"/>
  </w:num>
  <w:num w:numId="181" w16cid:durableId="1203325836">
    <w:abstractNumId w:val="237"/>
  </w:num>
  <w:num w:numId="182" w16cid:durableId="874342966">
    <w:abstractNumId w:val="193"/>
  </w:num>
  <w:num w:numId="183" w16cid:durableId="2087264296">
    <w:abstractNumId w:val="156"/>
  </w:num>
  <w:num w:numId="184" w16cid:durableId="489105142">
    <w:abstractNumId w:val="140"/>
  </w:num>
  <w:num w:numId="185" w16cid:durableId="416054966">
    <w:abstractNumId w:val="24"/>
  </w:num>
  <w:num w:numId="186" w16cid:durableId="1616523898">
    <w:abstractNumId w:val="63"/>
  </w:num>
  <w:num w:numId="187" w16cid:durableId="2038507030">
    <w:abstractNumId w:val="50"/>
  </w:num>
  <w:num w:numId="188" w16cid:durableId="81613481">
    <w:abstractNumId w:val="61"/>
  </w:num>
  <w:num w:numId="189" w16cid:durableId="1832256495">
    <w:abstractNumId w:val="102"/>
  </w:num>
  <w:num w:numId="190" w16cid:durableId="2054958832">
    <w:abstractNumId w:val="262"/>
  </w:num>
  <w:num w:numId="191" w16cid:durableId="1322465080">
    <w:abstractNumId w:val="112"/>
  </w:num>
  <w:num w:numId="192" w16cid:durableId="1087389556">
    <w:abstractNumId w:val="257"/>
  </w:num>
  <w:num w:numId="193" w16cid:durableId="845633253">
    <w:abstractNumId w:val="31"/>
  </w:num>
  <w:num w:numId="194" w16cid:durableId="1795709604">
    <w:abstractNumId w:val="235"/>
  </w:num>
  <w:num w:numId="195" w16cid:durableId="846939686">
    <w:abstractNumId w:val="98"/>
  </w:num>
  <w:num w:numId="196" w16cid:durableId="1274750509">
    <w:abstractNumId w:val="105"/>
  </w:num>
  <w:num w:numId="197" w16cid:durableId="1349287759">
    <w:abstractNumId w:val="189"/>
  </w:num>
  <w:num w:numId="198" w16cid:durableId="1354499828">
    <w:abstractNumId w:val="13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99" w16cid:durableId="2046058631">
    <w:abstractNumId w:val="85"/>
  </w:num>
  <w:num w:numId="200" w16cid:durableId="665477834">
    <w:abstractNumId w:val="165"/>
  </w:num>
  <w:num w:numId="201" w16cid:durableId="1043672661">
    <w:abstractNumId w:val="51"/>
  </w:num>
  <w:num w:numId="202" w16cid:durableId="1780031167">
    <w:abstractNumId w:val="138"/>
  </w:num>
  <w:num w:numId="203" w16cid:durableId="217522502">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107890621">
    <w:abstractNumId w:val="250"/>
  </w:num>
  <w:num w:numId="205" w16cid:durableId="1842425937">
    <w:abstractNumId w:val="252"/>
  </w:num>
  <w:num w:numId="206" w16cid:durableId="1176920561">
    <w:abstractNumId w:val="255"/>
  </w:num>
  <w:num w:numId="207" w16cid:durableId="1063485413">
    <w:abstractNumId w:val="184"/>
  </w:num>
  <w:num w:numId="208" w16cid:durableId="979529945">
    <w:abstractNumId w:val="270"/>
  </w:num>
  <w:num w:numId="209" w16cid:durableId="1666668924">
    <w:abstractNumId w:val="229"/>
  </w:num>
  <w:num w:numId="210" w16cid:durableId="1778059283">
    <w:abstractNumId w:val="99"/>
  </w:num>
  <w:num w:numId="211" w16cid:durableId="197208590">
    <w:abstractNumId w:val="91"/>
  </w:num>
  <w:num w:numId="212" w16cid:durableId="1316833743">
    <w:abstractNumId w:val="176"/>
  </w:num>
  <w:num w:numId="213" w16cid:durableId="938148275">
    <w:abstractNumId w:val="219"/>
  </w:num>
  <w:num w:numId="214" w16cid:durableId="509872086">
    <w:abstractNumId w:val="19"/>
  </w:num>
  <w:num w:numId="215" w16cid:durableId="1179732447">
    <w:abstractNumId w:val="194"/>
  </w:num>
  <w:num w:numId="216" w16cid:durableId="453839061">
    <w:abstractNumId w:val="73"/>
  </w:num>
  <w:num w:numId="217" w16cid:durableId="1876191919">
    <w:abstractNumId w:val="21"/>
  </w:num>
  <w:num w:numId="218" w16cid:durableId="1322464079">
    <w:abstractNumId w:val="227"/>
  </w:num>
  <w:num w:numId="219" w16cid:durableId="634411204">
    <w:abstractNumId w:val="28"/>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decimal"/>
        <w:lvlText w:val="%1.%2.%3.%4"/>
        <w:lvlJc w:val="left"/>
        <w:pPr>
          <w:ind w:left="5994" w:hanging="864"/>
        </w:pPr>
        <w:rPr>
          <w:rFonts w:hint="default"/>
        </w:rPr>
      </w:lvl>
    </w:lvlOverride>
    <w:lvlOverride w:ilvl="4">
      <w:lvl w:ilvl="4">
        <w:start w:val="1"/>
        <w:numFmt w:val="decimal"/>
        <w:lvlText w:val="%1.%2.%3.%4.%5"/>
        <w:lvlJc w:val="left"/>
        <w:pPr>
          <w:ind w:left="1008" w:hanging="1008"/>
        </w:pPr>
        <w:rPr>
          <w:rFonts w:hint="default"/>
          <w:b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20" w16cid:durableId="1133519499">
    <w:abstractNumId w:val="23"/>
  </w:num>
  <w:num w:numId="221" w16cid:durableId="1897666911">
    <w:abstractNumId w:val="68"/>
  </w:num>
  <w:num w:numId="222" w16cid:durableId="966475635">
    <w:abstractNumId w:val="218"/>
  </w:num>
  <w:num w:numId="223" w16cid:durableId="1368720600">
    <w:abstractNumId w:val="28"/>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24" w16cid:durableId="2001736462">
    <w:abstractNumId w:val="213"/>
  </w:num>
  <w:num w:numId="225" w16cid:durableId="2043168260">
    <w:abstractNumId w:val="214"/>
  </w:num>
  <w:num w:numId="226" w16cid:durableId="820924971">
    <w:abstractNumId w:val="239"/>
  </w:num>
  <w:num w:numId="227" w16cid:durableId="636684096">
    <w:abstractNumId w:val="202"/>
  </w:num>
  <w:num w:numId="228" w16cid:durableId="1972052066">
    <w:abstractNumId w:val="56"/>
  </w:num>
  <w:num w:numId="229" w16cid:durableId="1288121815">
    <w:abstractNumId w:val="198"/>
  </w:num>
  <w:num w:numId="230" w16cid:durableId="1916160239">
    <w:abstractNumId w:val="26"/>
  </w:num>
  <w:num w:numId="231" w16cid:durableId="880093314">
    <w:abstractNumId w:val="25"/>
  </w:num>
  <w:num w:numId="232" w16cid:durableId="1970622422">
    <w:abstractNumId w:val="143"/>
  </w:num>
  <w:num w:numId="233" w16cid:durableId="1040664861">
    <w:abstractNumId w:val="60"/>
  </w:num>
  <w:num w:numId="234" w16cid:durableId="14380586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291178284">
    <w:abstractNumId w:val="28"/>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40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36" w16cid:durableId="1324747645">
    <w:abstractNumId w:val="28"/>
  </w:num>
  <w:num w:numId="237" w16cid:durableId="1662806220">
    <w:abstractNumId w:val="183"/>
  </w:num>
  <w:num w:numId="238" w16cid:durableId="925990520">
    <w:abstractNumId w:val="16"/>
  </w:num>
  <w:num w:numId="239" w16cid:durableId="1049839357">
    <w:abstractNumId w:val="173"/>
  </w:num>
  <w:num w:numId="240" w16cid:durableId="147602214">
    <w:abstractNumId w:val="221"/>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51337922">
    <w:abstractNumId w:val="28"/>
    <w:lvlOverride w:ilvl="0">
      <w:lvl w:ilvl="0">
        <w:numFmt w:val="decimal"/>
        <w:lvlText w:val=""/>
        <w:lvlJc w:val="left"/>
      </w:lvl>
    </w:lvlOverride>
    <w:lvlOverride w:ilvl="1">
      <w:lvl w:ilvl="1">
        <w:start w:val="1"/>
        <w:numFmt w:val="decimal"/>
        <w:lvlText w:val="%1.%2"/>
        <w:lvlJc w:val="left"/>
        <w:pPr>
          <w:ind w:left="576" w:hanging="576"/>
        </w:pPr>
        <w:rPr>
          <w:rFonts w:hint="default"/>
          <w:i w:val="0"/>
        </w:rPr>
      </w:lvl>
    </w:lvlOverride>
    <w:lvlOverride w:ilvl="2">
      <w:lvl w:ilvl="2">
        <w:start w:val="1"/>
        <w:numFmt w:val="decimal"/>
        <w:lvlText w:val="%1.%2.%3"/>
        <w:lvlJc w:val="left"/>
        <w:pPr>
          <w:ind w:left="810" w:hanging="720"/>
        </w:pPr>
        <w:rPr>
          <w:rFonts w:hint="default"/>
          <w:b w:val="0"/>
          <w:i w:val="0"/>
          <w:u w:val="none"/>
        </w:rPr>
      </w:lvl>
    </w:lvlOverride>
  </w:num>
  <w:num w:numId="242" w16cid:durableId="543520102">
    <w:abstractNumId w:val="17"/>
  </w:num>
  <w:num w:numId="243" w16cid:durableId="808086405">
    <w:abstractNumId w:val="49"/>
  </w:num>
  <w:num w:numId="244" w16cid:durableId="1330064123">
    <w:abstractNumId w:val="115"/>
  </w:num>
  <w:num w:numId="245" w16cid:durableId="384912052">
    <w:abstractNumId w:val="244"/>
  </w:num>
  <w:num w:numId="246" w16cid:durableId="944650510">
    <w:abstractNumId w:val="28"/>
    <w:lvlOverride w:ilvl="0">
      <w:lvl w:ilvl="0">
        <w:numFmt w:val="decimal"/>
        <w:lvlText w:val=""/>
        <w:lvlJc w:val="left"/>
      </w:lvl>
    </w:lvlOverride>
    <w:lvlOverride w:ilvl="1">
      <w:lvl w:ilvl="1">
        <w:start w:val="1"/>
        <w:numFmt w:val="decimal"/>
        <w:lvlText w:val="%1.%2"/>
        <w:lvlJc w:val="left"/>
        <w:pPr>
          <w:ind w:left="576" w:hanging="576"/>
        </w:pPr>
        <w:rPr>
          <w:rFonts w:hint="default"/>
          <w:i w:val="0"/>
        </w:rPr>
      </w:lvl>
    </w:lvlOverride>
    <w:lvlOverride w:ilvl="2">
      <w:lvl w:ilvl="2">
        <w:start w:val="1"/>
        <w:numFmt w:val="decimal"/>
        <w:lvlText w:val="%1.%2.%3"/>
        <w:lvlJc w:val="left"/>
        <w:pPr>
          <w:ind w:left="810" w:hanging="720"/>
        </w:pPr>
        <w:rPr>
          <w:rFonts w:hint="default"/>
          <w:b w:val="0"/>
          <w:i w:val="0"/>
          <w:u w:val="none"/>
        </w:rPr>
      </w:lvl>
    </w:lvlOverride>
  </w:num>
  <w:num w:numId="247" w16cid:durableId="2116441051">
    <w:abstractNumId w:val="28"/>
    <w:lvlOverride w:ilvl="0">
      <w:lvl w:ilvl="0">
        <w:numFmt w:val="decimal"/>
        <w:lvlText w:val=""/>
        <w:lvlJc w:val="left"/>
      </w:lvl>
    </w:lvlOverride>
    <w:lvlOverride w:ilvl="1">
      <w:lvl w:ilvl="1">
        <w:start w:val="1"/>
        <w:numFmt w:val="decimal"/>
        <w:lvlText w:val="%1.%2"/>
        <w:lvlJc w:val="left"/>
        <w:pPr>
          <w:ind w:left="576" w:hanging="576"/>
        </w:pPr>
        <w:rPr>
          <w:rFonts w:hint="default"/>
          <w:i w:val="0"/>
        </w:rPr>
      </w:lvl>
    </w:lvlOverride>
    <w:lvlOverride w:ilvl="2">
      <w:lvl w:ilvl="2">
        <w:start w:val="1"/>
        <w:numFmt w:val="decimal"/>
        <w:lvlText w:val="%1.%2.%3"/>
        <w:lvlJc w:val="left"/>
        <w:pPr>
          <w:ind w:left="810" w:hanging="720"/>
        </w:pPr>
        <w:rPr>
          <w:rFonts w:hint="default"/>
          <w:b w:val="0"/>
          <w:i w:val="0"/>
          <w:u w:val="none"/>
        </w:rPr>
      </w:lvl>
    </w:lvlOverride>
  </w:num>
  <w:num w:numId="248" w16cid:durableId="1239173189">
    <w:abstractNumId w:val="28"/>
    <w:lvlOverride w:ilvl="0">
      <w:lvl w:ilvl="0">
        <w:numFmt w:val="decimal"/>
        <w:lvlText w:val=""/>
        <w:lvlJc w:val="left"/>
      </w:lvl>
    </w:lvlOverride>
    <w:lvlOverride w:ilvl="1">
      <w:lvl w:ilvl="1">
        <w:start w:val="1"/>
        <w:numFmt w:val="decimal"/>
        <w:lvlText w:val="%1.%2"/>
        <w:lvlJc w:val="left"/>
        <w:pPr>
          <w:ind w:left="576" w:hanging="576"/>
        </w:pPr>
        <w:rPr>
          <w:rFonts w:hint="default"/>
          <w:i w:val="0"/>
        </w:rPr>
      </w:lvl>
    </w:lvlOverride>
    <w:lvlOverride w:ilvl="2">
      <w:lvl w:ilvl="2">
        <w:start w:val="1"/>
        <w:numFmt w:val="decimal"/>
        <w:lvlText w:val="%1.%2.%3"/>
        <w:lvlJc w:val="left"/>
        <w:pPr>
          <w:ind w:left="810" w:hanging="720"/>
        </w:pPr>
        <w:rPr>
          <w:rFonts w:hint="default"/>
          <w:b w:val="0"/>
          <w:i w:val="0"/>
          <w:u w:val="none"/>
        </w:rPr>
      </w:lvl>
    </w:lvlOverride>
  </w:num>
  <w:num w:numId="249" w16cid:durableId="472677289">
    <w:abstractNumId w:val="28"/>
    <w:lvlOverride w:ilvl="0">
      <w:lvl w:ilvl="0">
        <w:start w:val="1"/>
        <w:numFmt w:val="decimal"/>
        <w:lvlText w:val="%1."/>
        <w:lvlJc w:val="left"/>
        <w:pPr>
          <w:ind w:left="432" w:hanging="432"/>
        </w:pPr>
      </w:lvl>
    </w:lvlOverride>
    <w:lvlOverride w:ilvl="1">
      <w:lvl w:ilvl="1">
        <w:start w:val="1"/>
        <w:numFmt w:val="decimal"/>
        <w:lvlText w:val="%1.%2"/>
        <w:lvlJc w:val="left"/>
        <w:pPr>
          <w:ind w:left="720" w:hanging="720"/>
        </w:pPr>
        <w:rPr>
          <w:i w:val="0"/>
          <w:iCs/>
        </w:rPr>
      </w:lvl>
    </w:lvlOverride>
    <w:lvlOverride w:ilvl="2">
      <w:lvl w:ilvl="2">
        <w:start w:val="1"/>
        <w:numFmt w:val="decimal"/>
        <w:lvlText w:val="%1.%2.%3"/>
        <w:lvlJc w:val="left"/>
        <w:pPr>
          <w:ind w:left="720" w:hanging="720"/>
        </w:pPr>
        <w:rPr>
          <w:i w:val="0"/>
          <w:iCs w:val="0"/>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440" w:hanging="1440"/>
        </w:pPr>
        <w:rPr>
          <w:rFonts w:hint="default"/>
          <w:b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50" w16cid:durableId="104496433">
    <w:abstractNumId w:val="28"/>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720" w:hanging="720"/>
        </w:pPr>
        <w:rPr>
          <w:rFonts w:hint="default"/>
          <w:i w:val="0"/>
          <w:iCs/>
        </w:rPr>
      </w:lvl>
    </w:lvlOverride>
    <w:lvlOverride w:ilvl="2">
      <w:lvl w:ilvl="2">
        <w:start w:val="1"/>
        <w:numFmt w:val="decimal"/>
        <w:lvlText w:val="%1.%2.%3"/>
        <w:lvlJc w:val="left"/>
        <w:pPr>
          <w:ind w:left="720" w:hanging="720"/>
        </w:pPr>
        <w:rPr>
          <w:rFonts w:hint="default"/>
          <w:i w:val="0"/>
          <w:iCs w:val="0"/>
        </w:rPr>
      </w:lvl>
    </w:lvlOverride>
    <w:lvlOverride w:ilvl="3">
      <w:lvl w:ilvl="3">
        <w:start w:val="1"/>
        <w:numFmt w:val="decimal"/>
        <w:lvlText w:val="%1.%2.%3.%4"/>
        <w:lvlJc w:val="left"/>
        <w:pPr>
          <w:ind w:left="1080" w:hanging="1080"/>
        </w:pPr>
        <w:rPr>
          <w:rFonts w:hint="default"/>
          <w:i w:val="0"/>
          <w:iCs w:val="0"/>
        </w:rPr>
      </w:lvl>
    </w:lvlOverride>
    <w:lvlOverride w:ilvl="4">
      <w:lvl w:ilvl="4">
        <w:start w:val="1"/>
        <w:numFmt w:val="decimal"/>
        <w:lvlText w:val="%1.%2.%3.%4.%5"/>
        <w:lvlJc w:val="left"/>
        <w:pPr>
          <w:ind w:left="1440" w:hanging="1440"/>
        </w:pPr>
        <w:rPr>
          <w:rFonts w:hint="default"/>
          <w:b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51" w16cid:durableId="1163161235">
    <w:abstractNumId w:val="253"/>
  </w:num>
  <w:num w:numId="252" w16cid:durableId="1158182699">
    <w:abstractNumId w:val="28"/>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rPr>
          <w:b w:val="0"/>
          <w:bCs/>
          <w:i w:val="0"/>
          <w:iCs/>
        </w:rPr>
      </w:lvl>
    </w:lvlOverride>
    <w:lvlOverride w:ilvl="3">
      <w:lvl w:ilvl="3">
        <w:start w:val="1"/>
        <w:numFmt w:val="decimal"/>
        <w:lvlText w:val="%1.%2.%3.%4"/>
        <w:lvlJc w:val="left"/>
        <w:pPr>
          <w:ind w:left="2844" w:hanging="86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53" w16cid:durableId="1763380851">
    <w:abstractNumId w:val="77"/>
  </w:num>
  <w:num w:numId="254" w16cid:durableId="1697340610">
    <w:abstractNumId w:val="13"/>
  </w:num>
  <w:num w:numId="255" w16cid:durableId="518205204">
    <w:abstractNumId w:val="182"/>
  </w:num>
  <w:num w:numId="256" w16cid:durableId="2057243340">
    <w:abstractNumId w:val="137"/>
  </w:num>
  <w:num w:numId="257" w16cid:durableId="1095051500">
    <w:abstractNumId w:val="48"/>
  </w:num>
  <w:num w:numId="258" w16cid:durableId="1915427424">
    <w:abstractNumId w:val="245"/>
  </w:num>
  <w:num w:numId="259" w16cid:durableId="1220286663">
    <w:abstractNumId w:val="130"/>
  </w:num>
  <w:num w:numId="260" w16cid:durableId="1606889810">
    <w:abstractNumId w:val="67"/>
    <w:lvlOverride w:ilvl="0">
      <w:lvl w:ilvl="0">
        <w:numFmt w:val="decimal"/>
        <w:lvlText w:val=""/>
        <w:lvlJc w:val="left"/>
      </w:lvl>
    </w:lvlOverride>
    <w:lvlOverride w:ilvl="1">
      <w:lvl w:ilvl="1">
        <w:start w:val="1"/>
        <w:numFmt w:val="upperLetter"/>
        <w:lvlText w:val="%2."/>
        <w:lvlJc w:val="left"/>
        <w:pPr>
          <w:ind w:left="1440" w:hanging="360"/>
        </w:pPr>
        <w:rPr>
          <w:b w:val="0"/>
        </w:rPr>
      </w:lvl>
    </w:lvlOverride>
    <w:lvlOverride w:ilvl="2">
      <w:lvl w:ilvl="2">
        <w:start w:val="1"/>
        <w:numFmt w:val="decimal"/>
        <w:lvlText w:val="%3."/>
        <w:lvlJc w:val="right"/>
        <w:pPr>
          <w:ind w:left="2160" w:hanging="180"/>
        </w:pPr>
        <w:rPr>
          <w:b w:val="0"/>
        </w:rPr>
      </w:lvl>
    </w:lvlOverride>
  </w:num>
  <w:num w:numId="261" w16cid:durableId="252738327">
    <w:abstractNumId w:val="199"/>
  </w:num>
  <w:num w:numId="262" w16cid:durableId="1563251148">
    <w:abstractNumId w:val="158"/>
  </w:num>
  <w:num w:numId="263" w16cid:durableId="2110075614">
    <w:abstractNumId w:val="142"/>
  </w:num>
  <w:num w:numId="264" w16cid:durableId="149488020">
    <w:abstractNumId w:val="57"/>
  </w:num>
  <w:num w:numId="265" w16cid:durableId="2078016691">
    <w:abstractNumId w:val="109"/>
  </w:num>
  <w:num w:numId="266" w16cid:durableId="65879755">
    <w:abstractNumId w:val="163"/>
  </w:num>
  <w:num w:numId="267" w16cid:durableId="1512254558">
    <w:abstractNumId w:val="249"/>
  </w:num>
  <w:num w:numId="268" w16cid:durableId="1490512722">
    <w:abstractNumId w:val="246"/>
  </w:num>
  <w:num w:numId="269" w16cid:durableId="1118909826">
    <w:abstractNumId w:val="113"/>
  </w:num>
  <w:num w:numId="270" w16cid:durableId="1558738491">
    <w:abstractNumId w:val="77"/>
    <w:lvlOverride w:ilvl="0">
      <w:startOverride w:val="5"/>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1745029775">
    <w:abstractNumId w:val="211"/>
  </w:num>
  <w:num w:numId="272" w16cid:durableId="1286083510">
    <w:abstractNumId w:val="119"/>
  </w:num>
  <w:num w:numId="273" w16cid:durableId="57873524">
    <w:abstractNumId w:val="195"/>
  </w:num>
  <w:num w:numId="274" w16cid:durableId="1636835778">
    <w:abstractNumId w:val="258"/>
  </w:num>
  <w:num w:numId="275" w16cid:durableId="363216398">
    <w:abstractNumId w:val="64"/>
  </w:num>
  <w:num w:numId="276" w16cid:durableId="920869320">
    <w:abstractNumId w:val="217"/>
  </w:num>
  <w:num w:numId="277" w16cid:durableId="1504664239">
    <w:abstractNumId w:val="275"/>
  </w:num>
  <w:num w:numId="278" w16cid:durableId="863640089">
    <w:abstractNumId w:val="160"/>
  </w:num>
  <w:num w:numId="279" w16cid:durableId="1969046005">
    <w:abstractNumId w:val="205"/>
  </w:num>
  <w:num w:numId="280" w16cid:durableId="501821599">
    <w:abstractNumId w:val="96"/>
  </w:num>
  <w:num w:numId="281" w16cid:durableId="1307785126">
    <w:abstractNumId w:val="62"/>
  </w:num>
  <w:num w:numId="282" w16cid:durableId="492306998">
    <w:abstractNumId w:val="263"/>
  </w:num>
  <w:num w:numId="283" w16cid:durableId="1383866117">
    <w:abstractNumId w:val="53"/>
  </w:num>
  <w:num w:numId="284" w16cid:durableId="1954903232">
    <w:abstractNumId w:val="232"/>
  </w:num>
  <w:num w:numId="285" w16cid:durableId="862743456">
    <w:abstractNumId w:val="264"/>
  </w:num>
  <w:num w:numId="286" w16cid:durableId="1290014852">
    <w:abstractNumId w:val="95"/>
  </w:num>
  <w:num w:numId="287" w16cid:durableId="966549235">
    <w:abstractNumId w:val="116"/>
  </w:num>
  <w:num w:numId="288" w16cid:durableId="1045640127">
    <w:abstractNumId w:val="187"/>
  </w:num>
  <w:num w:numId="289" w16cid:durableId="2038970211">
    <w:abstractNumId w:val="145"/>
  </w:num>
  <w:num w:numId="290" w16cid:durableId="1946888620">
    <w:abstractNumId w:val="75"/>
  </w:num>
  <w:num w:numId="291" w16cid:durableId="1553691721">
    <w:abstractNumId w:val="97"/>
  </w:num>
  <w:num w:numId="292" w16cid:durableId="50466198">
    <w:abstractNumId w:val="254"/>
  </w:num>
  <w:num w:numId="293" w16cid:durableId="1362778154">
    <w:abstractNumId w:val="38"/>
  </w:num>
  <w:num w:numId="294" w16cid:durableId="1598365818">
    <w:abstractNumId w:val="144"/>
  </w:num>
  <w:num w:numId="295" w16cid:durableId="484783718">
    <w:abstractNumId w:val="186"/>
  </w:num>
  <w:num w:numId="296" w16cid:durableId="1985351640">
    <w:abstractNumId w:val="159"/>
  </w:num>
  <w:num w:numId="297" w16cid:durableId="132452833">
    <w:abstractNumId w:val="154"/>
  </w:num>
  <w:num w:numId="298" w16cid:durableId="290284290">
    <w:abstractNumId w:val="76"/>
  </w:num>
  <w:num w:numId="299" w16cid:durableId="1155688257">
    <w:abstractNumId w:val="141"/>
  </w:num>
  <w:num w:numId="300" w16cid:durableId="1147551666">
    <w:abstractNumId w:val="106"/>
  </w:num>
  <w:num w:numId="301" w16cid:durableId="1028144283">
    <w:abstractNumId w:val="248"/>
  </w:num>
  <w:num w:numId="302" w16cid:durableId="668022159">
    <w:abstractNumId w:val="201"/>
  </w:num>
  <w:num w:numId="303" w16cid:durableId="1768193104">
    <w:abstractNumId w:val="93"/>
  </w:num>
  <w:num w:numId="304" w16cid:durableId="1485314730">
    <w:abstractNumId w:val="103"/>
  </w:num>
  <w:num w:numId="305" w16cid:durableId="1721394603">
    <w:abstractNumId w:val="269"/>
  </w:num>
  <w:num w:numId="306" w16cid:durableId="129369841">
    <w:abstractNumId w:val="46"/>
  </w:num>
  <w:num w:numId="307" w16cid:durableId="763696135">
    <w:abstractNumId w:val="35"/>
  </w:num>
  <w:num w:numId="308" w16cid:durableId="1262911256">
    <w:abstractNumId w:val="37"/>
  </w:num>
  <w:num w:numId="309" w16cid:durableId="1506674092">
    <w:abstractNumId w:val="234"/>
  </w:num>
  <w:num w:numId="310" w16cid:durableId="683552245">
    <w:abstractNumId w:val="55"/>
  </w:num>
  <w:num w:numId="311" w16cid:durableId="1731418912">
    <w:abstractNumId w:val="70"/>
  </w:num>
  <w:num w:numId="312" w16cid:durableId="929123067">
    <w:abstractNumId w:val="149"/>
  </w:num>
  <w:num w:numId="313" w16cid:durableId="1942226182">
    <w:abstractNumId w:val="153"/>
  </w:num>
  <w:num w:numId="314" w16cid:durableId="1701932528">
    <w:abstractNumId w:val="135"/>
  </w:num>
  <w:num w:numId="315" w16cid:durableId="211307975">
    <w:abstractNumId w:val="12"/>
  </w:num>
  <w:numIdMacAtCleanup w:val="3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0" w:nlCheck="1" w:checkStyle="0"/>
  <w:activeWritingStyle w:appName="MSWord" w:lang="de-DE" w:vendorID="64" w:dllVersion="0"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1080"/>
  <w:hyphenationZone w:val="95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461E1A"/>
    <w:rsid w:val="0000088D"/>
    <w:rsid w:val="00000AB8"/>
    <w:rsid w:val="00000C43"/>
    <w:rsid w:val="00001018"/>
    <w:rsid w:val="00001FAA"/>
    <w:rsid w:val="000029CF"/>
    <w:rsid w:val="00002E89"/>
    <w:rsid w:val="00003104"/>
    <w:rsid w:val="000035FE"/>
    <w:rsid w:val="000036F8"/>
    <w:rsid w:val="000038A9"/>
    <w:rsid w:val="00005643"/>
    <w:rsid w:val="000057BD"/>
    <w:rsid w:val="00005D50"/>
    <w:rsid w:val="000060E3"/>
    <w:rsid w:val="000064EC"/>
    <w:rsid w:val="000065D3"/>
    <w:rsid w:val="0000681B"/>
    <w:rsid w:val="0000697C"/>
    <w:rsid w:val="00006B91"/>
    <w:rsid w:val="000074D8"/>
    <w:rsid w:val="000074FA"/>
    <w:rsid w:val="00007846"/>
    <w:rsid w:val="0000785D"/>
    <w:rsid w:val="000078B7"/>
    <w:rsid w:val="00007B69"/>
    <w:rsid w:val="00007D56"/>
    <w:rsid w:val="0001057C"/>
    <w:rsid w:val="00010CCF"/>
    <w:rsid w:val="00010DEE"/>
    <w:rsid w:val="000116D9"/>
    <w:rsid w:val="00011C6E"/>
    <w:rsid w:val="00012417"/>
    <w:rsid w:val="00012BF6"/>
    <w:rsid w:val="00012CCA"/>
    <w:rsid w:val="00012DF5"/>
    <w:rsid w:val="000131F2"/>
    <w:rsid w:val="00013341"/>
    <w:rsid w:val="00013806"/>
    <w:rsid w:val="0001452D"/>
    <w:rsid w:val="00014FE5"/>
    <w:rsid w:val="00015438"/>
    <w:rsid w:val="000154BD"/>
    <w:rsid w:val="000156E8"/>
    <w:rsid w:val="00015F5F"/>
    <w:rsid w:val="00016502"/>
    <w:rsid w:val="000167A8"/>
    <w:rsid w:val="00016C6C"/>
    <w:rsid w:val="00016D13"/>
    <w:rsid w:val="00016E1D"/>
    <w:rsid w:val="0001771D"/>
    <w:rsid w:val="00017725"/>
    <w:rsid w:val="00017D3E"/>
    <w:rsid w:val="00020247"/>
    <w:rsid w:val="00020381"/>
    <w:rsid w:val="00020459"/>
    <w:rsid w:val="000205EC"/>
    <w:rsid w:val="000207E1"/>
    <w:rsid w:val="000211B9"/>
    <w:rsid w:val="000212DB"/>
    <w:rsid w:val="000219F4"/>
    <w:rsid w:val="00021EE4"/>
    <w:rsid w:val="00021F10"/>
    <w:rsid w:val="000220D6"/>
    <w:rsid w:val="0002284E"/>
    <w:rsid w:val="00022862"/>
    <w:rsid w:val="00022C22"/>
    <w:rsid w:val="00023254"/>
    <w:rsid w:val="00023790"/>
    <w:rsid w:val="00023B1C"/>
    <w:rsid w:val="00024471"/>
    <w:rsid w:val="00024650"/>
    <w:rsid w:val="00024A48"/>
    <w:rsid w:val="00024ED9"/>
    <w:rsid w:val="00024F7E"/>
    <w:rsid w:val="000253A6"/>
    <w:rsid w:val="000254A9"/>
    <w:rsid w:val="000255EE"/>
    <w:rsid w:val="00025847"/>
    <w:rsid w:val="000268A8"/>
    <w:rsid w:val="00026EBB"/>
    <w:rsid w:val="0003007E"/>
    <w:rsid w:val="00030A3A"/>
    <w:rsid w:val="00031635"/>
    <w:rsid w:val="000316A3"/>
    <w:rsid w:val="0003195F"/>
    <w:rsid w:val="00031B19"/>
    <w:rsid w:val="0003228C"/>
    <w:rsid w:val="00033E38"/>
    <w:rsid w:val="00033E6A"/>
    <w:rsid w:val="00034361"/>
    <w:rsid w:val="0003492B"/>
    <w:rsid w:val="00034E19"/>
    <w:rsid w:val="00034EA7"/>
    <w:rsid w:val="000350E9"/>
    <w:rsid w:val="00035731"/>
    <w:rsid w:val="0003584D"/>
    <w:rsid w:val="00035936"/>
    <w:rsid w:val="00035BED"/>
    <w:rsid w:val="00035E23"/>
    <w:rsid w:val="00035F16"/>
    <w:rsid w:val="000362B7"/>
    <w:rsid w:val="00036305"/>
    <w:rsid w:val="00036A7D"/>
    <w:rsid w:val="00036FDD"/>
    <w:rsid w:val="0003749B"/>
    <w:rsid w:val="00037919"/>
    <w:rsid w:val="00037939"/>
    <w:rsid w:val="000379F5"/>
    <w:rsid w:val="00037C65"/>
    <w:rsid w:val="00037C6D"/>
    <w:rsid w:val="00037FA8"/>
    <w:rsid w:val="0004012A"/>
    <w:rsid w:val="00040283"/>
    <w:rsid w:val="00040462"/>
    <w:rsid w:val="00040527"/>
    <w:rsid w:val="00040B6D"/>
    <w:rsid w:val="0004112B"/>
    <w:rsid w:val="00041510"/>
    <w:rsid w:val="00041E45"/>
    <w:rsid w:val="00042163"/>
    <w:rsid w:val="000422FA"/>
    <w:rsid w:val="0004266F"/>
    <w:rsid w:val="0004293E"/>
    <w:rsid w:val="00042B0E"/>
    <w:rsid w:val="00043098"/>
    <w:rsid w:val="0004344C"/>
    <w:rsid w:val="00043C19"/>
    <w:rsid w:val="00043C37"/>
    <w:rsid w:val="00043DE3"/>
    <w:rsid w:val="0004435F"/>
    <w:rsid w:val="00044ABC"/>
    <w:rsid w:val="00044DF6"/>
    <w:rsid w:val="00045ABC"/>
    <w:rsid w:val="00046168"/>
    <w:rsid w:val="0004680F"/>
    <w:rsid w:val="00046851"/>
    <w:rsid w:val="000468B5"/>
    <w:rsid w:val="00046CB3"/>
    <w:rsid w:val="00046D26"/>
    <w:rsid w:val="00046F89"/>
    <w:rsid w:val="000472F0"/>
    <w:rsid w:val="00047394"/>
    <w:rsid w:val="000474D6"/>
    <w:rsid w:val="00047CBC"/>
    <w:rsid w:val="00047D78"/>
    <w:rsid w:val="000505F1"/>
    <w:rsid w:val="000507C3"/>
    <w:rsid w:val="00050C44"/>
    <w:rsid w:val="00050CB0"/>
    <w:rsid w:val="00050DCA"/>
    <w:rsid w:val="00051281"/>
    <w:rsid w:val="00051372"/>
    <w:rsid w:val="00051419"/>
    <w:rsid w:val="00051D9E"/>
    <w:rsid w:val="00051E18"/>
    <w:rsid w:val="0005212C"/>
    <w:rsid w:val="000522D6"/>
    <w:rsid w:val="00052923"/>
    <w:rsid w:val="00052A06"/>
    <w:rsid w:val="00052A82"/>
    <w:rsid w:val="00052ECE"/>
    <w:rsid w:val="000540DB"/>
    <w:rsid w:val="0005444A"/>
    <w:rsid w:val="00054513"/>
    <w:rsid w:val="00054B0A"/>
    <w:rsid w:val="00054E94"/>
    <w:rsid w:val="000551D1"/>
    <w:rsid w:val="00055B4E"/>
    <w:rsid w:val="00055E2E"/>
    <w:rsid w:val="00055F69"/>
    <w:rsid w:val="00056174"/>
    <w:rsid w:val="00056872"/>
    <w:rsid w:val="00056CFA"/>
    <w:rsid w:val="00056E0B"/>
    <w:rsid w:val="0005788D"/>
    <w:rsid w:val="00057969"/>
    <w:rsid w:val="00057C6C"/>
    <w:rsid w:val="00057F04"/>
    <w:rsid w:val="00060146"/>
    <w:rsid w:val="00060162"/>
    <w:rsid w:val="000602B2"/>
    <w:rsid w:val="000602FC"/>
    <w:rsid w:val="000606F6"/>
    <w:rsid w:val="00061326"/>
    <w:rsid w:val="00061585"/>
    <w:rsid w:val="00061719"/>
    <w:rsid w:val="00061871"/>
    <w:rsid w:val="00061982"/>
    <w:rsid w:val="00061B1C"/>
    <w:rsid w:val="00062424"/>
    <w:rsid w:val="000625F2"/>
    <w:rsid w:val="000626B7"/>
    <w:rsid w:val="00062AB0"/>
    <w:rsid w:val="00062DD5"/>
    <w:rsid w:val="000634B9"/>
    <w:rsid w:val="000636FC"/>
    <w:rsid w:val="000637BC"/>
    <w:rsid w:val="00063AF8"/>
    <w:rsid w:val="00063B87"/>
    <w:rsid w:val="00063B9A"/>
    <w:rsid w:val="00063E9D"/>
    <w:rsid w:val="00064032"/>
    <w:rsid w:val="0006404A"/>
    <w:rsid w:val="00064335"/>
    <w:rsid w:val="00064366"/>
    <w:rsid w:val="000647EA"/>
    <w:rsid w:val="00064A47"/>
    <w:rsid w:val="0006542C"/>
    <w:rsid w:val="000664EC"/>
    <w:rsid w:val="00066954"/>
    <w:rsid w:val="000671E2"/>
    <w:rsid w:val="000677F5"/>
    <w:rsid w:val="00067B37"/>
    <w:rsid w:val="00070175"/>
    <w:rsid w:val="000705DC"/>
    <w:rsid w:val="0007060C"/>
    <w:rsid w:val="00070943"/>
    <w:rsid w:val="00070A14"/>
    <w:rsid w:val="00071365"/>
    <w:rsid w:val="000713AA"/>
    <w:rsid w:val="00071E18"/>
    <w:rsid w:val="0007239C"/>
    <w:rsid w:val="00072955"/>
    <w:rsid w:val="00072C6E"/>
    <w:rsid w:val="000732AE"/>
    <w:rsid w:val="000733E4"/>
    <w:rsid w:val="00073473"/>
    <w:rsid w:val="000735B0"/>
    <w:rsid w:val="00073E2B"/>
    <w:rsid w:val="00073E90"/>
    <w:rsid w:val="00073F6D"/>
    <w:rsid w:val="00074111"/>
    <w:rsid w:val="00074383"/>
    <w:rsid w:val="000743F2"/>
    <w:rsid w:val="00074880"/>
    <w:rsid w:val="00074934"/>
    <w:rsid w:val="00075841"/>
    <w:rsid w:val="00075C63"/>
    <w:rsid w:val="000763F4"/>
    <w:rsid w:val="00077128"/>
    <w:rsid w:val="00077AAF"/>
    <w:rsid w:val="00080E31"/>
    <w:rsid w:val="0008195B"/>
    <w:rsid w:val="0008204A"/>
    <w:rsid w:val="0008273A"/>
    <w:rsid w:val="00082F53"/>
    <w:rsid w:val="00083519"/>
    <w:rsid w:val="0008376C"/>
    <w:rsid w:val="00083774"/>
    <w:rsid w:val="00083791"/>
    <w:rsid w:val="0008398C"/>
    <w:rsid w:val="00084824"/>
    <w:rsid w:val="000848B3"/>
    <w:rsid w:val="00084990"/>
    <w:rsid w:val="00084A2F"/>
    <w:rsid w:val="00084C63"/>
    <w:rsid w:val="00084E3D"/>
    <w:rsid w:val="000851CC"/>
    <w:rsid w:val="000857D5"/>
    <w:rsid w:val="00085D6A"/>
    <w:rsid w:val="000869A4"/>
    <w:rsid w:val="00086BC6"/>
    <w:rsid w:val="00086C22"/>
    <w:rsid w:val="00086D6B"/>
    <w:rsid w:val="00086ED9"/>
    <w:rsid w:val="00087605"/>
    <w:rsid w:val="00090166"/>
    <w:rsid w:val="000903D4"/>
    <w:rsid w:val="000907FA"/>
    <w:rsid w:val="00090C32"/>
    <w:rsid w:val="00091042"/>
    <w:rsid w:val="000910E2"/>
    <w:rsid w:val="00091A2B"/>
    <w:rsid w:val="00091E1A"/>
    <w:rsid w:val="00091F3B"/>
    <w:rsid w:val="00092479"/>
    <w:rsid w:val="0009253E"/>
    <w:rsid w:val="00092639"/>
    <w:rsid w:val="0009268A"/>
    <w:rsid w:val="000926E3"/>
    <w:rsid w:val="0009295F"/>
    <w:rsid w:val="00092B8A"/>
    <w:rsid w:val="00092DBF"/>
    <w:rsid w:val="00092E73"/>
    <w:rsid w:val="0009359D"/>
    <w:rsid w:val="00093643"/>
    <w:rsid w:val="000936A8"/>
    <w:rsid w:val="000941BE"/>
    <w:rsid w:val="00094213"/>
    <w:rsid w:val="00094429"/>
    <w:rsid w:val="000945FC"/>
    <w:rsid w:val="000948CA"/>
    <w:rsid w:val="00094B1A"/>
    <w:rsid w:val="00094E34"/>
    <w:rsid w:val="0009508E"/>
    <w:rsid w:val="00095572"/>
    <w:rsid w:val="000957FD"/>
    <w:rsid w:val="00095E90"/>
    <w:rsid w:val="0009660A"/>
    <w:rsid w:val="0009678C"/>
    <w:rsid w:val="00096E39"/>
    <w:rsid w:val="00096FE4"/>
    <w:rsid w:val="00097024"/>
    <w:rsid w:val="00097254"/>
    <w:rsid w:val="000973A0"/>
    <w:rsid w:val="00097BE0"/>
    <w:rsid w:val="00097C68"/>
    <w:rsid w:val="00097D43"/>
    <w:rsid w:val="000A0068"/>
    <w:rsid w:val="000A00BD"/>
    <w:rsid w:val="000A015C"/>
    <w:rsid w:val="000A01D6"/>
    <w:rsid w:val="000A0331"/>
    <w:rsid w:val="000A0A68"/>
    <w:rsid w:val="000A0F21"/>
    <w:rsid w:val="000A1181"/>
    <w:rsid w:val="000A118F"/>
    <w:rsid w:val="000A1242"/>
    <w:rsid w:val="000A1A64"/>
    <w:rsid w:val="000A1F3A"/>
    <w:rsid w:val="000A20B2"/>
    <w:rsid w:val="000A20F8"/>
    <w:rsid w:val="000A21F5"/>
    <w:rsid w:val="000A2472"/>
    <w:rsid w:val="000A2939"/>
    <w:rsid w:val="000A2EEB"/>
    <w:rsid w:val="000A2F71"/>
    <w:rsid w:val="000A3418"/>
    <w:rsid w:val="000A388D"/>
    <w:rsid w:val="000A39B8"/>
    <w:rsid w:val="000A3B05"/>
    <w:rsid w:val="000A4AD6"/>
    <w:rsid w:val="000A4FE9"/>
    <w:rsid w:val="000A51D5"/>
    <w:rsid w:val="000A52F1"/>
    <w:rsid w:val="000A556B"/>
    <w:rsid w:val="000A5894"/>
    <w:rsid w:val="000A5D05"/>
    <w:rsid w:val="000A651F"/>
    <w:rsid w:val="000A665C"/>
    <w:rsid w:val="000A6BC7"/>
    <w:rsid w:val="000A6ED2"/>
    <w:rsid w:val="000A71D2"/>
    <w:rsid w:val="000A752C"/>
    <w:rsid w:val="000A7543"/>
    <w:rsid w:val="000A782B"/>
    <w:rsid w:val="000B0604"/>
    <w:rsid w:val="000B0924"/>
    <w:rsid w:val="000B0981"/>
    <w:rsid w:val="000B09CD"/>
    <w:rsid w:val="000B0B68"/>
    <w:rsid w:val="000B0EDD"/>
    <w:rsid w:val="000B102A"/>
    <w:rsid w:val="000B1137"/>
    <w:rsid w:val="000B13CA"/>
    <w:rsid w:val="000B2146"/>
    <w:rsid w:val="000B21DD"/>
    <w:rsid w:val="000B224C"/>
    <w:rsid w:val="000B243D"/>
    <w:rsid w:val="000B2B93"/>
    <w:rsid w:val="000B32DE"/>
    <w:rsid w:val="000B343F"/>
    <w:rsid w:val="000B347B"/>
    <w:rsid w:val="000B3742"/>
    <w:rsid w:val="000B3E93"/>
    <w:rsid w:val="000B3FDF"/>
    <w:rsid w:val="000B4527"/>
    <w:rsid w:val="000B4991"/>
    <w:rsid w:val="000B4AC5"/>
    <w:rsid w:val="000B5418"/>
    <w:rsid w:val="000B5979"/>
    <w:rsid w:val="000B5FBC"/>
    <w:rsid w:val="000B63A7"/>
    <w:rsid w:val="000B6699"/>
    <w:rsid w:val="000B6D1D"/>
    <w:rsid w:val="000B6DD3"/>
    <w:rsid w:val="000B6F05"/>
    <w:rsid w:val="000B7328"/>
    <w:rsid w:val="000B75BF"/>
    <w:rsid w:val="000B7D29"/>
    <w:rsid w:val="000C017B"/>
    <w:rsid w:val="000C056E"/>
    <w:rsid w:val="000C06E8"/>
    <w:rsid w:val="000C0C42"/>
    <w:rsid w:val="000C0E06"/>
    <w:rsid w:val="000C14F7"/>
    <w:rsid w:val="000C17D8"/>
    <w:rsid w:val="000C1CD8"/>
    <w:rsid w:val="000C1EA9"/>
    <w:rsid w:val="000C24EF"/>
    <w:rsid w:val="000C27E9"/>
    <w:rsid w:val="000C2B49"/>
    <w:rsid w:val="000C2E08"/>
    <w:rsid w:val="000C2E96"/>
    <w:rsid w:val="000C34D0"/>
    <w:rsid w:val="000C36C9"/>
    <w:rsid w:val="000C3F1E"/>
    <w:rsid w:val="000C3F8C"/>
    <w:rsid w:val="000C4E22"/>
    <w:rsid w:val="000C51B7"/>
    <w:rsid w:val="000C5271"/>
    <w:rsid w:val="000C5C02"/>
    <w:rsid w:val="000C61D3"/>
    <w:rsid w:val="000C632C"/>
    <w:rsid w:val="000C6C45"/>
    <w:rsid w:val="000C6D1A"/>
    <w:rsid w:val="000C6E71"/>
    <w:rsid w:val="000C7119"/>
    <w:rsid w:val="000C7129"/>
    <w:rsid w:val="000C712F"/>
    <w:rsid w:val="000C7382"/>
    <w:rsid w:val="000C7391"/>
    <w:rsid w:val="000C7498"/>
    <w:rsid w:val="000C7842"/>
    <w:rsid w:val="000C79AC"/>
    <w:rsid w:val="000D050C"/>
    <w:rsid w:val="000D060B"/>
    <w:rsid w:val="000D0822"/>
    <w:rsid w:val="000D0E4C"/>
    <w:rsid w:val="000D10A3"/>
    <w:rsid w:val="000D1274"/>
    <w:rsid w:val="000D12B0"/>
    <w:rsid w:val="000D12EF"/>
    <w:rsid w:val="000D1335"/>
    <w:rsid w:val="000D14E6"/>
    <w:rsid w:val="000D1998"/>
    <w:rsid w:val="000D1AE5"/>
    <w:rsid w:val="000D1D3A"/>
    <w:rsid w:val="000D2A81"/>
    <w:rsid w:val="000D2EFF"/>
    <w:rsid w:val="000D32BD"/>
    <w:rsid w:val="000D374C"/>
    <w:rsid w:val="000D3F0D"/>
    <w:rsid w:val="000D3FD3"/>
    <w:rsid w:val="000D415F"/>
    <w:rsid w:val="000D4265"/>
    <w:rsid w:val="000D42EC"/>
    <w:rsid w:val="000D4355"/>
    <w:rsid w:val="000D44A7"/>
    <w:rsid w:val="000D5053"/>
    <w:rsid w:val="000D5AAA"/>
    <w:rsid w:val="000D5F69"/>
    <w:rsid w:val="000D6985"/>
    <w:rsid w:val="000D74EA"/>
    <w:rsid w:val="000D74F9"/>
    <w:rsid w:val="000D7954"/>
    <w:rsid w:val="000D7EB9"/>
    <w:rsid w:val="000E0142"/>
    <w:rsid w:val="000E01FA"/>
    <w:rsid w:val="000E03F5"/>
    <w:rsid w:val="000E05D4"/>
    <w:rsid w:val="000E085C"/>
    <w:rsid w:val="000E09EA"/>
    <w:rsid w:val="000E0D49"/>
    <w:rsid w:val="000E0EEF"/>
    <w:rsid w:val="000E1231"/>
    <w:rsid w:val="000E1487"/>
    <w:rsid w:val="000E16AE"/>
    <w:rsid w:val="000E1726"/>
    <w:rsid w:val="000E186B"/>
    <w:rsid w:val="000E1BE2"/>
    <w:rsid w:val="000E1D70"/>
    <w:rsid w:val="000E1DC1"/>
    <w:rsid w:val="000E29E3"/>
    <w:rsid w:val="000E30DA"/>
    <w:rsid w:val="000E326E"/>
    <w:rsid w:val="000E3C44"/>
    <w:rsid w:val="000E3D55"/>
    <w:rsid w:val="000E4384"/>
    <w:rsid w:val="000E4409"/>
    <w:rsid w:val="000E44C0"/>
    <w:rsid w:val="000E4502"/>
    <w:rsid w:val="000E476C"/>
    <w:rsid w:val="000E4800"/>
    <w:rsid w:val="000E55D6"/>
    <w:rsid w:val="000E56D4"/>
    <w:rsid w:val="000E573B"/>
    <w:rsid w:val="000E5CF8"/>
    <w:rsid w:val="000E6229"/>
    <w:rsid w:val="000E631B"/>
    <w:rsid w:val="000E71DD"/>
    <w:rsid w:val="000E77D1"/>
    <w:rsid w:val="000E7900"/>
    <w:rsid w:val="000E7E4C"/>
    <w:rsid w:val="000F02D6"/>
    <w:rsid w:val="000F0665"/>
    <w:rsid w:val="000F0DD9"/>
    <w:rsid w:val="000F102D"/>
    <w:rsid w:val="000F11E9"/>
    <w:rsid w:val="000F13D8"/>
    <w:rsid w:val="000F1852"/>
    <w:rsid w:val="000F1AB5"/>
    <w:rsid w:val="000F20D5"/>
    <w:rsid w:val="000F224F"/>
    <w:rsid w:val="000F22A1"/>
    <w:rsid w:val="000F28C6"/>
    <w:rsid w:val="000F2A52"/>
    <w:rsid w:val="000F2F85"/>
    <w:rsid w:val="000F3723"/>
    <w:rsid w:val="000F39A5"/>
    <w:rsid w:val="000F3BB0"/>
    <w:rsid w:val="000F4551"/>
    <w:rsid w:val="000F4586"/>
    <w:rsid w:val="000F4A2D"/>
    <w:rsid w:val="000F5C47"/>
    <w:rsid w:val="000F602A"/>
    <w:rsid w:val="000F6CC9"/>
    <w:rsid w:val="000F7603"/>
    <w:rsid w:val="0010005A"/>
    <w:rsid w:val="00100299"/>
    <w:rsid w:val="00100705"/>
    <w:rsid w:val="00100777"/>
    <w:rsid w:val="001008DC"/>
    <w:rsid w:val="00100B06"/>
    <w:rsid w:val="00100B28"/>
    <w:rsid w:val="00100BBF"/>
    <w:rsid w:val="00100CDE"/>
    <w:rsid w:val="00100EA1"/>
    <w:rsid w:val="00101204"/>
    <w:rsid w:val="0010127F"/>
    <w:rsid w:val="001014C3"/>
    <w:rsid w:val="0010174A"/>
    <w:rsid w:val="00101C24"/>
    <w:rsid w:val="0010310A"/>
    <w:rsid w:val="0010363D"/>
    <w:rsid w:val="00103928"/>
    <w:rsid w:val="00103B31"/>
    <w:rsid w:val="0010407B"/>
    <w:rsid w:val="00104519"/>
    <w:rsid w:val="00104598"/>
    <w:rsid w:val="0010487C"/>
    <w:rsid w:val="001049D4"/>
    <w:rsid w:val="00104C64"/>
    <w:rsid w:val="00104CA6"/>
    <w:rsid w:val="00104F29"/>
    <w:rsid w:val="0010509E"/>
    <w:rsid w:val="001052D5"/>
    <w:rsid w:val="00105345"/>
    <w:rsid w:val="0010548D"/>
    <w:rsid w:val="001056C4"/>
    <w:rsid w:val="0010570B"/>
    <w:rsid w:val="00105977"/>
    <w:rsid w:val="00105C8F"/>
    <w:rsid w:val="00105DF9"/>
    <w:rsid w:val="001064CB"/>
    <w:rsid w:val="00106885"/>
    <w:rsid w:val="00106D95"/>
    <w:rsid w:val="00106D96"/>
    <w:rsid w:val="00107CF6"/>
    <w:rsid w:val="001103E6"/>
    <w:rsid w:val="00110783"/>
    <w:rsid w:val="001118B7"/>
    <w:rsid w:val="001120B5"/>
    <w:rsid w:val="0011214C"/>
    <w:rsid w:val="001122B4"/>
    <w:rsid w:val="00112687"/>
    <w:rsid w:val="00112B4C"/>
    <w:rsid w:val="0011325C"/>
    <w:rsid w:val="00113552"/>
    <w:rsid w:val="001136F8"/>
    <w:rsid w:val="00113760"/>
    <w:rsid w:val="00113765"/>
    <w:rsid w:val="00113861"/>
    <w:rsid w:val="00113870"/>
    <w:rsid w:val="00114376"/>
    <w:rsid w:val="001144E6"/>
    <w:rsid w:val="00114E9A"/>
    <w:rsid w:val="0011505E"/>
    <w:rsid w:val="00115290"/>
    <w:rsid w:val="00115575"/>
    <w:rsid w:val="00115E59"/>
    <w:rsid w:val="0011653E"/>
    <w:rsid w:val="0011670F"/>
    <w:rsid w:val="00116B74"/>
    <w:rsid w:val="00116CED"/>
    <w:rsid w:val="00117170"/>
    <w:rsid w:val="001171B8"/>
    <w:rsid w:val="001173BC"/>
    <w:rsid w:val="00117A27"/>
    <w:rsid w:val="001209B5"/>
    <w:rsid w:val="001209FF"/>
    <w:rsid w:val="00120A18"/>
    <w:rsid w:val="00120B15"/>
    <w:rsid w:val="00120C9C"/>
    <w:rsid w:val="0012109E"/>
    <w:rsid w:val="00121306"/>
    <w:rsid w:val="00121806"/>
    <w:rsid w:val="00121DC8"/>
    <w:rsid w:val="0012288D"/>
    <w:rsid w:val="0012293C"/>
    <w:rsid w:val="00122967"/>
    <w:rsid w:val="00122F19"/>
    <w:rsid w:val="001239E9"/>
    <w:rsid w:val="00123A6F"/>
    <w:rsid w:val="00124013"/>
    <w:rsid w:val="001243A1"/>
    <w:rsid w:val="0012471F"/>
    <w:rsid w:val="00124776"/>
    <w:rsid w:val="001247B8"/>
    <w:rsid w:val="00124BED"/>
    <w:rsid w:val="001252E8"/>
    <w:rsid w:val="001253AD"/>
    <w:rsid w:val="001255A7"/>
    <w:rsid w:val="0012560F"/>
    <w:rsid w:val="00125755"/>
    <w:rsid w:val="00126CE1"/>
    <w:rsid w:val="00126EA3"/>
    <w:rsid w:val="00127538"/>
    <w:rsid w:val="00127598"/>
    <w:rsid w:val="00127AAE"/>
    <w:rsid w:val="00127D25"/>
    <w:rsid w:val="00130327"/>
    <w:rsid w:val="00130E6D"/>
    <w:rsid w:val="00130F9C"/>
    <w:rsid w:val="00131058"/>
    <w:rsid w:val="001312E8"/>
    <w:rsid w:val="0013131A"/>
    <w:rsid w:val="00131E22"/>
    <w:rsid w:val="00133223"/>
    <w:rsid w:val="00133801"/>
    <w:rsid w:val="00133908"/>
    <w:rsid w:val="0013391D"/>
    <w:rsid w:val="001339E4"/>
    <w:rsid w:val="0013467E"/>
    <w:rsid w:val="001349EB"/>
    <w:rsid w:val="00134C57"/>
    <w:rsid w:val="00135238"/>
    <w:rsid w:val="001352AB"/>
    <w:rsid w:val="001353DE"/>
    <w:rsid w:val="00135409"/>
    <w:rsid w:val="00135884"/>
    <w:rsid w:val="00135987"/>
    <w:rsid w:val="00135DD0"/>
    <w:rsid w:val="00136308"/>
    <w:rsid w:val="001363FB"/>
    <w:rsid w:val="0013656E"/>
    <w:rsid w:val="0013660C"/>
    <w:rsid w:val="00136A90"/>
    <w:rsid w:val="00136EA9"/>
    <w:rsid w:val="001374B8"/>
    <w:rsid w:val="0013766A"/>
    <w:rsid w:val="0013773A"/>
    <w:rsid w:val="00137F68"/>
    <w:rsid w:val="00137FAF"/>
    <w:rsid w:val="00140161"/>
    <w:rsid w:val="001404A1"/>
    <w:rsid w:val="001406F0"/>
    <w:rsid w:val="00140BA4"/>
    <w:rsid w:val="00140F93"/>
    <w:rsid w:val="0014185D"/>
    <w:rsid w:val="001418C6"/>
    <w:rsid w:val="001418E6"/>
    <w:rsid w:val="00141958"/>
    <w:rsid w:val="00141BB6"/>
    <w:rsid w:val="00141CF2"/>
    <w:rsid w:val="00142515"/>
    <w:rsid w:val="001431C9"/>
    <w:rsid w:val="00143241"/>
    <w:rsid w:val="00143530"/>
    <w:rsid w:val="00143F31"/>
    <w:rsid w:val="0014462E"/>
    <w:rsid w:val="00144734"/>
    <w:rsid w:val="00144867"/>
    <w:rsid w:val="00144B0C"/>
    <w:rsid w:val="00144E34"/>
    <w:rsid w:val="00144F9A"/>
    <w:rsid w:val="0014512E"/>
    <w:rsid w:val="00145494"/>
    <w:rsid w:val="001459EC"/>
    <w:rsid w:val="00145D72"/>
    <w:rsid w:val="001461B8"/>
    <w:rsid w:val="0014714E"/>
    <w:rsid w:val="00147C9E"/>
    <w:rsid w:val="00151123"/>
    <w:rsid w:val="00151235"/>
    <w:rsid w:val="00151261"/>
    <w:rsid w:val="001516E9"/>
    <w:rsid w:val="00151BAE"/>
    <w:rsid w:val="00152B11"/>
    <w:rsid w:val="00152FAF"/>
    <w:rsid w:val="00153104"/>
    <w:rsid w:val="0015311C"/>
    <w:rsid w:val="00153203"/>
    <w:rsid w:val="001549E5"/>
    <w:rsid w:val="00154AC5"/>
    <w:rsid w:val="00154BB1"/>
    <w:rsid w:val="00154D5D"/>
    <w:rsid w:val="0015515C"/>
    <w:rsid w:val="0015552D"/>
    <w:rsid w:val="0015582A"/>
    <w:rsid w:val="00155ADB"/>
    <w:rsid w:val="001560E6"/>
    <w:rsid w:val="00156467"/>
    <w:rsid w:val="00156869"/>
    <w:rsid w:val="00157563"/>
    <w:rsid w:val="001575B0"/>
    <w:rsid w:val="0015787C"/>
    <w:rsid w:val="00157A26"/>
    <w:rsid w:val="0016000B"/>
    <w:rsid w:val="001601B8"/>
    <w:rsid w:val="00160620"/>
    <w:rsid w:val="00160752"/>
    <w:rsid w:val="00160F43"/>
    <w:rsid w:val="00160F6A"/>
    <w:rsid w:val="0016132A"/>
    <w:rsid w:val="00161333"/>
    <w:rsid w:val="001617F4"/>
    <w:rsid w:val="00161B6B"/>
    <w:rsid w:val="00161E56"/>
    <w:rsid w:val="00162466"/>
    <w:rsid w:val="0016259D"/>
    <w:rsid w:val="00163049"/>
    <w:rsid w:val="0016398D"/>
    <w:rsid w:val="00163A90"/>
    <w:rsid w:val="00163C0C"/>
    <w:rsid w:val="00164703"/>
    <w:rsid w:val="001647E2"/>
    <w:rsid w:val="00164858"/>
    <w:rsid w:val="00164D3D"/>
    <w:rsid w:val="00164E62"/>
    <w:rsid w:val="0016514E"/>
    <w:rsid w:val="001652A0"/>
    <w:rsid w:val="0016538D"/>
    <w:rsid w:val="001653B4"/>
    <w:rsid w:val="00165B88"/>
    <w:rsid w:val="00165CA5"/>
    <w:rsid w:val="00165DE6"/>
    <w:rsid w:val="0016640A"/>
    <w:rsid w:val="00166694"/>
    <w:rsid w:val="00166C4F"/>
    <w:rsid w:val="00167AD5"/>
    <w:rsid w:val="00170063"/>
    <w:rsid w:val="00170709"/>
    <w:rsid w:val="00170937"/>
    <w:rsid w:val="00171004"/>
    <w:rsid w:val="00171C19"/>
    <w:rsid w:val="00171DCF"/>
    <w:rsid w:val="00171E23"/>
    <w:rsid w:val="00171E5C"/>
    <w:rsid w:val="00171F6A"/>
    <w:rsid w:val="00172061"/>
    <w:rsid w:val="001721CB"/>
    <w:rsid w:val="001728E3"/>
    <w:rsid w:val="00172CEA"/>
    <w:rsid w:val="00172EF5"/>
    <w:rsid w:val="001731F3"/>
    <w:rsid w:val="0017321E"/>
    <w:rsid w:val="001734E3"/>
    <w:rsid w:val="00173547"/>
    <w:rsid w:val="0017356B"/>
    <w:rsid w:val="001736FE"/>
    <w:rsid w:val="001737D5"/>
    <w:rsid w:val="00173814"/>
    <w:rsid w:val="00174A5F"/>
    <w:rsid w:val="001753A1"/>
    <w:rsid w:val="001756CD"/>
    <w:rsid w:val="00175759"/>
    <w:rsid w:val="00175B89"/>
    <w:rsid w:val="00175DD7"/>
    <w:rsid w:val="0017655A"/>
    <w:rsid w:val="00176C91"/>
    <w:rsid w:val="00176D96"/>
    <w:rsid w:val="00177060"/>
    <w:rsid w:val="001771E4"/>
    <w:rsid w:val="001775D1"/>
    <w:rsid w:val="001777AC"/>
    <w:rsid w:val="00177C17"/>
    <w:rsid w:val="0018017B"/>
    <w:rsid w:val="00180445"/>
    <w:rsid w:val="001804DA"/>
    <w:rsid w:val="0018079F"/>
    <w:rsid w:val="0018085F"/>
    <w:rsid w:val="00180899"/>
    <w:rsid w:val="00180F84"/>
    <w:rsid w:val="0018102C"/>
    <w:rsid w:val="00181142"/>
    <w:rsid w:val="001811DC"/>
    <w:rsid w:val="0018176A"/>
    <w:rsid w:val="00181B8B"/>
    <w:rsid w:val="00182069"/>
    <w:rsid w:val="00182D44"/>
    <w:rsid w:val="00183403"/>
    <w:rsid w:val="001838D6"/>
    <w:rsid w:val="001841B6"/>
    <w:rsid w:val="00184270"/>
    <w:rsid w:val="001845CF"/>
    <w:rsid w:val="00185114"/>
    <w:rsid w:val="001855C3"/>
    <w:rsid w:val="00185692"/>
    <w:rsid w:val="00185787"/>
    <w:rsid w:val="00185B1D"/>
    <w:rsid w:val="00185D05"/>
    <w:rsid w:val="00186228"/>
    <w:rsid w:val="001862C2"/>
    <w:rsid w:val="00186603"/>
    <w:rsid w:val="00186E1C"/>
    <w:rsid w:val="001870A3"/>
    <w:rsid w:val="001872A9"/>
    <w:rsid w:val="001879C0"/>
    <w:rsid w:val="00187BAE"/>
    <w:rsid w:val="00187F0F"/>
    <w:rsid w:val="00187FC6"/>
    <w:rsid w:val="001908B6"/>
    <w:rsid w:val="00190EDB"/>
    <w:rsid w:val="001913DF"/>
    <w:rsid w:val="001916A1"/>
    <w:rsid w:val="00191E62"/>
    <w:rsid w:val="001920E9"/>
    <w:rsid w:val="001925A6"/>
    <w:rsid w:val="0019265F"/>
    <w:rsid w:val="00192F05"/>
    <w:rsid w:val="00193056"/>
    <w:rsid w:val="001935F3"/>
    <w:rsid w:val="001938DD"/>
    <w:rsid w:val="00193B62"/>
    <w:rsid w:val="00193BD7"/>
    <w:rsid w:val="00193DD2"/>
    <w:rsid w:val="001948FA"/>
    <w:rsid w:val="001953BF"/>
    <w:rsid w:val="001957B8"/>
    <w:rsid w:val="00195A04"/>
    <w:rsid w:val="0019611A"/>
    <w:rsid w:val="0019628B"/>
    <w:rsid w:val="00196610"/>
    <w:rsid w:val="00196B9D"/>
    <w:rsid w:val="00196BA4"/>
    <w:rsid w:val="00196C59"/>
    <w:rsid w:val="001970AC"/>
    <w:rsid w:val="00197990"/>
    <w:rsid w:val="001979BC"/>
    <w:rsid w:val="00197DFD"/>
    <w:rsid w:val="001A00E5"/>
    <w:rsid w:val="001A08E7"/>
    <w:rsid w:val="001A0900"/>
    <w:rsid w:val="001A102F"/>
    <w:rsid w:val="001A12F2"/>
    <w:rsid w:val="001A1404"/>
    <w:rsid w:val="001A15F9"/>
    <w:rsid w:val="001A21CC"/>
    <w:rsid w:val="001A23B5"/>
    <w:rsid w:val="001A3D7B"/>
    <w:rsid w:val="001A4214"/>
    <w:rsid w:val="001A4339"/>
    <w:rsid w:val="001A4AD5"/>
    <w:rsid w:val="001A4ECB"/>
    <w:rsid w:val="001A4FB5"/>
    <w:rsid w:val="001A54EC"/>
    <w:rsid w:val="001A5734"/>
    <w:rsid w:val="001A5A19"/>
    <w:rsid w:val="001A5B84"/>
    <w:rsid w:val="001A5C21"/>
    <w:rsid w:val="001A6438"/>
    <w:rsid w:val="001A6652"/>
    <w:rsid w:val="001A6B83"/>
    <w:rsid w:val="001A6DAA"/>
    <w:rsid w:val="001A6EB2"/>
    <w:rsid w:val="001A78D2"/>
    <w:rsid w:val="001A7A0C"/>
    <w:rsid w:val="001A7AB8"/>
    <w:rsid w:val="001B0291"/>
    <w:rsid w:val="001B07A1"/>
    <w:rsid w:val="001B0A13"/>
    <w:rsid w:val="001B1200"/>
    <w:rsid w:val="001B18A7"/>
    <w:rsid w:val="001B18C0"/>
    <w:rsid w:val="001B1D67"/>
    <w:rsid w:val="001B2114"/>
    <w:rsid w:val="001B215C"/>
    <w:rsid w:val="001B220C"/>
    <w:rsid w:val="001B2A13"/>
    <w:rsid w:val="001B2D33"/>
    <w:rsid w:val="001B335E"/>
    <w:rsid w:val="001B3589"/>
    <w:rsid w:val="001B3791"/>
    <w:rsid w:val="001B39EC"/>
    <w:rsid w:val="001B3BDC"/>
    <w:rsid w:val="001B3CA3"/>
    <w:rsid w:val="001B4904"/>
    <w:rsid w:val="001B49F4"/>
    <w:rsid w:val="001B6284"/>
    <w:rsid w:val="001B630B"/>
    <w:rsid w:val="001B6505"/>
    <w:rsid w:val="001B6BB9"/>
    <w:rsid w:val="001B6D43"/>
    <w:rsid w:val="001B704C"/>
    <w:rsid w:val="001B7722"/>
    <w:rsid w:val="001B7DF1"/>
    <w:rsid w:val="001B7ED0"/>
    <w:rsid w:val="001C0970"/>
    <w:rsid w:val="001C0DA5"/>
    <w:rsid w:val="001C1158"/>
    <w:rsid w:val="001C14CF"/>
    <w:rsid w:val="001C1667"/>
    <w:rsid w:val="001C1F6B"/>
    <w:rsid w:val="001C2135"/>
    <w:rsid w:val="001C2547"/>
    <w:rsid w:val="001C2AAB"/>
    <w:rsid w:val="001C2BB5"/>
    <w:rsid w:val="001C2C77"/>
    <w:rsid w:val="001C2CF1"/>
    <w:rsid w:val="001C2DED"/>
    <w:rsid w:val="001C2F69"/>
    <w:rsid w:val="001C329F"/>
    <w:rsid w:val="001C366C"/>
    <w:rsid w:val="001C38F1"/>
    <w:rsid w:val="001C4155"/>
    <w:rsid w:val="001C41A0"/>
    <w:rsid w:val="001C4609"/>
    <w:rsid w:val="001C4935"/>
    <w:rsid w:val="001C4C43"/>
    <w:rsid w:val="001C5127"/>
    <w:rsid w:val="001C5880"/>
    <w:rsid w:val="001C5C85"/>
    <w:rsid w:val="001C674A"/>
    <w:rsid w:val="001C6DB3"/>
    <w:rsid w:val="001C6EBF"/>
    <w:rsid w:val="001C7509"/>
    <w:rsid w:val="001C75E5"/>
    <w:rsid w:val="001C785B"/>
    <w:rsid w:val="001C7AFE"/>
    <w:rsid w:val="001C7DF3"/>
    <w:rsid w:val="001D041C"/>
    <w:rsid w:val="001D060E"/>
    <w:rsid w:val="001D0AAF"/>
    <w:rsid w:val="001D0D61"/>
    <w:rsid w:val="001D0E1D"/>
    <w:rsid w:val="001D1419"/>
    <w:rsid w:val="001D1641"/>
    <w:rsid w:val="001D1709"/>
    <w:rsid w:val="001D1734"/>
    <w:rsid w:val="001D28AA"/>
    <w:rsid w:val="001D2D45"/>
    <w:rsid w:val="001D3057"/>
    <w:rsid w:val="001D3371"/>
    <w:rsid w:val="001D3717"/>
    <w:rsid w:val="001D3938"/>
    <w:rsid w:val="001D3A9F"/>
    <w:rsid w:val="001D3E71"/>
    <w:rsid w:val="001D44B3"/>
    <w:rsid w:val="001D4692"/>
    <w:rsid w:val="001D4D14"/>
    <w:rsid w:val="001D5012"/>
    <w:rsid w:val="001D5136"/>
    <w:rsid w:val="001D6393"/>
    <w:rsid w:val="001D6789"/>
    <w:rsid w:val="001D68AF"/>
    <w:rsid w:val="001D6B68"/>
    <w:rsid w:val="001D6D28"/>
    <w:rsid w:val="001D7178"/>
    <w:rsid w:val="001D73CD"/>
    <w:rsid w:val="001D78C8"/>
    <w:rsid w:val="001D7AF7"/>
    <w:rsid w:val="001D7B44"/>
    <w:rsid w:val="001D7D31"/>
    <w:rsid w:val="001E0369"/>
    <w:rsid w:val="001E036F"/>
    <w:rsid w:val="001E0438"/>
    <w:rsid w:val="001E0640"/>
    <w:rsid w:val="001E06EE"/>
    <w:rsid w:val="001E0C86"/>
    <w:rsid w:val="001E0CAA"/>
    <w:rsid w:val="001E0F17"/>
    <w:rsid w:val="001E1A45"/>
    <w:rsid w:val="001E1CC4"/>
    <w:rsid w:val="001E2C96"/>
    <w:rsid w:val="001E2EA9"/>
    <w:rsid w:val="001E2FF6"/>
    <w:rsid w:val="001E32B1"/>
    <w:rsid w:val="001E3735"/>
    <w:rsid w:val="001E37CC"/>
    <w:rsid w:val="001E3961"/>
    <w:rsid w:val="001E4035"/>
    <w:rsid w:val="001E4057"/>
    <w:rsid w:val="001E40D1"/>
    <w:rsid w:val="001E4133"/>
    <w:rsid w:val="001E420B"/>
    <w:rsid w:val="001E42D2"/>
    <w:rsid w:val="001E49D8"/>
    <w:rsid w:val="001E4B6E"/>
    <w:rsid w:val="001E4D38"/>
    <w:rsid w:val="001E4ED3"/>
    <w:rsid w:val="001E51B1"/>
    <w:rsid w:val="001E5374"/>
    <w:rsid w:val="001E5538"/>
    <w:rsid w:val="001E5594"/>
    <w:rsid w:val="001E573F"/>
    <w:rsid w:val="001E59A2"/>
    <w:rsid w:val="001E6439"/>
    <w:rsid w:val="001E6490"/>
    <w:rsid w:val="001E68E9"/>
    <w:rsid w:val="001E7094"/>
    <w:rsid w:val="001E756D"/>
    <w:rsid w:val="001E7704"/>
    <w:rsid w:val="001E79FD"/>
    <w:rsid w:val="001E7BD0"/>
    <w:rsid w:val="001E7C7A"/>
    <w:rsid w:val="001E7E3E"/>
    <w:rsid w:val="001E7FCA"/>
    <w:rsid w:val="001F01AB"/>
    <w:rsid w:val="001F08A9"/>
    <w:rsid w:val="001F0AC8"/>
    <w:rsid w:val="001F0C96"/>
    <w:rsid w:val="001F145B"/>
    <w:rsid w:val="001F1643"/>
    <w:rsid w:val="001F19E5"/>
    <w:rsid w:val="001F1B2C"/>
    <w:rsid w:val="001F1DA3"/>
    <w:rsid w:val="001F217C"/>
    <w:rsid w:val="001F23AB"/>
    <w:rsid w:val="001F267F"/>
    <w:rsid w:val="001F2CDD"/>
    <w:rsid w:val="001F3238"/>
    <w:rsid w:val="001F3D38"/>
    <w:rsid w:val="001F3D75"/>
    <w:rsid w:val="001F429A"/>
    <w:rsid w:val="001F4BD5"/>
    <w:rsid w:val="001F4DA2"/>
    <w:rsid w:val="001F51A0"/>
    <w:rsid w:val="001F52E9"/>
    <w:rsid w:val="001F5513"/>
    <w:rsid w:val="001F56C9"/>
    <w:rsid w:val="001F5D89"/>
    <w:rsid w:val="001F5DAB"/>
    <w:rsid w:val="001F5DC9"/>
    <w:rsid w:val="001F649A"/>
    <w:rsid w:val="001F6583"/>
    <w:rsid w:val="001F65C8"/>
    <w:rsid w:val="001F6871"/>
    <w:rsid w:val="001F69CF"/>
    <w:rsid w:val="001F6C0F"/>
    <w:rsid w:val="001F6FF0"/>
    <w:rsid w:val="001F7750"/>
    <w:rsid w:val="001F79DC"/>
    <w:rsid w:val="001F7C38"/>
    <w:rsid w:val="00200020"/>
    <w:rsid w:val="0020007B"/>
    <w:rsid w:val="002007B4"/>
    <w:rsid w:val="00200B7D"/>
    <w:rsid w:val="00200BC8"/>
    <w:rsid w:val="002013F2"/>
    <w:rsid w:val="00201874"/>
    <w:rsid w:val="002018FE"/>
    <w:rsid w:val="002019A7"/>
    <w:rsid w:val="00201E07"/>
    <w:rsid w:val="00201F08"/>
    <w:rsid w:val="002029EA"/>
    <w:rsid w:val="00203AFC"/>
    <w:rsid w:val="002044CA"/>
    <w:rsid w:val="002059D1"/>
    <w:rsid w:val="00205C65"/>
    <w:rsid w:val="00205EE3"/>
    <w:rsid w:val="002060F5"/>
    <w:rsid w:val="00206575"/>
    <w:rsid w:val="002065A8"/>
    <w:rsid w:val="00206DEC"/>
    <w:rsid w:val="002070A5"/>
    <w:rsid w:val="0020759D"/>
    <w:rsid w:val="00207916"/>
    <w:rsid w:val="002100FE"/>
    <w:rsid w:val="0021066A"/>
    <w:rsid w:val="00210941"/>
    <w:rsid w:val="00210C84"/>
    <w:rsid w:val="00210CA0"/>
    <w:rsid w:val="00210D29"/>
    <w:rsid w:val="0021100F"/>
    <w:rsid w:val="0021103D"/>
    <w:rsid w:val="00211563"/>
    <w:rsid w:val="00211626"/>
    <w:rsid w:val="0021167E"/>
    <w:rsid w:val="00211BBD"/>
    <w:rsid w:val="00211C0B"/>
    <w:rsid w:val="00211C2F"/>
    <w:rsid w:val="00211EEF"/>
    <w:rsid w:val="00211FE6"/>
    <w:rsid w:val="00212861"/>
    <w:rsid w:val="00212CDD"/>
    <w:rsid w:val="002132B1"/>
    <w:rsid w:val="00213777"/>
    <w:rsid w:val="002137AC"/>
    <w:rsid w:val="00213863"/>
    <w:rsid w:val="0021441C"/>
    <w:rsid w:val="00214A19"/>
    <w:rsid w:val="0021532D"/>
    <w:rsid w:val="002158CE"/>
    <w:rsid w:val="00215DAD"/>
    <w:rsid w:val="00215EC5"/>
    <w:rsid w:val="002160B0"/>
    <w:rsid w:val="002167CB"/>
    <w:rsid w:val="0021688E"/>
    <w:rsid w:val="00216DB2"/>
    <w:rsid w:val="00216DC4"/>
    <w:rsid w:val="00216F2F"/>
    <w:rsid w:val="00217019"/>
    <w:rsid w:val="002174ED"/>
    <w:rsid w:val="00217625"/>
    <w:rsid w:val="0021766B"/>
    <w:rsid w:val="00217A89"/>
    <w:rsid w:val="00217AB7"/>
    <w:rsid w:val="00217C2A"/>
    <w:rsid w:val="00217CE6"/>
    <w:rsid w:val="00217DB3"/>
    <w:rsid w:val="002202B2"/>
    <w:rsid w:val="002207CB"/>
    <w:rsid w:val="00220B37"/>
    <w:rsid w:val="00220E33"/>
    <w:rsid w:val="00220FE6"/>
    <w:rsid w:val="0022157E"/>
    <w:rsid w:val="00221673"/>
    <w:rsid w:val="00221C00"/>
    <w:rsid w:val="00221E6A"/>
    <w:rsid w:val="00221FBA"/>
    <w:rsid w:val="0022200F"/>
    <w:rsid w:val="002220B8"/>
    <w:rsid w:val="002221A4"/>
    <w:rsid w:val="00222319"/>
    <w:rsid w:val="00222477"/>
    <w:rsid w:val="002224D0"/>
    <w:rsid w:val="00223034"/>
    <w:rsid w:val="0022342C"/>
    <w:rsid w:val="002234E3"/>
    <w:rsid w:val="00223513"/>
    <w:rsid w:val="00223592"/>
    <w:rsid w:val="00223618"/>
    <w:rsid w:val="0022370A"/>
    <w:rsid w:val="00223AC7"/>
    <w:rsid w:val="00223C12"/>
    <w:rsid w:val="00223DC7"/>
    <w:rsid w:val="00224047"/>
    <w:rsid w:val="002243C1"/>
    <w:rsid w:val="00225459"/>
    <w:rsid w:val="002255C9"/>
    <w:rsid w:val="0022589C"/>
    <w:rsid w:val="0022599C"/>
    <w:rsid w:val="00225A70"/>
    <w:rsid w:val="00225D8B"/>
    <w:rsid w:val="0022632D"/>
    <w:rsid w:val="00226418"/>
    <w:rsid w:val="00226502"/>
    <w:rsid w:val="0022655D"/>
    <w:rsid w:val="00226739"/>
    <w:rsid w:val="00226B1D"/>
    <w:rsid w:val="002270E8"/>
    <w:rsid w:val="0022769F"/>
    <w:rsid w:val="00227D60"/>
    <w:rsid w:val="0023035A"/>
    <w:rsid w:val="00230934"/>
    <w:rsid w:val="002309E5"/>
    <w:rsid w:val="00230A81"/>
    <w:rsid w:val="00230BB3"/>
    <w:rsid w:val="002319BB"/>
    <w:rsid w:val="00231B95"/>
    <w:rsid w:val="002322E3"/>
    <w:rsid w:val="00232A24"/>
    <w:rsid w:val="002330C8"/>
    <w:rsid w:val="00233256"/>
    <w:rsid w:val="00233675"/>
    <w:rsid w:val="00233732"/>
    <w:rsid w:val="00233D40"/>
    <w:rsid w:val="002340D0"/>
    <w:rsid w:val="00234147"/>
    <w:rsid w:val="002346A7"/>
    <w:rsid w:val="00234919"/>
    <w:rsid w:val="00234DD2"/>
    <w:rsid w:val="00235008"/>
    <w:rsid w:val="002350E3"/>
    <w:rsid w:val="0023510F"/>
    <w:rsid w:val="002354E1"/>
    <w:rsid w:val="00235980"/>
    <w:rsid w:val="00235B79"/>
    <w:rsid w:val="00235C4F"/>
    <w:rsid w:val="00235CE2"/>
    <w:rsid w:val="0023602A"/>
    <w:rsid w:val="0023604E"/>
    <w:rsid w:val="002365C7"/>
    <w:rsid w:val="00236A1F"/>
    <w:rsid w:val="00236BC3"/>
    <w:rsid w:val="00236C14"/>
    <w:rsid w:val="0023722A"/>
    <w:rsid w:val="00237343"/>
    <w:rsid w:val="002375B8"/>
    <w:rsid w:val="00240430"/>
    <w:rsid w:val="0024045A"/>
    <w:rsid w:val="00241289"/>
    <w:rsid w:val="00241395"/>
    <w:rsid w:val="00241A0F"/>
    <w:rsid w:val="002421B3"/>
    <w:rsid w:val="002432EF"/>
    <w:rsid w:val="00243A5F"/>
    <w:rsid w:val="00243EF7"/>
    <w:rsid w:val="002440C7"/>
    <w:rsid w:val="00244439"/>
    <w:rsid w:val="002446B8"/>
    <w:rsid w:val="00244B73"/>
    <w:rsid w:val="00244BF9"/>
    <w:rsid w:val="002453C9"/>
    <w:rsid w:val="00245474"/>
    <w:rsid w:val="002456CF"/>
    <w:rsid w:val="002459AF"/>
    <w:rsid w:val="00245A6F"/>
    <w:rsid w:val="00245BAC"/>
    <w:rsid w:val="00245BE5"/>
    <w:rsid w:val="00245CAA"/>
    <w:rsid w:val="00245CC1"/>
    <w:rsid w:val="00245E8C"/>
    <w:rsid w:val="00246314"/>
    <w:rsid w:val="00246637"/>
    <w:rsid w:val="002468B4"/>
    <w:rsid w:val="00246A54"/>
    <w:rsid w:val="002471B0"/>
    <w:rsid w:val="00247328"/>
    <w:rsid w:val="0024732E"/>
    <w:rsid w:val="0024783B"/>
    <w:rsid w:val="00247A51"/>
    <w:rsid w:val="00247BFC"/>
    <w:rsid w:val="00247ED9"/>
    <w:rsid w:val="002501D9"/>
    <w:rsid w:val="00250448"/>
    <w:rsid w:val="0025071B"/>
    <w:rsid w:val="00250C98"/>
    <w:rsid w:val="0025117F"/>
    <w:rsid w:val="00251355"/>
    <w:rsid w:val="00251794"/>
    <w:rsid w:val="00251857"/>
    <w:rsid w:val="00251A9C"/>
    <w:rsid w:val="00251AD2"/>
    <w:rsid w:val="00251D4F"/>
    <w:rsid w:val="002524CC"/>
    <w:rsid w:val="002528E3"/>
    <w:rsid w:val="00253348"/>
    <w:rsid w:val="002543C9"/>
    <w:rsid w:val="00255389"/>
    <w:rsid w:val="002559FC"/>
    <w:rsid w:val="00256298"/>
    <w:rsid w:val="00256302"/>
    <w:rsid w:val="002569B3"/>
    <w:rsid w:val="00256C5E"/>
    <w:rsid w:val="00256D98"/>
    <w:rsid w:val="00256F93"/>
    <w:rsid w:val="00257C94"/>
    <w:rsid w:val="00257F46"/>
    <w:rsid w:val="0026013E"/>
    <w:rsid w:val="00260177"/>
    <w:rsid w:val="0026044A"/>
    <w:rsid w:val="002604D7"/>
    <w:rsid w:val="00260820"/>
    <w:rsid w:val="0026094E"/>
    <w:rsid w:val="0026097A"/>
    <w:rsid w:val="0026104A"/>
    <w:rsid w:val="0026138B"/>
    <w:rsid w:val="00261797"/>
    <w:rsid w:val="00261A50"/>
    <w:rsid w:val="00261E41"/>
    <w:rsid w:val="00262660"/>
    <w:rsid w:val="00262665"/>
    <w:rsid w:val="002627D8"/>
    <w:rsid w:val="00262B34"/>
    <w:rsid w:val="0026308B"/>
    <w:rsid w:val="0026310C"/>
    <w:rsid w:val="00263125"/>
    <w:rsid w:val="002634A8"/>
    <w:rsid w:val="00263EF6"/>
    <w:rsid w:val="00263F2C"/>
    <w:rsid w:val="002640A0"/>
    <w:rsid w:val="00264160"/>
    <w:rsid w:val="002641F1"/>
    <w:rsid w:val="002644A3"/>
    <w:rsid w:val="00264D0D"/>
    <w:rsid w:val="00265C7E"/>
    <w:rsid w:val="00265E70"/>
    <w:rsid w:val="00266911"/>
    <w:rsid w:val="00266A54"/>
    <w:rsid w:val="00266FA9"/>
    <w:rsid w:val="00267765"/>
    <w:rsid w:val="00267967"/>
    <w:rsid w:val="002679A1"/>
    <w:rsid w:val="002679AA"/>
    <w:rsid w:val="00267C88"/>
    <w:rsid w:val="00270005"/>
    <w:rsid w:val="002707A3"/>
    <w:rsid w:val="00271289"/>
    <w:rsid w:val="00271329"/>
    <w:rsid w:val="00271B7D"/>
    <w:rsid w:val="00271C64"/>
    <w:rsid w:val="00271DE5"/>
    <w:rsid w:val="002724B3"/>
    <w:rsid w:val="00272D34"/>
    <w:rsid w:val="00272F31"/>
    <w:rsid w:val="0027366A"/>
    <w:rsid w:val="002736E5"/>
    <w:rsid w:val="00273E18"/>
    <w:rsid w:val="00273F07"/>
    <w:rsid w:val="002741DF"/>
    <w:rsid w:val="002751C3"/>
    <w:rsid w:val="00275466"/>
    <w:rsid w:val="00275556"/>
    <w:rsid w:val="00275B8C"/>
    <w:rsid w:val="00275EDB"/>
    <w:rsid w:val="0027617D"/>
    <w:rsid w:val="002765CE"/>
    <w:rsid w:val="002765D6"/>
    <w:rsid w:val="00276773"/>
    <w:rsid w:val="00276E71"/>
    <w:rsid w:val="00276F67"/>
    <w:rsid w:val="00276FD8"/>
    <w:rsid w:val="00277CF9"/>
    <w:rsid w:val="0028057A"/>
    <w:rsid w:val="0028077C"/>
    <w:rsid w:val="00280EC9"/>
    <w:rsid w:val="00281686"/>
    <w:rsid w:val="002816A0"/>
    <w:rsid w:val="0028183C"/>
    <w:rsid w:val="00281AE9"/>
    <w:rsid w:val="00281E27"/>
    <w:rsid w:val="002820D4"/>
    <w:rsid w:val="0028211A"/>
    <w:rsid w:val="002826A1"/>
    <w:rsid w:val="00282A14"/>
    <w:rsid w:val="00283F6C"/>
    <w:rsid w:val="00284C31"/>
    <w:rsid w:val="00284C35"/>
    <w:rsid w:val="00285006"/>
    <w:rsid w:val="00285107"/>
    <w:rsid w:val="00285159"/>
    <w:rsid w:val="00285174"/>
    <w:rsid w:val="00285493"/>
    <w:rsid w:val="002856D0"/>
    <w:rsid w:val="00285841"/>
    <w:rsid w:val="00285D89"/>
    <w:rsid w:val="00285E36"/>
    <w:rsid w:val="00285FCE"/>
    <w:rsid w:val="002865D2"/>
    <w:rsid w:val="00286FE5"/>
    <w:rsid w:val="0028775C"/>
    <w:rsid w:val="002878E1"/>
    <w:rsid w:val="00287F73"/>
    <w:rsid w:val="002906FA"/>
    <w:rsid w:val="00290870"/>
    <w:rsid w:val="00290C7A"/>
    <w:rsid w:val="00290D42"/>
    <w:rsid w:val="00290E13"/>
    <w:rsid w:val="00291493"/>
    <w:rsid w:val="00292609"/>
    <w:rsid w:val="00292B74"/>
    <w:rsid w:val="00292D8B"/>
    <w:rsid w:val="00292E25"/>
    <w:rsid w:val="00292F71"/>
    <w:rsid w:val="0029321F"/>
    <w:rsid w:val="0029346F"/>
    <w:rsid w:val="0029350D"/>
    <w:rsid w:val="00293B61"/>
    <w:rsid w:val="00293EB1"/>
    <w:rsid w:val="0029462D"/>
    <w:rsid w:val="0029474A"/>
    <w:rsid w:val="0029498E"/>
    <w:rsid w:val="00294B7B"/>
    <w:rsid w:val="002950D9"/>
    <w:rsid w:val="00295252"/>
    <w:rsid w:val="002952D0"/>
    <w:rsid w:val="002955C1"/>
    <w:rsid w:val="002957E0"/>
    <w:rsid w:val="002957F1"/>
    <w:rsid w:val="0029593A"/>
    <w:rsid w:val="002959EB"/>
    <w:rsid w:val="00295ADC"/>
    <w:rsid w:val="00296186"/>
    <w:rsid w:val="002961E2"/>
    <w:rsid w:val="002963C2"/>
    <w:rsid w:val="002963E0"/>
    <w:rsid w:val="00297089"/>
    <w:rsid w:val="00297644"/>
    <w:rsid w:val="00297724"/>
    <w:rsid w:val="00297743"/>
    <w:rsid w:val="00297CF6"/>
    <w:rsid w:val="002A0286"/>
    <w:rsid w:val="002A05A5"/>
    <w:rsid w:val="002A0A57"/>
    <w:rsid w:val="002A0B22"/>
    <w:rsid w:val="002A0B5B"/>
    <w:rsid w:val="002A0C8F"/>
    <w:rsid w:val="002A1373"/>
    <w:rsid w:val="002A1702"/>
    <w:rsid w:val="002A1872"/>
    <w:rsid w:val="002A18F0"/>
    <w:rsid w:val="002A19D4"/>
    <w:rsid w:val="002A1AB4"/>
    <w:rsid w:val="002A1B90"/>
    <w:rsid w:val="002A1C37"/>
    <w:rsid w:val="002A1CC1"/>
    <w:rsid w:val="002A2354"/>
    <w:rsid w:val="002A2529"/>
    <w:rsid w:val="002A280A"/>
    <w:rsid w:val="002A2E31"/>
    <w:rsid w:val="002A3153"/>
    <w:rsid w:val="002A410D"/>
    <w:rsid w:val="002A4601"/>
    <w:rsid w:val="002A5090"/>
    <w:rsid w:val="002A5201"/>
    <w:rsid w:val="002A5242"/>
    <w:rsid w:val="002A54C2"/>
    <w:rsid w:val="002A5806"/>
    <w:rsid w:val="002A5F50"/>
    <w:rsid w:val="002A627C"/>
    <w:rsid w:val="002A62FA"/>
    <w:rsid w:val="002A6DC7"/>
    <w:rsid w:val="002A7045"/>
    <w:rsid w:val="002A7668"/>
    <w:rsid w:val="002A7958"/>
    <w:rsid w:val="002A797B"/>
    <w:rsid w:val="002A7B95"/>
    <w:rsid w:val="002A7F44"/>
    <w:rsid w:val="002A7F61"/>
    <w:rsid w:val="002B0127"/>
    <w:rsid w:val="002B0E4C"/>
    <w:rsid w:val="002B1187"/>
    <w:rsid w:val="002B1570"/>
    <w:rsid w:val="002B1A43"/>
    <w:rsid w:val="002B1FC3"/>
    <w:rsid w:val="002B219C"/>
    <w:rsid w:val="002B28EF"/>
    <w:rsid w:val="002B2964"/>
    <w:rsid w:val="002B2B73"/>
    <w:rsid w:val="002B2C91"/>
    <w:rsid w:val="002B2D76"/>
    <w:rsid w:val="002B2EE1"/>
    <w:rsid w:val="002B3710"/>
    <w:rsid w:val="002B3744"/>
    <w:rsid w:val="002B394B"/>
    <w:rsid w:val="002B3D00"/>
    <w:rsid w:val="002B46F0"/>
    <w:rsid w:val="002B4E73"/>
    <w:rsid w:val="002B4F89"/>
    <w:rsid w:val="002B543C"/>
    <w:rsid w:val="002B5495"/>
    <w:rsid w:val="002B57D8"/>
    <w:rsid w:val="002B5826"/>
    <w:rsid w:val="002B58B6"/>
    <w:rsid w:val="002B5968"/>
    <w:rsid w:val="002B61DC"/>
    <w:rsid w:val="002B6219"/>
    <w:rsid w:val="002B644A"/>
    <w:rsid w:val="002B6778"/>
    <w:rsid w:val="002B68C3"/>
    <w:rsid w:val="002B6CF2"/>
    <w:rsid w:val="002B7763"/>
    <w:rsid w:val="002B793E"/>
    <w:rsid w:val="002C040E"/>
    <w:rsid w:val="002C067C"/>
    <w:rsid w:val="002C087B"/>
    <w:rsid w:val="002C0FBE"/>
    <w:rsid w:val="002C137C"/>
    <w:rsid w:val="002C14D9"/>
    <w:rsid w:val="002C2FB1"/>
    <w:rsid w:val="002C36CC"/>
    <w:rsid w:val="002C381B"/>
    <w:rsid w:val="002C4230"/>
    <w:rsid w:val="002C47BA"/>
    <w:rsid w:val="002C4B44"/>
    <w:rsid w:val="002C4F12"/>
    <w:rsid w:val="002C567F"/>
    <w:rsid w:val="002C580C"/>
    <w:rsid w:val="002C5879"/>
    <w:rsid w:val="002C5EA0"/>
    <w:rsid w:val="002C6B7E"/>
    <w:rsid w:val="002C6DAB"/>
    <w:rsid w:val="002C7AB5"/>
    <w:rsid w:val="002C7B30"/>
    <w:rsid w:val="002D01F9"/>
    <w:rsid w:val="002D02EF"/>
    <w:rsid w:val="002D034E"/>
    <w:rsid w:val="002D04E3"/>
    <w:rsid w:val="002D07D6"/>
    <w:rsid w:val="002D0CA1"/>
    <w:rsid w:val="002D0DDF"/>
    <w:rsid w:val="002D1025"/>
    <w:rsid w:val="002D1136"/>
    <w:rsid w:val="002D11E5"/>
    <w:rsid w:val="002D1242"/>
    <w:rsid w:val="002D15DB"/>
    <w:rsid w:val="002D1B89"/>
    <w:rsid w:val="002D2531"/>
    <w:rsid w:val="002D256C"/>
    <w:rsid w:val="002D2B6E"/>
    <w:rsid w:val="002D2D1F"/>
    <w:rsid w:val="002D2D71"/>
    <w:rsid w:val="002D2EDB"/>
    <w:rsid w:val="002D302F"/>
    <w:rsid w:val="002D314D"/>
    <w:rsid w:val="002D3B34"/>
    <w:rsid w:val="002D3E97"/>
    <w:rsid w:val="002D414D"/>
    <w:rsid w:val="002D4603"/>
    <w:rsid w:val="002D4A4A"/>
    <w:rsid w:val="002D4EC5"/>
    <w:rsid w:val="002D5270"/>
    <w:rsid w:val="002D53F0"/>
    <w:rsid w:val="002D542C"/>
    <w:rsid w:val="002D5501"/>
    <w:rsid w:val="002D55EB"/>
    <w:rsid w:val="002D561E"/>
    <w:rsid w:val="002D5ECD"/>
    <w:rsid w:val="002D5F67"/>
    <w:rsid w:val="002D6178"/>
    <w:rsid w:val="002D6310"/>
    <w:rsid w:val="002D634A"/>
    <w:rsid w:val="002D67CB"/>
    <w:rsid w:val="002D6A28"/>
    <w:rsid w:val="002D6A8D"/>
    <w:rsid w:val="002D7420"/>
    <w:rsid w:val="002D79AE"/>
    <w:rsid w:val="002D7C23"/>
    <w:rsid w:val="002D7D50"/>
    <w:rsid w:val="002D7E01"/>
    <w:rsid w:val="002E00B7"/>
    <w:rsid w:val="002E01AC"/>
    <w:rsid w:val="002E01D7"/>
    <w:rsid w:val="002E0A9A"/>
    <w:rsid w:val="002E0B9E"/>
    <w:rsid w:val="002E0C41"/>
    <w:rsid w:val="002E1208"/>
    <w:rsid w:val="002E1CC5"/>
    <w:rsid w:val="002E1D4C"/>
    <w:rsid w:val="002E20FA"/>
    <w:rsid w:val="002E26EC"/>
    <w:rsid w:val="002E33E4"/>
    <w:rsid w:val="002E3804"/>
    <w:rsid w:val="002E3D73"/>
    <w:rsid w:val="002E4319"/>
    <w:rsid w:val="002E5315"/>
    <w:rsid w:val="002E5B7E"/>
    <w:rsid w:val="002E5BB3"/>
    <w:rsid w:val="002E5D90"/>
    <w:rsid w:val="002E6518"/>
    <w:rsid w:val="002E6553"/>
    <w:rsid w:val="002E694C"/>
    <w:rsid w:val="002E69CF"/>
    <w:rsid w:val="002E6E66"/>
    <w:rsid w:val="002E71D4"/>
    <w:rsid w:val="002E754D"/>
    <w:rsid w:val="002E7CD3"/>
    <w:rsid w:val="002F08B4"/>
    <w:rsid w:val="002F1425"/>
    <w:rsid w:val="002F15B5"/>
    <w:rsid w:val="002F1979"/>
    <w:rsid w:val="002F201B"/>
    <w:rsid w:val="002F22BC"/>
    <w:rsid w:val="002F236B"/>
    <w:rsid w:val="002F2672"/>
    <w:rsid w:val="002F2F9A"/>
    <w:rsid w:val="002F3D89"/>
    <w:rsid w:val="002F3E5C"/>
    <w:rsid w:val="002F3FD0"/>
    <w:rsid w:val="002F4765"/>
    <w:rsid w:val="002F4A37"/>
    <w:rsid w:val="002F507E"/>
    <w:rsid w:val="002F528C"/>
    <w:rsid w:val="002F5292"/>
    <w:rsid w:val="002F58E5"/>
    <w:rsid w:val="002F5AF7"/>
    <w:rsid w:val="002F6440"/>
    <w:rsid w:val="002F6CD0"/>
    <w:rsid w:val="002F78D3"/>
    <w:rsid w:val="00300310"/>
    <w:rsid w:val="00300854"/>
    <w:rsid w:val="00300A11"/>
    <w:rsid w:val="0030102C"/>
    <w:rsid w:val="0030111E"/>
    <w:rsid w:val="00301366"/>
    <w:rsid w:val="0030199E"/>
    <w:rsid w:val="00301A84"/>
    <w:rsid w:val="00301B38"/>
    <w:rsid w:val="00301BF7"/>
    <w:rsid w:val="0030225E"/>
    <w:rsid w:val="003024B6"/>
    <w:rsid w:val="003028E4"/>
    <w:rsid w:val="00302972"/>
    <w:rsid w:val="00302BA9"/>
    <w:rsid w:val="00302F14"/>
    <w:rsid w:val="00303AA0"/>
    <w:rsid w:val="00303C8F"/>
    <w:rsid w:val="00303E1B"/>
    <w:rsid w:val="003041F9"/>
    <w:rsid w:val="00304294"/>
    <w:rsid w:val="003043D6"/>
    <w:rsid w:val="003047A8"/>
    <w:rsid w:val="00304D0E"/>
    <w:rsid w:val="00304EF1"/>
    <w:rsid w:val="00304FF4"/>
    <w:rsid w:val="003051F4"/>
    <w:rsid w:val="003053AA"/>
    <w:rsid w:val="00305857"/>
    <w:rsid w:val="00305B52"/>
    <w:rsid w:val="00305C82"/>
    <w:rsid w:val="00305DC3"/>
    <w:rsid w:val="00306581"/>
    <w:rsid w:val="0030667F"/>
    <w:rsid w:val="00306828"/>
    <w:rsid w:val="00306894"/>
    <w:rsid w:val="003068E5"/>
    <w:rsid w:val="00306A2B"/>
    <w:rsid w:val="00306E7D"/>
    <w:rsid w:val="00306FCF"/>
    <w:rsid w:val="003076A6"/>
    <w:rsid w:val="0030773E"/>
    <w:rsid w:val="00307847"/>
    <w:rsid w:val="00307C17"/>
    <w:rsid w:val="003103FE"/>
    <w:rsid w:val="00311620"/>
    <w:rsid w:val="00311639"/>
    <w:rsid w:val="00311725"/>
    <w:rsid w:val="00311729"/>
    <w:rsid w:val="0031175B"/>
    <w:rsid w:val="0031222C"/>
    <w:rsid w:val="003128AC"/>
    <w:rsid w:val="00313B09"/>
    <w:rsid w:val="00313F42"/>
    <w:rsid w:val="003140FF"/>
    <w:rsid w:val="00314669"/>
    <w:rsid w:val="00314958"/>
    <w:rsid w:val="003149CC"/>
    <w:rsid w:val="00314A33"/>
    <w:rsid w:val="003151A0"/>
    <w:rsid w:val="00315AA9"/>
    <w:rsid w:val="00315CB4"/>
    <w:rsid w:val="00315CDA"/>
    <w:rsid w:val="00317151"/>
    <w:rsid w:val="003175BB"/>
    <w:rsid w:val="00317E42"/>
    <w:rsid w:val="003202AA"/>
    <w:rsid w:val="0032060C"/>
    <w:rsid w:val="0032084A"/>
    <w:rsid w:val="003208ED"/>
    <w:rsid w:val="00320D5F"/>
    <w:rsid w:val="00320E27"/>
    <w:rsid w:val="00320FFC"/>
    <w:rsid w:val="00321369"/>
    <w:rsid w:val="003217DA"/>
    <w:rsid w:val="00321BDD"/>
    <w:rsid w:val="003220F0"/>
    <w:rsid w:val="00322C20"/>
    <w:rsid w:val="00323145"/>
    <w:rsid w:val="00323703"/>
    <w:rsid w:val="00323D89"/>
    <w:rsid w:val="00324B0D"/>
    <w:rsid w:val="00324DA7"/>
    <w:rsid w:val="00325316"/>
    <w:rsid w:val="00325EE5"/>
    <w:rsid w:val="00325EF5"/>
    <w:rsid w:val="00326A5E"/>
    <w:rsid w:val="00326AC8"/>
    <w:rsid w:val="00327303"/>
    <w:rsid w:val="00327332"/>
    <w:rsid w:val="00327849"/>
    <w:rsid w:val="0032790E"/>
    <w:rsid w:val="00327919"/>
    <w:rsid w:val="00327AD4"/>
    <w:rsid w:val="00330458"/>
    <w:rsid w:val="0033061E"/>
    <w:rsid w:val="00330DE0"/>
    <w:rsid w:val="0033141C"/>
    <w:rsid w:val="00331A33"/>
    <w:rsid w:val="00331D50"/>
    <w:rsid w:val="00332037"/>
    <w:rsid w:val="00332B27"/>
    <w:rsid w:val="00332BE0"/>
    <w:rsid w:val="003338E5"/>
    <w:rsid w:val="00333B48"/>
    <w:rsid w:val="00333E01"/>
    <w:rsid w:val="0033400A"/>
    <w:rsid w:val="00334105"/>
    <w:rsid w:val="003341C3"/>
    <w:rsid w:val="003345B3"/>
    <w:rsid w:val="003348A7"/>
    <w:rsid w:val="00334F2E"/>
    <w:rsid w:val="0033537E"/>
    <w:rsid w:val="003353FD"/>
    <w:rsid w:val="0033558D"/>
    <w:rsid w:val="003356E6"/>
    <w:rsid w:val="0033574F"/>
    <w:rsid w:val="0033576D"/>
    <w:rsid w:val="00335BA6"/>
    <w:rsid w:val="0033638F"/>
    <w:rsid w:val="003364D5"/>
    <w:rsid w:val="00336502"/>
    <w:rsid w:val="0033668B"/>
    <w:rsid w:val="003367D3"/>
    <w:rsid w:val="00336813"/>
    <w:rsid w:val="003369CA"/>
    <w:rsid w:val="0033708A"/>
    <w:rsid w:val="003370D1"/>
    <w:rsid w:val="00337585"/>
    <w:rsid w:val="003379FF"/>
    <w:rsid w:val="00337C15"/>
    <w:rsid w:val="00337DD4"/>
    <w:rsid w:val="00337FF8"/>
    <w:rsid w:val="00340084"/>
    <w:rsid w:val="0034046B"/>
    <w:rsid w:val="0034055D"/>
    <w:rsid w:val="00340A51"/>
    <w:rsid w:val="00341F5B"/>
    <w:rsid w:val="0034202B"/>
    <w:rsid w:val="0034239E"/>
    <w:rsid w:val="00342A0E"/>
    <w:rsid w:val="00342DDB"/>
    <w:rsid w:val="00343344"/>
    <w:rsid w:val="00343368"/>
    <w:rsid w:val="0034351E"/>
    <w:rsid w:val="00343598"/>
    <w:rsid w:val="00343FB5"/>
    <w:rsid w:val="00344878"/>
    <w:rsid w:val="00345174"/>
    <w:rsid w:val="0034518B"/>
    <w:rsid w:val="003451F0"/>
    <w:rsid w:val="003454E4"/>
    <w:rsid w:val="003456EE"/>
    <w:rsid w:val="00345C67"/>
    <w:rsid w:val="00345F1D"/>
    <w:rsid w:val="00345F89"/>
    <w:rsid w:val="003461D0"/>
    <w:rsid w:val="003462D7"/>
    <w:rsid w:val="003470E6"/>
    <w:rsid w:val="00350BC1"/>
    <w:rsid w:val="00350C29"/>
    <w:rsid w:val="00350F72"/>
    <w:rsid w:val="003510CC"/>
    <w:rsid w:val="003511AB"/>
    <w:rsid w:val="003516CC"/>
    <w:rsid w:val="00351BEF"/>
    <w:rsid w:val="00351E3C"/>
    <w:rsid w:val="0035201C"/>
    <w:rsid w:val="0035245E"/>
    <w:rsid w:val="003525B8"/>
    <w:rsid w:val="003525C7"/>
    <w:rsid w:val="00352828"/>
    <w:rsid w:val="00352AA1"/>
    <w:rsid w:val="00352BDF"/>
    <w:rsid w:val="00352C98"/>
    <w:rsid w:val="00352CE9"/>
    <w:rsid w:val="00352E4D"/>
    <w:rsid w:val="003537E5"/>
    <w:rsid w:val="00353CEA"/>
    <w:rsid w:val="00353F6A"/>
    <w:rsid w:val="00353F78"/>
    <w:rsid w:val="0035407F"/>
    <w:rsid w:val="00354A49"/>
    <w:rsid w:val="00354E68"/>
    <w:rsid w:val="00354F0B"/>
    <w:rsid w:val="00355175"/>
    <w:rsid w:val="0035553B"/>
    <w:rsid w:val="003559F7"/>
    <w:rsid w:val="00355AD1"/>
    <w:rsid w:val="00355C7E"/>
    <w:rsid w:val="00355CC1"/>
    <w:rsid w:val="003564D0"/>
    <w:rsid w:val="00356C1C"/>
    <w:rsid w:val="00356EDA"/>
    <w:rsid w:val="0035708F"/>
    <w:rsid w:val="00357743"/>
    <w:rsid w:val="00357E99"/>
    <w:rsid w:val="00360020"/>
    <w:rsid w:val="00360845"/>
    <w:rsid w:val="00361BB7"/>
    <w:rsid w:val="00361C54"/>
    <w:rsid w:val="00361EDA"/>
    <w:rsid w:val="00361F28"/>
    <w:rsid w:val="00362547"/>
    <w:rsid w:val="003628DB"/>
    <w:rsid w:val="00362CFE"/>
    <w:rsid w:val="003636BE"/>
    <w:rsid w:val="003639B4"/>
    <w:rsid w:val="00363C66"/>
    <w:rsid w:val="00364132"/>
    <w:rsid w:val="003651BC"/>
    <w:rsid w:val="00365450"/>
    <w:rsid w:val="00365E1B"/>
    <w:rsid w:val="00366213"/>
    <w:rsid w:val="00366382"/>
    <w:rsid w:val="00366810"/>
    <w:rsid w:val="00366CA8"/>
    <w:rsid w:val="00366D82"/>
    <w:rsid w:val="00366E01"/>
    <w:rsid w:val="00366F06"/>
    <w:rsid w:val="00366F42"/>
    <w:rsid w:val="00366FE3"/>
    <w:rsid w:val="003676E3"/>
    <w:rsid w:val="00370383"/>
    <w:rsid w:val="00370BE9"/>
    <w:rsid w:val="00370D48"/>
    <w:rsid w:val="003713C5"/>
    <w:rsid w:val="0037185B"/>
    <w:rsid w:val="003719EC"/>
    <w:rsid w:val="00371B56"/>
    <w:rsid w:val="00371D7B"/>
    <w:rsid w:val="00372051"/>
    <w:rsid w:val="00372235"/>
    <w:rsid w:val="003724BC"/>
    <w:rsid w:val="00372B82"/>
    <w:rsid w:val="00373442"/>
    <w:rsid w:val="00374092"/>
    <w:rsid w:val="00374629"/>
    <w:rsid w:val="0037475A"/>
    <w:rsid w:val="00374A81"/>
    <w:rsid w:val="00374B5E"/>
    <w:rsid w:val="00374D83"/>
    <w:rsid w:val="003754C3"/>
    <w:rsid w:val="003758DA"/>
    <w:rsid w:val="00375D82"/>
    <w:rsid w:val="003762EC"/>
    <w:rsid w:val="0037641A"/>
    <w:rsid w:val="00376A13"/>
    <w:rsid w:val="00376AAB"/>
    <w:rsid w:val="00376B3D"/>
    <w:rsid w:val="00376E71"/>
    <w:rsid w:val="00376F80"/>
    <w:rsid w:val="003772D5"/>
    <w:rsid w:val="0037736D"/>
    <w:rsid w:val="0037776D"/>
    <w:rsid w:val="00377E1A"/>
    <w:rsid w:val="0038020C"/>
    <w:rsid w:val="00380323"/>
    <w:rsid w:val="003803EB"/>
    <w:rsid w:val="00380545"/>
    <w:rsid w:val="003806CF"/>
    <w:rsid w:val="003806E1"/>
    <w:rsid w:val="00380825"/>
    <w:rsid w:val="00380876"/>
    <w:rsid w:val="00380F3E"/>
    <w:rsid w:val="003813FA"/>
    <w:rsid w:val="00381A80"/>
    <w:rsid w:val="00381B30"/>
    <w:rsid w:val="00381B56"/>
    <w:rsid w:val="00381BE0"/>
    <w:rsid w:val="00382127"/>
    <w:rsid w:val="003827A9"/>
    <w:rsid w:val="00382A32"/>
    <w:rsid w:val="00382B8A"/>
    <w:rsid w:val="00383960"/>
    <w:rsid w:val="00383A51"/>
    <w:rsid w:val="00383C49"/>
    <w:rsid w:val="00383CB0"/>
    <w:rsid w:val="00383DC5"/>
    <w:rsid w:val="00383F78"/>
    <w:rsid w:val="00383F7D"/>
    <w:rsid w:val="003842F7"/>
    <w:rsid w:val="0038450B"/>
    <w:rsid w:val="003851C5"/>
    <w:rsid w:val="003856A0"/>
    <w:rsid w:val="00385AF1"/>
    <w:rsid w:val="00386394"/>
    <w:rsid w:val="00386C62"/>
    <w:rsid w:val="00386DE4"/>
    <w:rsid w:val="003871DD"/>
    <w:rsid w:val="003875BE"/>
    <w:rsid w:val="00387757"/>
    <w:rsid w:val="00387CBF"/>
    <w:rsid w:val="003905F7"/>
    <w:rsid w:val="003908EA"/>
    <w:rsid w:val="00390E81"/>
    <w:rsid w:val="00390FC5"/>
    <w:rsid w:val="00391033"/>
    <w:rsid w:val="00391634"/>
    <w:rsid w:val="00391639"/>
    <w:rsid w:val="0039182F"/>
    <w:rsid w:val="00391D2B"/>
    <w:rsid w:val="00391E64"/>
    <w:rsid w:val="003922BD"/>
    <w:rsid w:val="00392307"/>
    <w:rsid w:val="00392818"/>
    <w:rsid w:val="00392F02"/>
    <w:rsid w:val="00394724"/>
    <w:rsid w:val="003949B4"/>
    <w:rsid w:val="00394A65"/>
    <w:rsid w:val="00394AE1"/>
    <w:rsid w:val="00394B8F"/>
    <w:rsid w:val="00395026"/>
    <w:rsid w:val="003951BF"/>
    <w:rsid w:val="0039562F"/>
    <w:rsid w:val="003961A1"/>
    <w:rsid w:val="00396497"/>
    <w:rsid w:val="0039678B"/>
    <w:rsid w:val="00396CC3"/>
    <w:rsid w:val="0039730D"/>
    <w:rsid w:val="0039756D"/>
    <w:rsid w:val="003976D3"/>
    <w:rsid w:val="00397D2D"/>
    <w:rsid w:val="003A06F2"/>
    <w:rsid w:val="003A13DC"/>
    <w:rsid w:val="003A1C5E"/>
    <w:rsid w:val="003A2344"/>
    <w:rsid w:val="003A236B"/>
    <w:rsid w:val="003A239B"/>
    <w:rsid w:val="003A2D62"/>
    <w:rsid w:val="003A2FA1"/>
    <w:rsid w:val="003A3020"/>
    <w:rsid w:val="003A310E"/>
    <w:rsid w:val="003A3E10"/>
    <w:rsid w:val="003A44F4"/>
    <w:rsid w:val="003A498F"/>
    <w:rsid w:val="003A530D"/>
    <w:rsid w:val="003A5F42"/>
    <w:rsid w:val="003A62FD"/>
    <w:rsid w:val="003A63CC"/>
    <w:rsid w:val="003A6646"/>
    <w:rsid w:val="003A6D97"/>
    <w:rsid w:val="003A6FF0"/>
    <w:rsid w:val="003A7307"/>
    <w:rsid w:val="003A75BA"/>
    <w:rsid w:val="003A761D"/>
    <w:rsid w:val="003A7645"/>
    <w:rsid w:val="003A7940"/>
    <w:rsid w:val="003A7CDF"/>
    <w:rsid w:val="003A7DAA"/>
    <w:rsid w:val="003B015F"/>
    <w:rsid w:val="003B0798"/>
    <w:rsid w:val="003B11B5"/>
    <w:rsid w:val="003B13CC"/>
    <w:rsid w:val="003B21BC"/>
    <w:rsid w:val="003B2203"/>
    <w:rsid w:val="003B277A"/>
    <w:rsid w:val="003B278B"/>
    <w:rsid w:val="003B2A36"/>
    <w:rsid w:val="003B2D03"/>
    <w:rsid w:val="003B2E55"/>
    <w:rsid w:val="003B389E"/>
    <w:rsid w:val="003B3C4F"/>
    <w:rsid w:val="003B42C9"/>
    <w:rsid w:val="003B547B"/>
    <w:rsid w:val="003B568A"/>
    <w:rsid w:val="003B5C50"/>
    <w:rsid w:val="003B613C"/>
    <w:rsid w:val="003B653B"/>
    <w:rsid w:val="003B677D"/>
    <w:rsid w:val="003B729E"/>
    <w:rsid w:val="003B73A9"/>
    <w:rsid w:val="003B7463"/>
    <w:rsid w:val="003B7494"/>
    <w:rsid w:val="003B753A"/>
    <w:rsid w:val="003B788D"/>
    <w:rsid w:val="003B7968"/>
    <w:rsid w:val="003B7C6D"/>
    <w:rsid w:val="003C094F"/>
    <w:rsid w:val="003C1101"/>
    <w:rsid w:val="003C136A"/>
    <w:rsid w:val="003C1859"/>
    <w:rsid w:val="003C1865"/>
    <w:rsid w:val="003C1A2D"/>
    <w:rsid w:val="003C1BDB"/>
    <w:rsid w:val="003C1E1A"/>
    <w:rsid w:val="003C2B77"/>
    <w:rsid w:val="003C302D"/>
    <w:rsid w:val="003C3192"/>
    <w:rsid w:val="003C347B"/>
    <w:rsid w:val="003C386D"/>
    <w:rsid w:val="003C3B44"/>
    <w:rsid w:val="003C3CEC"/>
    <w:rsid w:val="003C4183"/>
    <w:rsid w:val="003C41E8"/>
    <w:rsid w:val="003C4B49"/>
    <w:rsid w:val="003C4CB0"/>
    <w:rsid w:val="003C4DC1"/>
    <w:rsid w:val="003C4FE2"/>
    <w:rsid w:val="003C59A4"/>
    <w:rsid w:val="003C5F9D"/>
    <w:rsid w:val="003C61DE"/>
    <w:rsid w:val="003C6502"/>
    <w:rsid w:val="003C6A22"/>
    <w:rsid w:val="003C6F15"/>
    <w:rsid w:val="003C6F52"/>
    <w:rsid w:val="003C72C1"/>
    <w:rsid w:val="003C7310"/>
    <w:rsid w:val="003C7550"/>
    <w:rsid w:val="003C7DA1"/>
    <w:rsid w:val="003D0042"/>
    <w:rsid w:val="003D0091"/>
    <w:rsid w:val="003D07DF"/>
    <w:rsid w:val="003D0E10"/>
    <w:rsid w:val="003D1F33"/>
    <w:rsid w:val="003D1F68"/>
    <w:rsid w:val="003D33E8"/>
    <w:rsid w:val="003D4013"/>
    <w:rsid w:val="003D4160"/>
    <w:rsid w:val="003D46A8"/>
    <w:rsid w:val="003D474B"/>
    <w:rsid w:val="003D4C34"/>
    <w:rsid w:val="003D4D1B"/>
    <w:rsid w:val="003D5C0D"/>
    <w:rsid w:val="003D5C9E"/>
    <w:rsid w:val="003D5D16"/>
    <w:rsid w:val="003D5D63"/>
    <w:rsid w:val="003D5DC7"/>
    <w:rsid w:val="003D6502"/>
    <w:rsid w:val="003D655C"/>
    <w:rsid w:val="003D67C0"/>
    <w:rsid w:val="003D72FF"/>
    <w:rsid w:val="003D7494"/>
    <w:rsid w:val="003D7AF0"/>
    <w:rsid w:val="003D7B56"/>
    <w:rsid w:val="003E0235"/>
    <w:rsid w:val="003E05C3"/>
    <w:rsid w:val="003E06DF"/>
    <w:rsid w:val="003E1937"/>
    <w:rsid w:val="003E193A"/>
    <w:rsid w:val="003E27F5"/>
    <w:rsid w:val="003E2837"/>
    <w:rsid w:val="003E2B98"/>
    <w:rsid w:val="003E2BF7"/>
    <w:rsid w:val="003E31A7"/>
    <w:rsid w:val="003E3500"/>
    <w:rsid w:val="003E3540"/>
    <w:rsid w:val="003E3C65"/>
    <w:rsid w:val="003E3DC0"/>
    <w:rsid w:val="003E3E56"/>
    <w:rsid w:val="003E41E0"/>
    <w:rsid w:val="003E4954"/>
    <w:rsid w:val="003E4A30"/>
    <w:rsid w:val="003E4AD6"/>
    <w:rsid w:val="003E5350"/>
    <w:rsid w:val="003E53AD"/>
    <w:rsid w:val="003E5535"/>
    <w:rsid w:val="003E556B"/>
    <w:rsid w:val="003E5592"/>
    <w:rsid w:val="003E5626"/>
    <w:rsid w:val="003E5838"/>
    <w:rsid w:val="003E5D11"/>
    <w:rsid w:val="003E5F0E"/>
    <w:rsid w:val="003E70C4"/>
    <w:rsid w:val="003E79DA"/>
    <w:rsid w:val="003E7A6F"/>
    <w:rsid w:val="003E7E17"/>
    <w:rsid w:val="003E7E96"/>
    <w:rsid w:val="003E7ECD"/>
    <w:rsid w:val="003F0363"/>
    <w:rsid w:val="003F0BB0"/>
    <w:rsid w:val="003F1454"/>
    <w:rsid w:val="003F1653"/>
    <w:rsid w:val="003F1F3C"/>
    <w:rsid w:val="003F23BB"/>
    <w:rsid w:val="003F25F1"/>
    <w:rsid w:val="003F295C"/>
    <w:rsid w:val="003F2DD9"/>
    <w:rsid w:val="003F3393"/>
    <w:rsid w:val="003F384B"/>
    <w:rsid w:val="003F3E06"/>
    <w:rsid w:val="003F4C98"/>
    <w:rsid w:val="003F53FC"/>
    <w:rsid w:val="003F5CF5"/>
    <w:rsid w:val="003F5D0D"/>
    <w:rsid w:val="003F6DEC"/>
    <w:rsid w:val="003F6E94"/>
    <w:rsid w:val="003F7BC1"/>
    <w:rsid w:val="003F7E74"/>
    <w:rsid w:val="004002A6"/>
    <w:rsid w:val="0040033B"/>
    <w:rsid w:val="00400EAB"/>
    <w:rsid w:val="004012EA"/>
    <w:rsid w:val="00401734"/>
    <w:rsid w:val="00401748"/>
    <w:rsid w:val="00401B7E"/>
    <w:rsid w:val="00401CC2"/>
    <w:rsid w:val="00401F14"/>
    <w:rsid w:val="00402905"/>
    <w:rsid w:val="00402997"/>
    <w:rsid w:val="00402B2A"/>
    <w:rsid w:val="00402C37"/>
    <w:rsid w:val="0040331E"/>
    <w:rsid w:val="00403CC1"/>
    <w:rsid w:val="00403E51"/>
    <w:rsid w:val="00404395"/>
    <w:rsid w:val="00404413"/>
    <w:rsid w:val="00404DCD"/>
    <w:rsid w:val="00405094"/>
    <w:rsid w:val="004052D7"/>
    <w:rsid w:val="004059E0"/>
    <w:rsid w:val="00406281"/>
    <w:rsid w:val="004066B9"/>
    <w:rsid w:val="00406B56"/>
    <w:rsid w:val="004074BE"/>
    <w:rsid w:val="00407948"/>
    <w:rsid w:val="00407974"/>
    <w:rsid w:val="00407D78"/>
    <w:rsid w:val="00410146"/>
    <w:rsid w:val="00410805"/>
    <w:rsid w:val="00410905"/>
    <w:rsid w:val="00410A78"/>
    <w:rsid w:val="00410E84"/>
    <w:rsid w:val="004111E2"/>
    <w:rsid w:val="00411788"/>
    <w:rsid w:val="0041184A"/>
    <w:rsid w:val="00411B24"/>
    <w:rsid w:val="004123D5"/>
    <w:rsid w:val="00412A1B"/>
    <w:rsid w:val="0041368D"/>
    <w:rsid w:val="00414146"/>
    <w:rsid w:val="00414339"/>
    <w:rsid w:val="0041552E"/>
    <w:rsid w:val="0041595B"/>
    <w:rsid w:val="00416073"/>
    <w:rsid w:val="00416476"/>
    <w:rsid w:val="004167F5"/>
    <w:rsid w:val="00416F24"/>
    <w:rsid w:val="00417102"/>
    <w:rsid w:val="00417BEB"/>
    <w:rsid w:val="004202FC"/>
    <w:rsid w:val="004204B7"/>
    <w:rsid w:val="00420C95"/>
    <w:rsid w:val="00420E11"/>
    <w:rsid w:val="00420E58"/>
    <w:rsid w:val="0042101A"/>
    <w:rsid w:val="0042121C"/>
    <w:rsid w:val="0042190B"/>
    <w:rsid w:val="0042196C"/>
    <w:rsid w:val="00421B3F"/>
    <w:rsid w:val="004228BD"/>
    <w:rsid w:val="00422CA1"/>
    <w:rsid w:val="0042317C"/>
    <w:rsid w:val="00423642"/>
    <w:rsid w:val="0042393C"/>
    <w:rsid w:val="00423E56"/>
    <w:rsid w:val="004240A5"/>
    <w:rsid w:val="00424883"/>
    <w:rsid w:val="00424C8C"/>
    <w:rsid w:val="004254D3"/>
    <w:rsid w:val="0042580F"/>
    <w:rsid w:val="0042585D"/>
    <w:rsid w:val="00425AF9"/>
    <w:rsid w:val="00426280"/>
    <w:rsid w:val="00426346"/>
    <w:rsid w:val="004263D1"/>
    <w:rsid w:val="00426494"/>
    <w:rsid w:val="00426776"/>
    <w:rsid w:val="00426D13"/>
    <w:rsid w:val="004274CD"/>
    <w:rsid w:val="00427C87"/>
    <w:rsid w:val="00430260"/>
    <w:rsid w:val="004309BA"/>
    <w:rsid w:val="00431179"/>
    <w:rsid w:val="004315BD"/>
    <w:rsid w:val="00431CBE"/>
    <w:rsid w:val="0043245B"/>
    <w:rsid w:val="004327D2"/>
    <w:rsid w:val="00432A83"/>
    <w:rsid w:val="00432D1B"/>
    <w:rsid w:val="00432D93"/>
    <w:rsid w:val="00432E8E"/>
    <w:rsid w:val="004332E7"/>
    <w:rsid w:val="00433343"/>
    <w:rsid w:val="004337C8"/>
    <w:rsid w:val="00433CE3"/>
    <w:rsid w:val="00433E50"/>
    <w:rsid w:val="00433EBA"/>
    <w:rsid w:val="00434054"/>
    <w:rsid w:val="00434144"/>
    <w:rsid w:val="00434249"/>
    <w:rsid w:val="0043487D"/>
    <w:rsid w:val="00434B85"/>
    <w:rsid w:val="00434F3B"/>
    <w:rsid w:val="004350B4"/>
    <w:rsid w:val="00435A37"/>
    <w:rsid w:val="00435C6A"/>
    <w:rsid w:val="004365C1"/>
    <w:rsid w:val="0043663A"/>
    <w:rsid w:val="00436F53"/>
    <w:rsid w:val="0043729B"/>
    <w:rsid w:val="0043745E"/>
    <w:rsid w:val="004378F5"/>
    <w:rsid w:val="00437C88"/>
    <w:rsid w:val="004400C3"/>
    <w:rsid w:val="00440C94"/>
    <w:rsid w:val="0044126A"/>
    <w:rsid w:val="004415ED"/>
    <w:rsid w:val="00441770"/>
    <w:rsid w:val="00441DF4"/>
    <w:rsid w:val="00442C62"/>
    <w:rsid w:val="00442E1D"/>
    <w:rsid w:val="004431DE"/>
    <w:rsid w:val="00443606"/>
    <w:rsid w:val="00443CC1"/>
    <w:rsid w:val="00443D3F"/>
    <w:rsid w:val="00443F2B"/>
    <w:rsid w:val="0044415E"/>
    <w:rsid w:val="0044451C"/>
    <w:rsid w:val="0044469C"/>
    <w:rsid w:val="0044470D"/>
    <w:rsid w:val="0044504C"/>
    <w:rsid w:val="00445CC0"/>
    <w:rsid w:val="00445CF1"/>
    <w:rsid w:val="00446133"/>
    <w:rsid w:val="004465E5"/>
    <w:rsid w:val="00446950"/>
    <w:rsid w:val="00447096"/>
    <w:rsid w:val="00447182"/>
    <w:rsid w:val="0044729F"/>
    <w:rsid w:val="00447461"/>
    <w:rsid w:val="00447BF2"/>
    <w:rsid w:val="00450138"/>
    <w:rsid w:val="00450215"/>
    <w:rsid w:val="004502E9"/>
    <w:rsid w:val="00450364"/>
    <w:rsid w:val="00450522"/>
    <w:rsid w:val="004514DB"/>
    <w:rsid w:val="004515F0"/>
    <w:rsid w:val="004517BC"/>
    <w:rsid w:val="004519C0"/>
    <w:rsid w:val="00452D1F"/>
    <w:rsid w:val="0045367E"/>
    <w:rsid w:val="00453737"/>
    <w:rsid w:val="00453C34"/>
    <w:rsid w:val="00453D1D"/>
    <w:rsid w:val="00454D78"/>
    <w:rsid w:val="00454D98"/>
    <w:rsid w:val="00455368"/>
    <w:rsid w:val="004567F2"/>
    <w:rsid w:val="00456A97"/>
    <w:rsid w:val="00456B41"/>
    <w:rsid w:val="00456E3D"/>
    <w:rsid w:val="0045751B"/>
    <w:rsid w:val="00457E4F"/>
    <w:rsid w:val="00457EEB"/>
    <w:rsid w:val="00457FC2"/>
    <w:rsid w:val="004609C7"/>
    <w:rsid w:val="004613FB"/>
    <w:rsid w:val="00461A65"/>
    <w:rsid w:val="00461C59"/>
    <w:rsid w:val="00461E1A"/>
    <w:rsid w:val="00462A99"/>
    <w:rsid w:val="00463276"/>
    <w:rsid w:val="0046365C"/>
    <w:rsid w:val="004637D2"/>
    <w:rsid w:val="004637DA"/>
    <w:rsid w:val="00463A76"/>
    <w:rsid w:val="00463D50"/>
    <w:rsid w:val="0046407E"/>
    <w:rsid w:val="00464DA6"/>
    <w:rsid w:val="00464DE8"/>
    <w:rsid w:val="00465FDF"/>
    <w:rsid w:val="004663AD"/>
    <w:rsid w:val="00466648"/>
    <w:rsid w:val="00466FD6"/>
    <w:rsid w:val="004672F2"/>
    <w:rsid w:val="00467571"/>
    <w:rsid w:val="00467F3C"/>
    <w:rsid w:val="00470101"/>
    <w:rsid w:val="00470CA1"/>
    <w:rsid w:val="0047103C"/>
    <w:rsid w:val="004712EE"/>
    <w:rsid w:val="00471508"/>
    <w:rsid w:val="00471536"/>
    <w:rsid w:val="004715C2"/>
    <w:rsid w:val="00471806"/>
    <w:rsid w:val="00471B9E"/>
    <w:rsid w:val="00471F05"/>
    <w:rsid w:val="00472A6D"/>
    <w:rsid w:val="00472B04"/>
    <w:rsid w:val="004746DC"/>
    <w:rsid w:val="00474C49"/>
    <w:rsid w:val="00474D67"/>
    <w:rsid w:val="00474E01"/>
    <w:rsid w:val="00475849"/>
    <w:rsid w:val="00475891"/>
    <w:rsid w:val="00475D19"/>
    <w:rsid w:val="00475F95"/>
    <w:rsid w:val="004764FD"/>
    <w:rsid w:val="004769CA"/>
    <w:rsid w:val="00476C35"/>
    <w:rsid w:val="00476CB3"/>
    <w:rsid w:val="00476FC4"/>
    <w:rsid w:val="0047714E"/>
    <w:rsid w:val="0047737C"/>
    <w:rsid w:val="0047768F"/>
    <w:rsid w:val="004776C4"/>
    <w:rsid w:val="0048006E"/>
    <w:rsid w:val="00480345"/>
    <w:rsid w:val="0048036E"/>
    <w:rsid w:val="00480461"/>
    <w:rsid w:val="00480AD7"/>
    <w:rsid w:val="00480B73"/>
    <w:rsid w:val="00480C42"/>
    <w:rsid w:val="00481167"/>
    <w:rsid w:val="00481317"/>
    <w:rsid w:val="0048132B"/>
    <w:rsid w:val="0048149D"/>
    <w:rsid w:val="00481516"/>
    <w:rsid w:val="00481943"/>
    <w:rsid w:val="00482373"/>
    <w:rsid w:val="00482716"/>
    <w:rsid w:val="00482B0A"/>
    <w:rsid w:val="00482B1E"/>
    <w:rsid w:val="0048370D"/>
    <w:rsid w:val="0048382A"/>
    <w:rsid w:val="004839AB"/>
    <w:rsid w:val="00483CE3"/>
    <w:rsid w:val="004849C8"/>
    <w:rsid w:val="00485EF0"/>
    <w:rsid w:val="0048627A"/>
    <w:rsid w:val="0048637A"/>
    <w:rsid w:val="00486F92"/>
    <w:rsid w:val="00487761"/>
    <w:rsid w:val="00490434"/>
    <w:rsid w:val="004907AA"/>
    <w:rsid w:val="00490A5D"/>
    <w:rsid w:val="00490C44"/>
    <w:rsid w:val="00490F0B"/>
    <w:rsid w:val="00490FA3"/>
    <w:rsid w:val="00491100"/>
    <w:rsid w:val="0049114F"/>
    <w:rsid w:val="00491659"/>
    <w:rsid w:val="0049190F"/>
    <w:rsid w:val="00491FB5"/>
    <w:rsid w:val="00492138"/>
    <w:rsid w:val="004922A7"/>
    <w:rsid w:val="00492315"/>
    <w:rsid w:val="004928EB"/>
    <w:rsid w:val="00492B35"/>
    <w:rsid w:val="00492E34"/>
    <w:rsid w:val="00493F85"/>
    <w:rsid w:val="004942B7"/>
    <w:rsid w:val="00495297"/>
    <w:rsid w:val="0049585F"/>
    <w:rsid w:val="00495D34"/>
    <w:rsid w:val="00495FC9"/>
    <w:rsid w:val="0049655A"/>
    <w:rsid w:val="0049660A"/>
    <w:rsid w:val="00497238"/>
    <w:rsid w:val="0049732C"/>
    <w:rsid w:val="004A0010"/>
    <w:rsid w:val="004A0104"/>
    <w:rsid w:val="004A0835"/>
    <w:rsid w:val="004A0953"/>
    <w:rsid w:val="004A0B8E"/>
    <w:rsid w:val="004A0D8D"/>
    <w:rsid w:val="004A0DF8"/>
    <w:rsid w:val="004A112F"/>
    <w:rsid w:val="004A19E7"/>
    <w:rsid w:val="004A226A"/>
    <w:rsid w:val="004A2590"/>
    <w:rsid w:val="004A27A7"/>
    <w:rsid w:val="004A2DD3"/>
    <w:rsid w:val="004A3152"/>
    <w:rsid w:val="004A3BEB"/>
    <w:rsid w:val="004A3CA5"/>
    <w:rsid w:val="004A44A8"/>
    <w:rsid w:val="004A469C"/>
    <w:rsid w:val="004A4A26"/>
    <w:rsid w:val="004A4C4B"/>
    <w:rsid w:val="004A5378"/>
    <w:rsid w:val="004A5981"/>
    <w:rsid w:val="004A5D37"/>
    <w:rsid w:val="004A5F15"/>
    <w:rsid w:val="004A6A35"/>
    <w:rsid w:val="004A6C1A"/>
    <w:rsid w:val="004A7AF7"/>
    <w:rsid w:val="004B00F8"/>
    <w:rsid w:val="004B0AB5"/>
    <w:rsid w:val="004B0C25"/>
    <w:rsid w:val="004B0D3B"/>
    <w:rsid w:val="004B16F9"/>
    <w:rsid w:val="004B20F4"/>
    <w:rsid w:val="004B2B72"/>
    <w:rsid w:val="004B2C2E"/>
    <w:rsid w:val="004B2E39"/>
    <w:rsid w:val="004B36E0"/>
    <w:rsid w:val="004B382A"/>
    <w:rsid w:val="004B3EB1"/>
    <w:rsid w:val="004B416D"/>
    <w:rsid w:val="004B498B"/>
    <w:rsid w:val="004B5100"/>
    <w:rsid w:val="004B514B"/>
    <w:rsid w:val="004B60F4"/>
    <w:rsid w:val="004B615C"/>
    <w:rsid w:val="004B647F"/>
    <w:rsid w:val="004B6B34"/>
    <w:rsid w:val="004B6C19"/>
    <w:rsid w:val="004B6D3D"/>
    <w:rsid w:val="004B7519"/>
    <w:rsid w:val="004B76E2"/>
    <w:rsid w:val="004B77F7"/>
    <w:rsid w:val="004B7944"/>
    <w:rsid w:val="004C0C05"/>
    <w:rsid w:val="004C0D89"/>
    <w:rsid w:val="004C12FD"/>
    <w:rsid w:val="004C1755"/>
    <w:rsid w:val="004C1CFA"/>
    <w:rsid w:val="004C1D06"/>
    <w:rsid w:val="004C1FC4"/>
    <w:rsid w:val="004C2164"/>
    <w:rsid w:val="004C22A8"/>
    <w:rsid w:val="004C257D"/>
    <w:rsid w:val="004C26AE"/>
    <w:rsid w:val="004C2B64"/>
    <w:rsid w:val="004C2BC6"/>
    <w:rsid w:val="004C37DE"/>
    <w:rsid w:val="004C3841"/>
    <w:rsid w:val="004C3E4D"/>
    <w:rsid w:val="004C403D"/>
    <w:rsid w:val="004C4160"/>
    <w:rsid w:val="004C59E4"/>
    <w:rsid w:val="004C5ADA"/>
    <w:rsid w:val="004C5BBC"/>
    <w:rsid w:val="004C62CE"/>
    <w:rsid w:val="004C65B2"/>
    <w:rsid w:val="004C65CC"/>
    <w:rsid w:val="004C6C65"/>
    <w:rsid w:val="004C75FC"/>
    <w:rsid w:val="004C7882"/>
    <w:rsid w:val="004D02CF"/>
    <w:rsid w:val="004D04CE"/>
    <w:rsid w:val="004D0808"/>
    <w:rsid w:val="004D1411"/>
    <w:rsid w:val="004D15AA"/>
    <w:rsid w:val="004D1E6A"/>
    <w:rsid w:val="004D1EF4"/>
    <w:rsid w:val="004D208A"/>
    <w:rsid w:val="004D26C4"/>
    <w:rsid w:val="004D2879"/>
    <w:rsid w:val="004D2AE4"/>
    <w:rsid w:val="004D30DB"/>
    <w:rsid w:val="004D3286"/>
    <w:rsid w:val="004D361D"/>
    <w:rsid w:val="004D3B49"/>
    <w:rsid w:val="004D3BB4"/>
    <w:rsid w:val="004D3D0C"/>
    <w:rsid w:val="004D4C16"/>
    <w:rsid w:val="004D4D00"/>
    <w:rsid w:val="004D5378"/>
    <w:rsid w:val="004D5502"/>
    <w:rsid w:val="004D67AB"/>
    <w:rsid w:val="004D69B2"/>
    <w:rsid w:val="004D7214"/>
    <w:rsid w:val="004D732C"/>
    <w:rsid w:val="004D7337"/>
    <w:rsid w:val="004D7462"/>
    <w:rsid w:val="004D77C1"/>
    <w:rsid w:val="004D77E6"/>
    <w:rsid w:val="004D784D"/>
    <w:rsid w:val="004D7994"/>
    <w:rsid w:val="004E01F0"/>
    <w:rsid w:val="004E085F"/>
    <w:rsid w:val="004E08DC"/>
    <w:rsid w:val="004E1007"/>
    <w:rsid w:val="004E10AD"/>
    <w:rsid w:val="004E1667"/>
    <w:rsid w:val="004E1AE7"/>
    <w:rsid w:val="004E1CB2"/>
    <w:rsid w:val="004E2485"/>
    <w:rsid w:val="004E2848"/>
    <w:rsid w:val="004E28EB"/>
    <w:rsid w:val="004E2F05"/>
    <w:rsid w:val="004E31CE"/>
    <w:rsid w:val="004E347B"/>
    <w:rsid w:val="004E34CF"/>
    <w:rsid w:val="004E3732"/>
    <w:rsid w:val="004E43F4"/>
    <w:rsid w:val="004E4605"/>
    <w:rsid w:val="004E4737"/>
    <w:rsid w:val="004E4EAF"/>
    <w:rsid w:val="004E52C5"/>
    <w:rsid w:val="004E549E"/>
    <w:rsid w:val="004E55BC"/>
    <w:rsid w:val="004E5735"/>
    <w:rsid w:val="004E57D2"/>
    <w:rsid w:val="004E5D5F"/>
    <w:rsid w:val="004E6BB6"/>
    <w:rsid w:val="004E6C69"/>
    <w:rsid w:val="004E6D4A"/>
    <w:rsid w:val="004E7372"/>
    <w:rsid w:val="004E7488"/>
    <w:rsid w:val="004E7A71"/>
    <w:rsid w:val="004E7A76"/>
    <w:rsid w:val="004F0D05"/>
    <w:rsid w:val="004F0D71"/>
    <w:rsid w:val="004F140A"/>
    <w:rsid w:val="004F16EC"/>
    <w:rsid w:val="004F187B"/>
    <w:rsid w:val="004F3FEF"/>
    <w:rsid w:val="004F4137"/>
    <w:rsid w:val="004F4159"/>
    <w:rsid w:val="004F420F"/>
    <w:rsid w:val="004F42EF"/>
    <w:rsid w:val="004F4559"/>
    <w:rsid w:val="004F4604"/>
    <w:rsid w:val="004F4735"/>
    <w:rsid w:val="004F49B7"/>
    <w:rsid w:val="004F49CC"/>
    <w:rsid w:val="004F4AF8"/>
    <w:rsid w:val="004F4E14"/>
    <w:rsid w:val="004F5078"/>
    <w:rsid w:val="004F54BA"/>
    <w:rsid w:val="004F5680"/>
    <w:rsid w:val="004F6A51"/>
    <w:rsid w:val="004F6D1E"/>
    <w:rsid w:val="005002AE"/>
    <w:rsid w:val="0050035A"/>
    <w:rsid w:val="00500EA8"/>
    <w:rsid w:val="00500F6B"/>
    <w:rsid w:val="00501239"/>
    <w:rsid w:val="005012BC"/>
    <w:rsid w:val="005015B3"/>
    <w:rsid w:val="005015F2"/>
    <w:rsid w:val="0050172C"/>
    <w:rsid w:val="00501872"/>
    <w:rsid w:val="00501A79"/>
    <w:rsid w:val="00501AEC"/>
    <w:rsid w:val="00501CA0"/>
    <w:rsid w:val="00501CEB"/>
    <w:rsid w:val="00502739"/>
    <w:rsid w:val="00502A9C"/>
    <w:rsid w:val="0050306B"/>
    <w:rsid w:val="005031A5"/>
    <w:rsid w:val="005039A6"/>
    <w:rsid w:val="005039D2"/>
    <w:rsid w:val="00503D9F"/>
    <w:rsid w:val="00504008"/>
    <w:rsid w:val="005045F6"/>
    <w:rsid w:val="00504987"/>
    <w:rsid w:val="00504BD9"/>
    <w:rsid w:val="00504F84"/>
    <w:rsid w:val="005060AA"/>
    <w:rsid w:val="005073FC"/>
    <w:rsid w:val="00507612"/>
    <w:rsid w:val="0050796E"/>
    <w:rsid w:val="0050799F"/>
    <w:rsid w:val="005079AC"/>
    <w:rsid w:val="00507B4E"/>
    <w:rsid w:val="005100B5"/>
    <w:rsid w:val="005105BF"/>
    <w:rsid w:val="005108A7"/>
    <w:rsid w:val="0051093A"/>
    <w:rsid w:val="00510B81"/>
    <w:rsid w:val="00510E24"/>
    <w:rsid w:val="0051146F"/>
    <w:rsid w:val="00511B1E"/>
    <w:rsid w:val="00511E31"/>
    <w:rsid w:val="00512386"/>
    <w:rsid w:val="00512D4E"/>
    <w:rsid w:val="0051354C"/>
    <w:rsid w:val="00513CF7"/>
    <w:rsid w:val="005143D5"/>
    <w:rsid w:val="005143FA"/>
    <w:rsid w:val="00514649"/>
    <w:rsid w:val="00514D62"/>
    <w:rsid w:val="00514FBB"/>
    <w:rsid w:val="00514FE4"/>
    <w:rsid w:val="00515952"/>
    <w:rsid w:val="00515B4F"/>
    <w:rsid w:val="00516201"/>
    <w:rsid w:val="00516946"/>
    <w:rsid w:val="00516BD2"/>
    <w:rsid w:val="00516DD6"/>
    <w:rsid w:val="005177ED"/>
    <w:rsid w:val="00517C43"/>
    <w:rsid w:val="00517E42"/>
    <w:rsid w:val="005201CC"/>
    <w:rsid w:val="0052030F"/>
    <w:rsid w:val="0052051A"/>
    <w:rsid w:val="0052078B"/>
    <w:rsid w:val="00521870"/>
    <w:rsid w:val="00521A9C"/>
    <w:rsid w:val="00521BBE"/>
    <w:rsid w:val="00521CD8"/>
    <w:rsid w:val="00522109"/>
    <w:rsid w:val="00522146"/>
    <w:rsid w:val="005228E3"/>
    <w:rsid w:val="00522CBA"/>
    <w:rsid w:val="00522DD2"/>
    <w:rsid w:val="00523741"/>
    <w:rsid w:val="005237FD"/>
    <w:rsid w:val="00523A15"/>
    <w:rsid w:val="00523D67"/>
    <w:rsid w:val="00523EFD"/>
    <w:rsid w:val="00524351"/>
    <w:rsid w:val="005243F8"/>
    <w:rsid w:val="005248DC"/>
    <w:rsid w:val="00524975"/>
    <w:rsid w:val="00524A43"/>
    <w:rsid w:val="00524D16"/>
    <w:rsid w:val="00525125"/>
    <w:rsid w:val="00525264"/>
    <w:rsid w:val="005252CB"/>
    <w:rsid w:val="005252E9"/>
    <w:rsid w:val="005256B9"/>
    <w:rsid w:val="005259C4"/>
    <w:rsid w:val="00525B0F"/>
    <w:rsid w:val="005260E4"/>
    <w:rsid w:val="0052627C"/>
    <w:rsid w:val="0052755A"/>
    <w:rsid w:val="005276C2"/>
    <w:rsid w:val="005277D4"/>
    <w:rsid w:val="00527B58"/>
    <w:rsid w:val="00527FE0"/>
    <w:rsid w:val="00530170"/>
    <w:rsid w:val="0053036E"/>
    <w:rsid w:val="005305EC"/>
    <w:rsid w:val="00530CDB"/>
    <w:rsid w:val="00531E82"/>
    <w:rsid w:val="00532332"/>
    <w:rsid w:val="0053235A"/>
    <w:rsid w:val="00532739"/>
    <w:rsid w:val="0053347D"/>
    <w:rsid w:val="00533541"/>
    <w:rsid w:val="00533C61"/>
    <w:rsid w:val="00533F5B"/>
    <w:rsid w:val="0053404C"/>
    <w:rsid w:val="005343F9"/>
    <w:rsid w:val="005344A2"/>
    <w:rsid w:val="005344F8"/>
    <w:rsid w:val="00534AD5"/>
    <w:rsid w:val="00534C34"/>
    <w:rsid w:val="00535558"/>
    <w:rsid w:val="0053557E"/>
    <w:rsid w:val="00535703"/>
    <w:rsid w:val="005357E5"/>
    <w:rsid w:val="0053589F"/>
    <w:rsid w:val="005359EF"/>
    <w:rsid w:val="00535D9B"/>
    <w:rsid w:val="00536005"/>
    <w:rsid w:val="00536444"/>
    <w:rsid w:val="0053716B"/>
    <w:rsid w:val="005376E4"/>
    <w:rsid w:val="00537B53"/>
    <w:rsid w:val="00537F59"/>
    <w:rsid w:val="005400F7"/>
    <w:rsid w:val="00540932"/>
    <w:rsid w:val="0054140E"/>
    <w:rsid w:val="00541529"/>
    <w:rsid w:val="00541593"/>
    <w:rsid w:val="005415E2"/>
    <w:rsid w:val="005416D7"/>
    <w:rsid w:val="00541E70"/>
    <w:rsid w:val="0054228A"/>
    <w:rsid w:val="00542654"/>
    <w:rsid w:val="0054278E"/>
    <w:rsid w:val="00542B74"/>
    <w:rsid w:val="00542DBB"/>
    <w:rsid w:val="00543842"/>
    <w:rsid w:val="005442FB"/>
    <w:rsid w:val="0054455D"/>
    <w:rsid w:val="0054466B"/>
    <w:rsid w:val="00544747"/>
    <w:rsid w:val="00544BC0"/>
    <w:rsid w:val="00544CEB"/>
    <w:rsid w:val="00544FBD"/>
    <w:rsid w:val="00545132"/>
    <w:rsid w:val="005451F1"/>
    <w:rsid w:val="00545BFA"/>
    <w:rsid w:val="0054664E"/>
    <w:rsid w:val="0054686C"/>
    <w:rsid w:val="00546A04"/>
    <w:rsid w:val="00546F38"/>
    <w:rsid w:val="005470AC"/>
    <w:rsid w:val="0054731D"/>
    <w:rsid w:val="005475CA"/>
    <w:rsid w:val="005479C1"/>
    <w:rsid w:val="005479EA"/>
    <w:rsid w:val="00547DF7"/>
    <w:rsid w:val="005502E0"/>
    <w:rsid w:val="00550B0F"/>
    <w:rsid w:val="0055168B"/>
    <w:rsid w:val="00551779"/>
    <w:rsid w:val="00551CC4"/>
    <w:rsid w:val="00551F68"/>
    <w:rsid w:val="00552B3F"/>
    <w:rsid w:val="00553012"/>
    <w:rsid w:val="005530C4"/>
    <w:rsid w:val="0055332F"/>
    <w:rsid w:val="0055333C"/>
    <w:rsid w:val="00553861"/>
    <w:rsid w:val="00553B45"/>
    <w:rsid w:val="00553F66"/>
    <w:rsid w:val="00554F11"/>
    <w:rsid w:val="00555312"/>
    <w:rsid w:val="00555354"/>
    <w:rsid w:val="005555FD"/>
    <w:rsid w:val="00555D63"/>
    <w:rsid w:val="00556C76"/>
    <w:rsid w:val="00557609"/>
    <w:rsid w:val="00557CB3"/>
    <w:rsid w:val="00560186"/>
    <w:rsid w:val="00560FBD"/>
    <w:rsid w:val="00561B0D"/>
    <w:rsid w:val="00561B43"/>
    <w:rsid w:val="005623CC"/>
    <w:rsid w:val="00562B10"/>
    <w:rsid w:val="00562D9F"/>
    <w:rsid w:val="0056303D"/>
    <w:rsid w:val="0056303F"/>
    <w:rsid w:val="00563171"/>
    <w:rsid w:val="005631C2"/>
    <w:rsid w:val="00563E4D"/>
    <w:rsid w:val="005640E0"/>
    <w:rsid w:val="00564668"/>
    <w:rsid w:val="00564A81"/>
    <w:rsid w:val="00564B38"/>
    <w:rsid w:val="00564C5D"/>
    <w:rsid w:val="00564D9C"/>
    <w:rsid w:val="00564E5A"/>
    <w:rsid w:val="0056536F"/>
    <w:rsid w:val="005657FB"/>
    <w:rsid w:val="0056591F"/>
    <w:rsid w:val="00565970"/>
    <w:rsid w:val="00565F3A"/>
    <w:rsid w:val="00566AEB"/>
    <w:rsid w:val="00566BBD"/>
    <w:rsid w:val="00567116"/>
    <w:rsid w:val="00567439"/>
    <w:rsid w:val="00567981"/>
    <w:rsid w:val="00567A4D"/>
    <w:rsid w:val="00567C3E"/>
    <w:rsid w:val="00570302"/>
    <w:rsid w:val="0057092B"/>
    <w:rsid w:val="00570A04"/>
    <w:rsid w:val="00570C49"/>
    <w:rsid w:val="00570CE3"/>
    <w:rsid w:val="00570D28"/>
    <w:rsid w:val="00570E1F"/>
    <w:rsid w:val="0057176E"/>
    <w:rsid w:val="00572152"/>
    <w:rsid w:val="00572649"/>
    <w:rsid w:val="005727E5"/>
    <w:rsid w:val="005728FF"/>
    <w:rsid w:val="005729C3"/>
    <w:rsid w:val="00572B1E"/>
    <w:rsid w:val="00572D66"/>
    <w:rsid w:val="00572DEC"/>
    <w:rsid w:val="005733AB"/>
    <w:rsid w:val="005733C8"/>
    <w:rsid w:val="00573B7B"/>
    <w:rsid w:val="00573BDD"/>
    <w:rsid w:val="00573CBD"/>
    <w:rsid w:val="00574137"/>
    <w:rsid w:val="00574193"/>
    <w:rsid w:val="005742C1"/>
    <w:rsid w:val="00574558"/>
    <w:rsid w:val="00574577"/>
    <w:rsid w:val="00574BC8"/>
    <w:rsid w:val="00575007"/>
    <w:rsid w:val="0057541C"/>
    <w:rsid w:val="0057559D"/>
    <w:rsid w:val="00575857"/>
    <w:rsid w:val="0057595C"/>
    <w:rsid w:val="00575D10"/>
    <w:rsid w:val="00575F69"/>
    <w:rsid w:val="00576037"/>
    <w:rsid w:val="005760A7"/>
    <w:rsid w:val="00576261"/>
    <w:rsid w:val="005766B6"/>
    <w:rsid w:val="005767FD"/>
    <w:rsid w:val="00576A07"/>
    <w:rsid w:val="00576B17"/>
    <w:rsid w:val="0057758D"/>
    <w:rsid w:val="005777F3"/>
    <w:rsid w:val="005778EC"/>
    <w:rsid w:val="00577CB7"/>
    <w:rsid w:val="005805B8"/>
    <w:rsid w:val="005809A1"/>
    <w:rsid w:val="00580A43"/>
    <w:rsid w:val="0058133D"/>
    <w:rsid w:val="005817C4"/>
    <w:rsid w:val="00581A1B"/>
    <w:rsid w:val="00581C6D"/>
    <w:rsid w:val="00581C89"/>
    <w:rsid w:val="00581CA6"/>
    <w:rsid w:val="00581CBD"/>
    <w:rsid w:val="00581CF3"/>
    <w:rsid w:val="00581E44"/>
    <w:rsid w:val="005820E1"/>
    <w:rsid w:val="0058255F"/>
    <w:rsid w:val="005829CC"/>
    <w:rsid w:val="00582A1C"/>
    <w:rsid w:val="00582D8A"/>
    <w:rsid w:val="0058356A"/>
    <w:rsid w:val="00583B57"/>
    <w:rsid w:val="00584230"/>
    <w:rsid w:val="005849A2"/>
    <w:rsid w:val="00584A9D"/>
    <w:rsid w:val="00585411"/>
    <w:rsid w:val="00586DB3"/>
    <w:rsid w:val="00586F5B"/>
    <w:rsid w:val="00586FCC"/>
    <w:rsid w:val="00586FDD"/>
    <w:rsid w:val="00587E44"/>
    <w:rsid w:val="00587F35"/>
    <w:rsid w:val="00590242"/>
    <w:rsid w:val="005902BF"/>
    <w:rsid w:val="0059032B"/>
    <w:rsid w:val="00590515"/>
    <w:rsid w:val="00590555"/>
    <w:rsid w:val="00590D85"/>
    <w:rsid w:val="005914AC"/>
    <w:rsid w:val="005915C3"/>
    <w:rsid w:val="00591B9E"/>
    <w:rsid w:val="00592136"/>
    <w:rsid w:val="0059217F"/>
    <w:rsid w:val="005925D4"/>
    <w:rsid w:val="00592786"/>
    <w:rsid w:val="005927F8"/>
    <w:rsid w:val="00592B74"/>
    <w:rsid w:val="00592BD5"/>
    <w:rsid w:val="00592ED3"/>
    <w:rsid w:val="00593102"/>
    <w:rsid w:val="00593A04"/>
    <w:rsid w:val="00593DD3"/>
    <w:rsid w:val="005944FB"/>
    <w:rsid w:val="00594628"/>
    <w:rsid w:val="00594685"/>
    <w:rsid w:val="0059566D"/>
    <w:rsid w:val="0059587A"/>
    <w:rsid w:val="00595CC4"/>
    <w:rsid w:val="00596370"/>
    <w:rsid w:val="00596833"/>
    <w:rsid w:val="0059697F"/>
    <w:rsid w:val="00596B9A"/>
    <w:rsid w:val="00596E63"/>
    <w:rsid w:val="005970D1"/>
    <w:rsid w:val="005971EB"/>
    <w:rsid w:val="00597373"/>
    <w:rsid w:val="0059772E"/>
    <w:rsid w:val="00597C5A"/>
    <w:rsid w:val="005A01D5"/>
    <w:rsid w:val="005A17AF"/>
    <w:rsid w:val="005A28F9"/>
    <w:rsid w:val="005A29AC"/>
    <w:rsid w:val="005A2E8B"/>
    <w:rsid w:val="005A2EED"/>
    <w:rsid w:val="005A340D"/>
    <w:rsid w:val="005A3817"/>
    <w:rsid w:val="005A3B30"/>
    <w:rsid w:val="005A3E6D"/>
    <w:rsid w:val="005A46B8"/>
    <w:rsid w:val="005A4C61"/>
    <w:rsid w:val="005A4D23"/>
    <w:rsid w:val="005A4E22"/>
    <w:rsid w:val="005A54F4"/>
    <w:rsid w:val="005A5F8F"/>
    <w:rsid w:val="005A652E"/>
    <w:rsid w:val="005A6AE8"/>
    <w:rsid w:val="005A6C9E"/>
    <w:rsid w:val="005A71FA"/>
    <w:rsid w:val="005A73EB"/>
    <w:rsid w:val="005A7555"/>
    <w:rsid w:val="005A76F2"/>
    <w:rsid w:val="005A7D28"/>
    <w:rsid w:val="005A7E7D"/>
    <w:rsid w:val="005B020C"/>
    <w:rsid w:val="005B049A"/>
    <w:rsid w:val="005B04F9"/>
    <w:rsid w:val="005B0550"/>
    <w:rsid w:val="005B0B53"/>
    <w:rsid w:val="005B0C7A"/>
    <w:rsid w:val="005B0EE1"/>
    <w:rsid w:val="005B1752"/>
    <w:rsid w:val="005B1BBF"/>
    <w:rsid w:val="005B1D3D"/>
    <w:rsid w:val="005B1E01"/>
    <w:rsid w:val="005B1E1C"/>
    <w:rsid w:val="005B214D"/>
    <w:rsid w:val="005B22BC"/>
    <w:rsid w:val="005B24FE"/>
    <w:rsid w:val="005B26CC"/>
    <w:rsid w:val="005B2782"/>
    <w:rsid w:val="005B28E7"/>
    <w:rsid w:val="005B2D6F"/>
    <w:rsid w:val="005B2DF2"/>
    <w:rsid w:val="005B2E65"/>
    <w:rsid w:val="005B2EDC"/>
    <w:rsid w:val="005B3BEB"/>
    <w:rsid w:val="005B5005"/>
    <w:rsid w:val="005B5126"/>
    <w:rsid w:val="005B51BD"/>
    <w:rsid w:val="005B5F6E"/>
    <w:rsid w:val="005B5F8D"/>
    <w:rsid w:val="005B6237"/>
    <w:rsid w:val="005B633D"/>
    <w:rsid w:val="005B647F"/>
    <w:rsid w:val="005B6B02"/>
    <w:rsid w:val="005B6E73"/>
    <w:rsid w:val="005B788B"/>
    <w:rsid w:val="005B7EF1"/>
    <w:rsid w:val="005C08AB"/>
    <w:rsid w:val="005C0B25"/>
    <w:rsid w:val="005C0BFC"/>
    <w:rsid w:val="005C0FC7"/>
    <w:rsid w:val="005C172D"/>
    <w:rsid w:val="005C1B77"/>
    <w:rsid w:val="005C1D5E"/>
    <w:rsid w:val="005C1F5A"/>
    <w:rsid w:val="005C2A9E"/>
    <w:rsid w:val="005C2DA2"/>
    <w:rsid w:val="005C3360"/>
    <w:rsid w:val="005C3A8B"/>
    <w:rsid w:val="005C3C37"/>
    <w:rsid w:val="005C3F26"/>
    <w:rsid w:val="005C4253"/>
    <w:rsid w:val="005C4292"/>
    <w:rsid w:val="005C448E"/>
    <w:rsid w:val="005C4655"/>
    <w:rsid w:val="005C4F10"/>
    <w:rsid w:val="005C5AE1"/>
    <w:rsid w:val="005C6611"/>
    <w:rsid w:val="005C6712"/>
    <w:rsid w:val="005C695D"/>
    <w:rsid w:val="005C6C25"/>
    <w:rsid w:val="005C6E38"/>
    <w:rsid w:val="005C714C"/>
    <w:rsid w:val="005D02CD"/>
    <w:rsid w:val="005D030C"/>
    <w:rsid w:val="005D0945"/>
    <w:rsid w:val="005D09C4"/>
    <w:rsid w:val="005D1084"/>
    <w:rsid w:val="005D14A9"/>
    <w:rsid w:val="005D1694"/>
    <w:rsid w:val="005D16C0"/>
    <w:rsid w:val="005D1D7B"/>
    <w:rsid w:val="005D2054"/>
    <w:rsid w:val="005D2179"/>
    <w:rsid w:val="005D2A4F"/>
    <w:rsid w:val="005D368D"/>
    <w:rsid w:val="005D36CF"/>
    <w:rsid w:val="005D374F"/>
    <w:rsid w:val="005D37E6"/>
    <w:rsid w:val="005D3B2F"/>
    <w:rsid w:val="005D4F72"/>
    <w:rsid w:val="005D5624"/>
    <w:rsid w:val="005D5699"/>
    <w:rsid w:val="005D573A"/>
    <w:rsid w:val="005D61A4"/>
    <w:rsid w:val="005D67ED"/>
    <w:rsid w:val="005D6C4E"/>
    <w:rsid w:val="005D7B5E"/>
    <w:rsid w:val="005D7E09"/>
    <w:rsid w:val="005D7EB8"/>
    <w:rsid w:val="005D7F4D"/>
    <w:rsid w:val="005E01E0"/>
    <w:rsid w:val="005E0543"/>
    <w:rsid w:val="005E07C0"/>
    <w:rsid w:val="005E12D4"/>
    <w:rsid w:val="005E1D00"/>
    <w:rsid w:val="005E24CE"/>
    <w:rsid w:val="005E24D4"/>
    <w:rsid w:val="005E2A41"/>
    <w:rsid w:val="005E2A74"/>
    <w:rsid w:val="005E2D42"/>
    <w:rsid w:val="005E33D7"/>
    <w:rsid w:val="005E345C"/>
    <w:rsid w:val="005E4619"/>
    <w:rsid w:val="005E4FDA"/>
    <w:rsid w:val="005E52D2"/>
    <w:rsid w:val="005E5567"/>
    <w:rsid w:val="005E559E"/>
    <w:rsid w:val="005E5CBE"/>
    <w:rsid w:val="005E5F26"/>
    <w:rsid w:val="005E6722"/>
    <w:rsid w:val="005E710D"/>
    <w:rsid w:val="005F022A"/>
    <w:rsid w:val="005F030E"/>
    <w:rsid w:val="005F061A"/>
    <w:rsid w:val="005F07B8"/>
    <w:rsid w:val="005F0CF2"/>
    <w:rsid w:val="005F0FF3"/>
    <w:rsid w:val="005F10A2"/>
    <w:rsid w:val="005F1A16"/>
    <w:rsid w:val="005F1CA3"/>
    <w:rsid w:val="005F1FEE"/>
    <w:rsid w:val="005F29EA"/>
    <w:rsid w:val="005F3639"/>
    <w:rsid w:val="005F3E0E"/>
    <w:rsid w:val="005F416D"/>
    <w:rsid w:val="005F431E"/>
    <w:rsid w:val="005F44A1"/>
    <w:rsid w:val="005F45F6"/>
    <w:rsid w:val="005F49A2"/>
    <w:rsid w:val="005F50B8"/>
    <w:rsid w:val="005F5170"/>
    <w:rsid w:val="005F585F"/>
    <w:rsid w:val="005F5B4E"/>
    <w:rsid w:val="005F5E5E"/>
    <w:rsid w:val="005F5F6E"/>
    <w:rsid w:val="005F61B4"/>
    <w:rsid w:val="005F6306"/>
    <w:rsid w:val="005F68E9"/>
    <w:rsid w:val="005F6A12"/>
    <w:rsid w:val="005F6C01"/>
    <w:rsid w:val="005F6E37"/>
    <w:rsid w:val="005F73EB"/>
    <w:rsid w:val="005F7A78"/>
    <w:rsid w:val="005F7C84"/>
    <w:rsid w:val="005F7F93"/>
    <w:rsid w:val="0060001E"/>
    <w:rsid w:val="006001DE"/>
    <w:rsid w:val="00600855"/>
    <w:rsid w:val="00600BF1"/>
    <w:rsid w:val="00601022"/>
    <w:rsid w:val="00601119"/>
    <w:rsid w:val="00601202"/>
    <w:rsid w:val="00602042"/>
    <w:rsid w:val="006021C5"/>
    <w:rsid w:val="00602277"/>
    <w:rsid w:val="006022FB"/>
    <w:rsid w:val="00602530"/>
    <w:rsid w:val="006029CB"/>
    <w:rsid w:val="00602F68"/>
    <w:rsid w:val="006032CC"/>
    <w:rsid w:val="006036D3"/>
    <w:rsid w:val="006039C9"/>
    <w:rsid w:val="00603DF4"/>
    <w:rsid w:val="00604072"/>
    <w:rsid w:val="006042BC"/>
    <w:rsid w:val="00604771"/>
    <w:rsid w:val="0060526B"/>
    <w:rsid w:val="00605FDC"/>
    <w:rsid w:val="006065B2"/>
    <w:rsid w:val="00606A8D"/>
    <w:rsid w:val="00606F69"/>
    <w:rsid w:val="00606F82"/>
    <w:rsid w:val="006071FB"/>
    <w:rsid w:val="0060738D"/>
    <w:rsid w:val="006073D3"/>
    <w:rsid w:val="006077EA"/>
    <w:rsid w:val="00607BCC"/>
    <w:rsid w:val="00607CCE"/>
    <w:rsid w:val="00607E34"/>
    <w:rsid w:val="006103B4"/>
    <w:rsid w:val="00610A9D"/>
    <w:rsid w:val="00610BAC"/>
    <w:rsid w:val="00610FBE"/>
    <w:rsid w:val="00611B21"/>
    <w:rsid w:val="0061225F"/>
    <w:rsid w:val="00612409"/>
    <w:rsid w:val="00612532"/>
    <w:rsid w:val="00612C3A"/>
    <w:rsid w:val="006132B7"/>
    <w:rsid w:val="0061336A"/>
    <w:rsid w:val="00613490"/>
    <w:rsid w:val="00613537"/>
    <w:rsid w:val="006142EF"/>
    <w:rsid w:val="0061463B"/>
    <w:rsid w:val="00614D49"/>
    <w:rsid w:val="00614E1B"/>
    <w:rsid w:val="00615283"/>
    <w:rsid w:val="0061673C"/>
    <w:rsid w:val="006169CC"/>
    <w:rsid w:val="00616D6B"/>
    <w:rsid w:val="00616D9E"/>
    <w:rsid w:val="00616E20"/>
    <w:rsid w:val="006202D4"/>
    <w:rsid w:val="006206DB"/>
    <w:rsid w:val="00620A83"/>
    <w:rsid w:val="00620B83"/>
    <w:rsid w:val="006211F6"/>
    <w:rsid w:val="0062165C"/>
    <w:rsid w:val="006216D6"/>
    <w:rsid w:val="0062185A"/>
    <w:rsid w:val="006221B9"/>
    <w:rsid w:val="0062222F"/>
    <w:rsid w:val="0062271C"/>
    <w:rsid w:val="0062285F"/>
    <w:rsid w:val="00622CD5"/>
    <w:rsid w:val="00623C24"/>
    <w:rsid w:val="006243D1"/>
    <w:rsid w:val="006247D1"/>
    <w:rsid w:val="0062482A"/>
    <w:rsid w:val="00624AFD"/>
    <w:rsid w:val="00624C40"/>
    <w:rsid w:val="00624C43"/>
    <w:rsid w:val="00624DAB"/>
    <w:rsid w:val="00625C77"/>
    <w:rsid w:val="00626076"/>
    <w:rsid w:val="00626CDC"/>
    <w:rsid w:val="00627D8A"/>
    <w:rsid w:val="00627E97"/>
    <w:rsid w:val="00627E98"/>
    <w:rsid w:val="00627F75"/>
    <w:rsid w:val="006300C8"/>
    <w:rsid w:val="006301BB"/>
    <w:rsid w:val="00630233"/>
    <w:rsid w:val="0063072E"/>
    <w:rsid w:val="00630C23"/>
    <w:rsid w:val="00630FF3"/>
    <w:rsid w:val="0063134B"/>
    <w:rsid w:val="0063186C"/>
    <w:rsid w:val="00631B50"/>
    <w:rsid w:val="00631D1E"/>
    <w:rsid w:val="00631F35"/>
    <w:rsid w:val="0063231A"/>
    <w:rsid w:val="00633839"/>
    <w:rsid w:val="00633B7E"/>
    <w:rsid w:val="00633D20"/>
    <w:rsid w:val="00633DF1"/>
    <w:rsid w:val="00634416"/>
    <w:rsid w:val="006347F1"/>
    <w:rsid w:val="00635123"/>
    <w:rsid w:val="00635C10"/>
    <w:rsid w:val="0063621D"/>
    <w:rsid w:val="00636229"/>
    <w:rsid w:val="00636CAD"/>
    <w:rsid w:val="00637107"/>
    <w:rsid w:val="00637272"/>
    <w:rsid w:val="00637674"/>
    <w:rsid w:val="006378D2"/>
    <w:rsid w:val="006378F3"/>
    <w:rsid w:val="00637E98"/>
    <w:rsid w:val="00637EE3"/>
    <w:rsid w:val="006400F8"/>
    <w:rsid w:val="00640706"/>
    <w:rsid w:val="00640879"/>
    <w:rsid w:val="006408B3"/>
    <w:rsid w:val="00640BC2"/>
    <w:rsid w:val="00640DA3"/>
    <w:rsid w:val="0064117E"/>
    <w:rsid w:val="0064126F"/>
    <w:rsid w:val="0064132A"/>
    <w:rsid w:val="00641624"/>
    <w:rsid w:val="006427DA"/>
    <w:rsid w:val="00642BD7"/>
    <w:rsid w:val="00642E5C"/>
    <w:rsid w:val="00643117"/>
    <w:rsid w:val="00643819"/>
    <w:rsid w:val="00643E15"/>
    <w:rsid w:val="00644316"/>
    <w:rsid w:val="006443E5"/>
    <w:rsid w:val="00644AA0"/>
    <w:rsid w:val="00644AA5"/>
    <w:rsid w:val="006454AB"/>
    <w:rsid w:val="00645E36"/>
    <w:rsid w:val="00645FC4"/>
    <w:rsid w:val="00646917"/>
    <w:rsid w:val="00646AB3"/>
    <w:rsid w:val="00647417"/>
    <w:rsid w:val="00647C71"/>
    <w:rsid w:val="0065030B"/>
    <w:rsid w:val="00650F4B"/>
    <w:rsid w:val="006510A4"/>
    <w:rsid w:val="00651524"/>
    <w:rsid w:val="00651C0A"/>
    <w:rsid w:val="00651E86"/>
    <w:rsid w:val="006520E2"/>
    <w:rsid w:val="0065218D"/>
    <w:rsid w:val="00652CAF"/>
    <w:rsid w:val="00652CE4"/>
    <w:rsid w:val="00652FC7"/>
    <w:rsid w:val="0065358C"/>
    <w:rsid w:val="0065364F"/>
    <w:rsid w:val="00653748"/>
    <w:rsid w:val="00653897"/>
    <w:rsid w:val="006539DF"/>
    <w:rsid w:val="00654522"/>
    <w:rsid w:val="0065468B"/>
    <w:rsid w:val="0065482D"/>
    <w:rsid w:val="00655252"/>
    <w:rsid w:val="00655305"/>
    <w:rsid w:val="0065552F"/>
    <w:rsid w:val="0065570A"/>
    <w:rsid w:val="00655E03"/>
    <w:rsid w:val="006561F6"/>
    <w:rsid w:val="00656296"/>
    <w:rsid w:val="006562BB"/>
    <w:rsid w:val="006566AC"/>
    <w:rsid w:val="0065671F"/>
    <w:rsid w:val="00656B4C"/>
    <w:rsid w:val="00656D03"/>
    <w:rsid w:val="00657098"/>
    <w:rsid w:val="006575EA"/>
    <w:rsid w:val="0066015A"/>
    <w:rsid w:val="00660AC6"/>
    <w:rsid w:val="006613B4"/>
    <w:rsid w:val="00661697"/>
    <w:rsid w:val="00661C45"/>
    <w:rsid w:val="00661C46"/>
    <w:rsid w:val="00662457"/>
    <w:rsid w:val="006628C1"/>
    <w:rsid w:val="00662AA2"/>
    <w:rsid w:val="00662B79"/>
    <w:rsid w:val="00662EEF"/>
    <w:rsid w:val="00663214"/>
    <w:rsid w:val="0066331D"/>
    <w:rsid w:val="0066345A"/>
    <w:rsid w:val="00663960"/>
    <w:rsid w:val="00664129"/>
    <w:rsid w:val="00664852"/>
    <w:rsid w:val="00664A27"/>
    <w:rsid w:val="00664BD5"/>
    <w:rsid w:val="006650AA"/>
    <w:rsid w:val="006650F6"/>
    <w:rsid w:val="0066538B"/>
    <w:rsid w:val="006653D5"/>
    <w:rsid w:val="00665D20"/>
    <w:rsid w:val="00665EBD"/>
    <w:rsid w:val="00666B97"/>
    <w:rsid w:val="00666CC8"/>
    <w:rsid w:val="006670CF"/>
    <w:rsid w:val="00667451"/>
    <w:rsid w:val="00667BE3"/>
    <w:rsid w:val="00670025"/>
    <w:rsid w:val="00670414"/>
    <w:rsid w:val="006706EB"/>
    <w:rsid w:val="006709B1"/>
    <w:rsid w:val="00670A39"/>
    <w:rsid w:val="0067154A"/>
    <w:rsid w:val="00671795"/>
    <w:rsid w:val="00671D88"/>
    <w:rsid w:val="00671D9B"/>
    <w:rsid w:val="00672A6E"/>
    <w:rsid w:val="00672F6A"/>
    <w:rsid w:val="00673475"/>
    <w:rsid w:val="00673A92"/>
    <w:rsid w:val="0067401C"/>
    <w:rsid w:val="0067433A"/>
    <w:rsid w:val="0067469D"/>
    <w:rsid w:val="0067480A"/>
    <w:rsid w:val="006748F5"/>
    <w:rsid w:val="00674924"/>
    <w:rsid w:val="00674978"/>
    <w:rsid w:val="00674D91"/>
    <w:rsid w:val="0067534F"/>
    <w:rsid w:val="00675B9C"/>
    <w:rsid w:val="00675EB3"/>
    <w:rsid w:val="006765AC"/>
    <w:rsid w:val="006767D0"/>
    <w:rsid w:val="00676CA4"/>
    <w:rsid w:val="006770ED"/>
    <w:rsid w:val="00677413"/>
    <w:rsid w:val="0068031C"/>
    <w:rsid w:val="00680639"/>
    <w:rsid w:val="00681323"/>
    <w:rsid w:val="00681980"/>
    <w:rsid w:val="0068203E"/>
    <w:rsid w:val="00682121"/>
    <w:rsid w:val="006829D0"/>
    <w:rsid w:val="00682A25"/>
    <w:rsid w:val="00682B30"/>
    <w:rsid w:val="00682CE1"/>
    <w:rsid w:val="00682E26"/>
    <w:rsid w:val="00682E2E"/>
    <w:rsid w:val="006830E5"/>
    <w:rsid w:val="00683EC7"/>
    <w:rsid w:val="006840FB"/>
    <w:rsid w:val="006844A1"/>
    <w:rsid w:val="0068460D"/>
    <w:rsid w:val="00684963"/>
    <w:rsid w:val="006851E5"/>
    <w:rsid w:val="00685809"/>
    <w:rsid w:val="006859D2"/>
    <w:rsid w:val="00685AE1"/>
    <w:rsid w:val="00686AD1"/>
    <w:rsid w:val="00686B31"/>
    <w:rsid w:val="00686B38"/>
    <w:rsid w:val="00686C37"/>
    <w:rsid w:val="00686D7D"/>
    <w:rsid w:val="00686F7F"/>
    <w:rsid w:val="00687131"/>
    <w:rsid w:val="006875F3"/>
    <w:rsid w:val="006878BF"/>
    <w:rsid w:val="00687A0F"/>
    <w:rsid w:val="00687BF2"/>
    <w:rsid w:val="00687C08"/>
    <w:rsid w:val="00687E74"/>
    <w:rsid w:val="00687F04"/>
    <w:rsid w:val="00690630"/>
    <w:rsid w:val="006907B6"/>
    <w:rsid w:val="00690E7A"/>
    <w:rsid w:val="00691243"/>
    <w:rsid w:val="00691F83"/>
    <w:rsid w:val="00692291"/>
    <w:rsid w:val="00692B46"/>
    <w:rsid w:val="00692C8D"/>
    <w:rsid w:val="00692E9D"/>
    <w:rsid w:val="0069332D"/>
    <w:rsid w:val="0069347B"/>
    <w:rsid w:val="00693C5E"/>
    <w:rsid w:val="00693E1C"/>
    <w:rsid w:val="00694189"/>
    <w:rsid w:val="006948DF"/>
    <w:rsid w:val="00694D81"/>
    <w:rsid w:val="00694F9C"/>
    <w:rsid w:val="00695466"/>
    <w:rsid w:val="00695487"/>
    <w:rsid w:val="00695616"/>
    <w:rsid w:val="00695A4C"/>
    <w:rsid w:val="006961AF"/>
    <w:rsid w:val="006962D6"/>
    <w:rsid w:val="006963DE"/>
    <w:rsid w:val="00696405"/>
    <w:rsid w:val="00696560"/>
    <w:rsid w:val="00696986"/>
    <w:rsid w:val="00696A18"/>
    <w:rsid w:val="00696D46"/>
    <w:rsid w:val="00696FD8"/>
    <w:rsid w:val="0069718C"/>
    <w:rsid w:val="0069722F"/>
    <w:rsid w:val="00697950"/>
    <w:rsid w:val="00697A54"/>
    <w:rsid w:val="00697F8E"/>
    <w:rsid w:val="006A01BA"/>
    <w:rsid w:val="006A08B9"/>
    <w:rsid w:val="006A0C1B"/>
    <w:rsid w:val="006A0DE5"/>
    <w:rsid w:val="006A18A5"/>
    <w:rsid w:val="006A1D33"/>
    <w:rsid w:val="006A25BD"/>
    <w:rsid w:val="006A292F"/>
    <w:rsid w:val="006A2D38"/>
    <w:rsid w:val="006A2D42"/>
    <w:rsid w:val="006A2EF9"/>
    <w:rsid w:val="006A32A7"/>
    <w:rsid w:val="006A33FE"/>
    <w:rsid w:val="006A3517"/>
    <w:rsid w:val="006A37CE"/>
    <w:rsid w:val="006A3B21"/>
    <w:rsid w:val="006A4478"/>
    <w:rsid w:val="006A53E9"/>
    <w:rsid w:val="006A6282"/>
    <w:rsid w:val="006A64AC"/>
    <w:rsid w:val="006A6A95"/>
    <w:rsid w:val="006A6ABB"/>
    <w:rsid w:val="006A6CE1"/>
    <w:rsid w:val="006A6E00"/>
    <w:rsid w:val="006A7605"/>
    <w:rsid w:val="006A76FC"/>
    <w:rsid w:val="006A7BA9"/>
    <w:rsid w:val="006B047F"/>
    <w:rsid w:val="006B11B0"/>
    <w:rsid w:val="006B14FA"/>
    <w:rsid w:val="006B1848"/>
    <w:rsid w:val="006B19C7"/>
    <w:rsid w:val="006B1BD5"/>
    <w:rsid w:val="006B1E98"/>
    <w:rsid w:val="006B23E5"/>
    <w:rsid w:val="006B2452"/>
    <w:rsid w:val="006B2643"/>
    <w:rsid w:val="006B26B6"/>
    <w:rsid w:val="006B26F3"/>
    <w:rsid w:val="006B2C9E"/>
    <w:rsid w:val="006B2CC5"/>
    <w:rsid w:val="006B3081"/>
    <w:rsid w:val="006B3377"/>
    <w:rsid w:val="006B343B"/>
    <w:rsid w:val="006B3A9F"/>
    <w:rsid w:val="006B427F"/>
    <w:rsid w:val="006B451A"/>
    <w:rsid w:val="006B458C"/>
    <w:rsid w:val="006B4AF4"/>
    <w:rsid w:val="006B4C2C"/>
    <w:rsid w:val="006B4DA5"/>
    <w:rsid w:val="006B5DBA"/>
    <w:rsid w:val="006B5F2F"/>
    <w:rsid w:val="006B60D9"/>
    <w:rsid w:val="006B63EC"/>
    <w:rsid w:val="006B65FD"/>
    <w:rsid w:val="006B66EC"/>
    <w:rsid w:val="006B67D6"/>
    <w:rsid w:val="006B699E"/>
    <w:rsid w:val="006B6D7C"/>
    <w:rsid w:val="006B6F96"/>
    <w:rsid w:val="006B76E2"/>
    <w:rsid w:val="006B783E"/>
    <w:rsid w:val="006C012B"/>
    <w:rsid w:val="006C097B"/>
    <w:rsid w:val="006C0997"/>
    <w:rsid w:val="006C0AEE"/>
    <w:rsid w:val="006C0D77"/>
    <w:rsid w:val="006C0EE9"/>
    <w:rsid w:val="006C179F"/>
    <w:rsid w:val="006C1AF6"/>
    <w:rsid w:val="006C21B8"/>
    <w:rsid w:val="006C2303"/>
    <w:rsid w:val="006C3007"/>
    <w:rsid w:val="006C3052"/>
    <w:rsid w:val="006C3631"/>
    <w:rsid w:val="006C378B"/>
    <w:rsid w:val="006C39DE"/>
    <w:rsid w:val="006C3B59"/>
    <w:rsid w:val="006C3C9D"/>
    <w:rsid w:val="006C3D5E"/>
    <w:rsid w:val="006C41B6"/>
    <w:rsid w:val="006C4514"/>
    <w:rsid w:val="006C4A2E"/>
    <w:rsid w:val="006C5F68"/>
    <w:rsid w:val="006C6884"/>
    <w:rsid w:val="006C6C85"/>
    <w:rsid w:val="006C7336"/>
    <w:rsid w:val="006C73CC"/>
    <w:rsid w:val="006C7DFC"/>
    <w:rsid w:val="006C7ED7"/>
    <w:rsid w:val="006C7FB1"/>
    <w:rsid w:val="006D003D"/>
    <w:rsid w:val="006D021C"/>
    <w:rsid w:val="006D0A3C"/>
    <w:rsid w:val="006D0C25"/>
    <w:rsid w:val="006D0C47"/>
    <w:rsid w:val="006D0FBD"/>
    <w:rsid w:val="006D1D98"/>
    <w:rsid w:val="006D1DDD"/>
    <w:rsid w:val="006D24D3"/>
    <w:rsid w:val="006D26E4"/>
    <w:rsid w:val="006D293B"/>
    <w:rsid w:val="006D2CE8"/>
    <w:rsid w:val="006D2E43"/>
    <w:rsid w:val="006D2F2F"/>
    <w:rsid w:val="006D36DF"/>
    <w:rsid w:val="006D38BF"/>
    <w:rsid w:val="006D4F91"/>
    <w:rsid w:val="006D52E4"/>
    <w:rsid w:val="006D559A"/>
    <w:rsid w:val="006D58B8"/>
    <w:rsid w:val="006D5A7A"/>
    <w:rsid w:val="006D6335"/>
    <w:rsid w:val="006D633B"/>
    <w:rsid w:val="006D6B4D"/>
    <w:rsid w:val="006D7C7B"/>
    <w:rsid w:val="006D7EF2"/>
    <w:rsid w:val="006E0671"/>
    <w:rsid w:val="006E0A9C"/>
    <w:rsid w:val="006E0B40"/>
    <w:rsid w:val="006E0E07"/>
    <w:rsid w:val="006E110B"/>
    <w:rsid w:val="006E11CF"/>
    <w:rsid w:val="006E16AC"/>
    <w:rsid w:val="006E279A"/>
    <w:rsid w:val="006E27D1"/>
    <w:rsid w:val="006E28CB"/>
    <w:rsid w:val="006E2D47"/>
    <w:rsid w:val="006E352D"/>
    <w:rsid w:val="006E3C88"/>
    <w:rsid w:val="006E3E34"/>
    <w:rsid w:val="006E3EED"/>
    <w:rsid w:val="006E4331"/>
    <w:rsid w:val="006E4DEA"/>
    <w:rsid w:val="006E4EBD"/>
    <w:rsid w:val="006E51C3"/>
    <w:rsid w:val="006E5450"/>
    <w:rsid w:val="006E5AA3"/>
    <w:rsid w:val="006E5F3D"/>
    <w:rsid w:val="006E5FCC"/>
    <w:rsid w:val="006E6703"/>
    <w:rsid w:val="006E7EA4"/>
    <w:rsid w:val="006F0027"/>
    <w:rsid w:val="006F0442"/>
    <w:rsid w:val="006F0732"/>
    <w:rsid w:val="006F07CF"/>
    <w:rsid w:val="006F0E5F"/>
    <w:rsid w:val="006F17DB"/>
    <w:rsid w:val="006F19EB"/>
    <w:rsid w:val="006F1E23"/>
    <w:rsid w:val="006F21AC"/>
    <w:rsid w:val="006F30F7"/>
    <w:rsid w:val="006F3571"/>
    <w:rsid w:val="006F38AE"/>
    <w:rsid w:val="006F3EAB"/>
    <w:rsid w:val="006F431A"/>
    <w:rsid w:val="006F4386"/>
    <w:rsid w:val="006F4983"/>
    <w:rsid w:val="006F4BE4"/>
    <w:rsid w:val="006F5383"/>
    <w:rsid w:val="006F5562"/>
    <w:rsid w:val="006F5A9D"/>
    <w:rsid w:val="006F5AF1"/>
    <w:rsid w:val="006F5C51"/>
    <w:rsid w:val="006F6212"/>
    <w:rsid w:val="006F6D7D"/>
    <w:rsid w:val="006F73E8"/>
    <w:rsid w:val="006F74A1"/>
    <w:rsid w:val="006F7E97"/>
    <w:rsid w:val="00700060"/>
    <w:rsid w:val="00700813"/>
    <w:rsid w:val="00701292"/>
    <w:rsid w:val="00701665"/>
    <w:rsid w:val="0070180A"/>
    <w:rsid w:val="0070197B"/>
    <w:rsid w:val="00701CC3"/>
    <w:rsid w:val="00701D34"/>
    <w:rsid w:val="00701E01"/>
    <w:rsid w:val="00702011"/>
    <w:rsid w:val="0070222F"/>
    <w:rsid w:val="007022AB"/>
    <w:rsid w:val="007022E2"/>
    <w:rsid w:val="0070250E"/>
    <w:rsid w:val="0070288F"/>
    <w:rsid w:val="00702DD8"/>
    <w:rsid w:val="00702EC7"/>
    <w:rsid w:val="007032F6"/>
    <w:rsid w:val="007041B7"/>
    <w:rsid w:val="00704237"/>
    <w:rsid w:val="00704F38"/>
    <w:rsid w:val="007055B3"/>
    <w:rsid w:val="007058DA"/>
    <w:rsid w:val="00705AB9"/>
    <w:rsid w:val="00705C62"/>
    <w:rsid w:val="00706377"/>
    <w:rsid w:val="007065CE"/>
    <w:rsid w:val="00706861"/>
    <w:rsid w:val="00706ACD"/>
    <w:rsid w:val="00706C84"/>
    <w:rsid w:val="00706D0D"/>
    <w:rsid w:val="00706DA5"/>
    <w:rsid w:val="00706F58"/>
    <w:rsid w:val="007070B5"/>
    <w:rsid w:val="00710179"/>
    <w:rsid w:val="0071064D"/>
    <w:rsid w:val="0071071D"/>
    <w:rsid w:val="007109B2"/>
    <w:rsid w:val="00710A43"/>
    <w:rsid w:val="00710E96"/>
    <w:rsid w:val="007110D1"/>
    <w:rsid w:val="007112AF"/>
    <w:rsid w:val="00711686"/>
    <w:rsid w:val="007125AE"/>
    <w:rsid w:val="0071266C"/>
    <w:rsid w:val="00712BA7"/>
    <w:rsid w:val="00712BEB"/>
    <w:rsid w:val="00712FD6"/>
    <w:rsid w:val="00713284"/>
    <w:rsid w:val="007135E8"/>
    <w:rsid w:val="007136B0"/>
    <w:rsid w:val="007142A9"/>
    <w:rsid w:val="007147F7"/>
    <w:rsid w:val="00714A87"/>
    <w:rsid w:val="00714CC1"/>
    <w:rsid w:val="00714ED9"/>
    <w:rsid w:val="007152CC"/>
    <w:rsid w:val="007155C4"/>
    <w:rsid w:val="00715719"/>
    <w:rsid w:val="00715EB5"/>
    <w:rsid w:val="0071610E"/>
    <w:rsid w:val="0071627D"/>
    <w:rsid w:val="007164D5"/>
    <w:rsid w:val="00716EB8"/>
    <w:rsid w:val="00717046"/>
    <w:rsid w:val="007171ED"/>
    <w:rsid w:val="0071765F"/>
    <w:rsid w:val="00717752"/>
    <w:rsid w:val="00717E75"/>
    <w:rsid w:val="007201C5"/>
    <w:rsid w:val="00720B5B"/>
    <w:rsid w:val="00720CAE"/>
    <w:rsid w:val="00720D31"/>
    <w:rsid w:val="0072168B"/>
    <w:rsid w:val="007217EA"/>
    <w:rsid w:val="00721AEB"/>
    <w:rsid w:val="00721DBA"/>
    <w:rsid w:val="00721DD3"/>
    <w:rsid w:val="007226AD"/>
    <w:rsid w:val="00722A55"/>
    <w:rsid w:val="00722BC6"/>
    <w:rsid w:val="00722C7E"/>
    <w:rsid w:val="007236EA"/>
    <w:rsid w:val="00723FAC"/>
    <w:rsid w:val="00724003"/>
    <w:rsid w:val="007248B0"/>
    <w:rsid w:val="00724BFE"/>
    <w:rsid w:val="00724DD8"/>
    <w:rsid w:val="007251D9"/>
    <w:rsid w:val="007260B1"/>
    <w:rsid w:val="0072635C"/>
    <w:rsid w:val="00726D1D"/>
    <w:rsid w:val="00727570"/>
    <w:rsid w:val="007279C0"/>
    <w:rsid w:val="007300F3"/>
    <w:rsid w:val="0073056A"/>
    <w:rsid w:val="00730635"/>
    <w:rsid w:val="007309CD"/>
    <w:rsid w:val="007328F8"/>
    <w:rsid w:val="00732B97"/>
    <w:rsid w:val="00732C7D"/>
    <w:rsid w:val="00732E65"/>
    <w:rsid w:val="00732F5D"/>
    <w:rsid w:val="007331CC"/>
    <w:rsid w:val="007336A3"/>
    <w:rsid w:val="007338C4"/>
    <w:rsid w:val="00733A79"/>
    <w:rsid w:val="00733AA1"/>
    <w:rsid w:val="00733B15"/>
    <w:rsid w:val="00733D6E"/>
    <w:rsid w:val="00733F8F"/>
    <w:rsid w:val="0073424A"/>
    <w:rsid w:val="0073427A"/>
    <w:rsid w:val="00734357"/>
    <w:rsid w:val="0073463A"/>
    <w:rsid w:val="007354A5"/>
    <w:rsid w:val="00735CBA"/>
    <w:rsid w:val="00736240"/>
    <w:rsid w:val="0073681B"/>
    <w:rsid w:val="007368AD"/>
    <w:rsid w:val="0073700F"/>
    <w:rsid w:val="007378BF"/>
    <w:rsid w:val="007379EF"/>
    <w:rsid w:val="00737B72"/>
    <w:rsid w:val="007407C5"/>
    <w:rsid w:val="00740827"/>
    <w:rsid w:val="007408D5"/>
    <w:rsid w:val="007411DB"/>
    <w:rsid w:val="00741CB0"/>
    <w:rsid w:val="00741EF0"/>
    <w:rsid w:val="007425BD"/>
    <w:rsid w:val="007425F2"/>
    <w:rsid w:val="00742675"/>
    <w:rsid w:val="00742753"/>
    <w:rsid w:val="00742A8E"/>
    <w:rsid w:val="007430BD"/>
    <w:rsid w:val="007434A9"/>
    <w:rsid w:val="007438D2"/>
    <w:rsid w:val="00743A19"/>
    <w:rsid w:val="00744554"/>
    <w:rsid w:val="00744773"/>
    <w:rsid w:val="00744EB0"/>
    <w:rsid w:val="00744FFC"/>
    <w:rsid w:val="00745858"/>
    <w:rsid w:val="00745C15"/>
    <w:rsid w:val="00745C79"/>
    <w:rsid w:val="0074649E"/>
    <w:rsid w:val="007465BE"/>
    <w:rsid w:val="007467DC"/>
    <w:rsid w:val="00746A71"/>
    <w:rsid w:val="00747661"/>
    <w:rsid w:val="0075044C"/>
    <w:rsid w:val="00751028"/>
    <w:rsid w:val="0075142C"/>
    <w:rsid w:val="00751754"/>
    <w:rsid w:val="00751AB6"/>
    <w:rsid w:val="00751DD2"/>
    <w:rsid w:val="0075217C"/>
    <w:rsid w:val="007525C2"/>
    <w:rsid w:val="007525E5"/>
    <w:rsid w:val="00752614"/>
    <w:rsid w:val="0075284B"/>
    <w:rsid w:val="00752EBA"/>
    <w:rsid w:val="0075327F"/>
    <w:rsid w:val="007534AE"/>
    <w:rsid w:val="007543B5"/>
    <w:rsid w:val="0075481F"/>
    <w:rsid w:val="0075504A"/>
    <w:rsid w:val="00755206"/>
    <w:rsid w:val="0075525E"/>
    <w:rsid w:val="0075570D"/>
    <w:rsid w:val="00755A5D"/>
    <w:rsid w:val="00755E01"/>
    <w:rsid w:val="00755F0D"/>
    <w:rsid w:val="00755FFF"/>
    <w:rsid w:val="00756704"/>
    <w:rsid w:val="007567AC"/>
    <w:rsid w:val="00756AFF"/>
    <w:rsid w:val="00756B5F"/>
    <w:rsid w:val="00757F86"/>
    <w:rsid w:val="007601A4"/>
    <w:rsid w:val="007612B1"/>
    <w:rsid w:val="0076183B"/>
    <w:rsid w:val="00761F77"/>
    <w:rsid w:val="00761FE5"/>
    <w:rsid w:val="00762023"/>
    <w:rsid w:val="00762903"/>
    <w:rsid w:val="00762A2B"/>
    <w:rsid w:val="00762AD2"/>
    <w:rsid w:val="00763381"/>
    <w:rsid w:val="007633F7"/>
    <w:rsid w:val="00763463"/>
    <w:rsid w:val="00763842"/>
    <w:rsid w:val="00763BD8"/>
    <w:rsid w:val="00763D1C"/>
    <w:rsid w:val="00763DD7"/>
    <w:rsid w:val="00763FA0"/>
    <w:rsid w:val="0076436A"/>
    <w:rsid w:val="0076446D"/>
    <w:rsid w:val="0076497A"/>
    <w:rsid w:val="00764FEE"/>
    <w:rsid w:val="007651FC"/>
    <w:rsid w:val="00765615"/>
    <w:rsid w:val="007657EC"/>
    <w:rsid w:val="00765928"/>
    <w:rsid w:val="00765C3D"/>
    <w:rsid w:val="007660E4"/>
    <w:rsid w:val="00766138"/>
    <w:rsid w:val="007664EC"/>
    <w:rsid w:val="00766875"/>
    <w:rsid w:val="00766980"/>
    <w:rsid w:val="00766E52"/>
    <w:rsid w:val="00767B67"/>
    <w:rsid w:val="00767E03"/>
    <w:rsid w:val="00767EE4"/>
    <w:rsid w:val="00770345"/>
    <w:rsid w:val="0077074C"/>
    <w:rsid w:val="007709EA"/>
    <w:rsid w:val="00770BFC"/>
    <w:rsid w:val="00771407"/>
    <w:rsid w:val="0077175B"/>
    <w:rsid w:val="00771939"/>
    <w:rsid w:val="007719CE"/>
    <w:rsid w:val="00771C2D"/>
    <w:rsid w:val="00772373"/>
    <w:rsid w:val="00772495"/>
    <w:rsid w:val="00772D22"/>
    <w:rsid w:val="007734D4"/>
    <w:rsid w:val="0077360D"/>
    <w:rsid w:val="00773939"/>
    <w:rsid w:val="007739AD"/>
    <w:rsid w:val="00773B6D"/>
    <w:rsid w:val="00773E0E"/>
    <w:rsid w:val="007743E9"/>
    <w:rsid w:val="00774F99"/>
    <w:rsid w:val="007753F8"/>
    <w:rsid w:val="0077584B"/>
    <w:rsid w:val="0077598F"/>
    <w:rsid w:val="00775ABB"/>
    <w:rsid w:val="00775FDA"/>
    <w:rsid w:val="0077608F"/>
    <w:rsid w:val="00776B94"/>
    <w:rsid w:val="00776E9D"/>
    <w:rsid w:val="007770EF"/>
    <w:rsid w:val="00777144"/>
    <w:rsid w:val="007771E4"/>
    <w:rsid w:val="007771EB"/>
    <w:rsid w:val="007772FF"/>
    <w:rsid w:val="007776B7"/>
    <w:rsid w:val="00777BF1"/>
    <w:rsid w:val="00777C64"/>
    <w:rsid w:val="00777C98"/>
    <w:rsid w:val="00780686"/>
    <w:rsid w:val="0078098C"/>
    <w:rsid w:val="00780D01"/>
    <w:rsid w:val="00781986"/>
    <w:rsid w:val="00782833"/>
    <w:rsid w:val="007836CE"/>
    <w:rsid w:val="007836E7"/>
    <w:rsid w:val="007838A5"/>
    <w:rsid w:val="007838A7"/>
    <w:rsid w:val="007839A7"/>
    <w:rsid w:val="00783E36"/>
    <w:rsid w:val="007841DF"/>
    <w:rsid w:val="007844B8"/>
    <w:rsid w:val="00784BBD"/>
    <w:rsid w:val="00784CE6"/>
    <w:rsid w:val="00785186"/>
    <w:rsid w:val="00785447"/>
    <w:rsid w:val="00785686"/>
    <w:rsid w:val="00785B5E"/>
    <w:rsid w:val="00785D71"/>
    <w:rsid w:val="00785FC0"/>
    <w:rsid w:val="007863FD"/>
    <w:rsid w:val="007868EC"/>
    <w:rsid w:val="00786A28"/>
    <w:rsid w:val="00786C74"/>
    <w:rsid w:val="007872B1"/>
    <w:rsid w:val="00787612"/>
    <w:rsid w:val="00787626"/>
    <w:rsid w:val="0078764D"/>
    <w:rsid w:val="0079043A"/>
    <w:rsid w:val="00790796"/>
    <w:rsid w:val="00791007"/>
    <w:rsid w:val="00792344"/>
    <w:rsid w:val="00792AD0"/>
    <w:rsid w:val="00793049"/>
    <w:rsid w:val="007934D6"/>
    <w:rsid w:val="00793624"/>
    <w:rsid w:val="00793635"/>
    <w:rsid w:val="00793897"/>
    <w:rsid w:val="00793F29"/>
    <w:rsid w:val="007940CE"/>
    <w:rsid w:val="00794AB4"/>
    <w:rsid w:val="00795123"/>
    <w:rsid w:val="00795A06"/>
    <w:rsid w:val="00795D07"/>
    <w:rsid w:val="00796063"/>
    <w:rsid w:val="00796363"/>
    <w:rsid w:val="00796724"/>
    <w:rsid w:val="00796FDE"/>
    <w:rsid w:val="00797155"/>
    <w:rsid w:val="00797784"/>
    <w:rsid w:val="00797980"/>
    <w:rsid w:val="007A0054"/>
    <w:rsid w:val="007A011C"/>
    <w:rsid w:val="007A0264"/>
    <w:rsid w:val="007A0361"/>
    <w:rsid w:val="007A0A15"/>
    <w:rsid w:val="007A0AAC"/>
    <w:rsid w:val="007A10E3"/>
    <w:rsid w:val="007A19D1"/>
    <w:rsid w:val="007A1B46"/>
    <w:rsid w:val="007A21F1"/>
    <w:rsid w:val="007A2C2C"/>
    <w:rsid w:val="007A2E07"/>
    <w:rsid w:val="007A324A"/>
    <w:rsid w:val="007A327F"/>
    <w:rsid w:val="007A34F7"/>
    <w:rsid w:val="007A37DD"/>
    <w:rsid w:val="007A3CC1"/>
    <w:rsid w:val="007A41BA"/>
    <w:rsid w:val="007A427F"/>
    <w:rsid w:val="007A445E"/>
    <w:rsid w:val="007A4654"/>
    <w:rsid w:val="007A4D75"/>
    <w:rsid w:val="007A552D"/>
    <w:rsid w:val="007A5B2E"/>
    <w:rsid w:val="007A6495"/>
    <w:rsid w:val="007A6680"/>
    <w:rsid w:val="007A6C1D"/>
    <w:rsid w:val="007A6D19"/>
    <w:rsid w:val="007A6DAB"/>
    <w:rsid w:val="007A70E6"/>
    <w:rsid w:val="007A7466"/>
    <w:rsid w:val="007A793C"/>
    <w:rsid w:val="007A7A24"/>
    <w:rsid w:val="007A7D61"/>
    <w:rsid w:val="007A7F36"/>
    <w:rsid w:val="007B065A"/>
    <w:rsid w:val="007B0751"/>
    <w:rsid w:val="007B092E"/>
    <w:rsid w:val="007B0E1D"/>
    <w:rsid w:val="007B113B"/>
    <w:rsid w:val="007B1BF4"/>
    <w:rsid w:val="007B1C7D"/>
    <w:rsid w:val="007B2220"/>
    <w:rsid w:val="007B23F6"/>
    <w:rsid w:val="007B2B21"/>
    <w:rsid w:val="007B3236"/>
    <w:rsid w:val="007B3E6A"/>
    <w:rsid w:val="007B43AB"/>
    <w:rsid w:val="007B485A"/>
    <w:rsid w:val="007B4C7D"/>
    <w:rsid w:val="007B4E07"/>
    <w:rsid w:val="007B515F"/>
    <w:rsid w:val="007B51CF"/>
    <w:rsid w:val="007B58BC"/>
    <w:rsid w:val="007B642D"/>
    <w:rsid w:val="007B69D7"/>
    <w:rsid w:val="007B6A15"/>
    <w:rsid w:val="007B6B62"/>
    <w:rsid w:val="007B6B7F"/>
    <w:rsid w:val="007B7369"/>
    <w:rsid w:val="007B7BEA"/>
    <w:rsid w:val="007C1276"/>
    <w:rsid w:val="007C143B"/>
    <w:rsid w:val="007C17FF"/>
    <w:rsid w:val="007C2473"/>
    <w:rsid w:val="007C2507"/>
    <w:rsid w:val="007C26AD"/>
    <w:rsid w:val="007C2722"/>
    <w:rsid w:val="007C2E68"/>
    <w:rsid w:val="007C2E75"/>
    <w:rsid w:val="007C386B"/>
    <w:rsid w:val="007C3BE7"/>
    <w:rsid w:val="007C3D25"/>
    <w:rsid w:val="007C4355"/>
    <w:rsid w:val="007C4581"/>
    <w:rsid w:val="007C5907"/>
    <w:rsid w:val="007C5AF8"/>
    <w:rsid w:val="007C6026"/>
    <w:rsid w:val="007C64CD"/>
    <w:rsid w:val="007C64F3"/>
    <w:rsid w:val="007C651D"/>
    <w:rsid w:val="007C67A0"/>
    <w:rsid w:val="007C6B0C"/>
    <w:rsid w:val="007C6C61"/>
    <w:rsid w:val="007C6E3F"/>
    <w:rsid w:val="007C6F2A"/>
    <w:rsid w:val="007C718C"/>
    <w:rsid w:val="007C7914"/>
    <w:rsid w:val="007D01A2"/>
    <w:rsid w:val="007D04F7"/>
    <w:rsid w:val="007D08AD"/>
    <w:rsid w:val="007D0E72"/>
    <w:rsid w:val="007D12B3"/>
    <w:rsid w:val="007D131E"/>
    <w:rsid w:val="007D17D3"/>
    <w:rsid w:val="007D17DE"/>
    <w:rsid w:val="007D1BCA"/>
    <w:rsid w:val="007D1E84"/>
    <w:rsid w:val="007D2025"/>
    <w:rsid w:val="007D2488"/>
    <w:rsid w:val="007D2705"/>
    <w:rsid w:val="007D2955"/>
    <w:rsid w:val="007D386E"/>
    <w:rsid w:val="007D387F"/>
    <w:rsid w:val="007D3946"/>
    <w:rsid w:val="007D3BCD"/>
    <w:rsid w:val="007D4C44"/>
    <w:rsid w:val="007D5AE8"/>
    <w:rsid w:val="007D683A"/>
    <w:rsid w:val="007D696E"/>
    <w:rsid w:val="007D6D00"/>
    <w:rsid w:val="007D6DB7"/>
    <w:rsid w:val="007D716F"/>
    <w:rsid w:val="007D726F"/>
    <w:rsid w:val="007D738D"/>
    <w:rsid w:val="007D7829"/>
    <w:rsid w:val="007D7C3D"/>
    <w:rsid w:val="007D7C96"/>
    <w:rsid w:val="007D7FE9"/>
    <w:rsid w:val="007E033D"/>
    <w:rsid w:val="007E08CC"/>
    <w:rsid w:val="007E10FE"/>
    <w:rsid w:val="007E15E4"/>
    <w:rsid w:val="007E1922"/>
    <w:rsid w:val="007E192D"/>
    <w:rsid w:val="007E2105"/>
    <w:rsid w:val="007E27F1"/>
    <w:rsid w:val="007E3F9A"/>
    <w:rsid w:val="007E4A0E"/>
    <w:rsid w:val="007E56CF"/>
    <w:rsid w:val="007E5C05"/>
    <w:rsid w:val="007E5FF3"/>
    <w:rsid w:val="007E60DB"/>
    <w:rsid w:val="007E6595"/>
    <w:rsid w:val="007E6891"/>
    <w:rsid w:val="007E6BA9"/>
    <w:rsid w:val="007E7150"/>
    <w:rsid w:val="007E7603"/>
    <w:rsid w:val="007E7BE4"/>
    <w:rsid w:val="007E7F98"/>
    <w:rsid w:val="007F031F"/>
    <w:rsid w:val="007F06E6"/>
    <w:rsid w:val="007F0A18"/>
    <w:rsid w:val="007F0A8F"/>
    <w:rsid w:val="007F0E02"/>
    <w:rsid w:val="007F112D"/>
    <w:rsid w:val="007F1622"/>
    <w:rsid w:val="007F1B94"/>
    <w:rsid w:val="007F1EB1"/>
    <w:rsid w:val="007F247E"/>
    <w:rsid w:val="007F2922"/>
    <w:rsid w:val="007F2ACF"/>
    <w:rsid w:val="007F2BC1"/>
    <w:rsid w:val="007F3178"/>
    <w:rsid w:val="007F323B"/>
    <w:rsid w:val="007F3406"/>
    <w:rsid w:val="007F34D0"/>
    <w:rsid w:val="007F37B5"/>
    <w:rsid w:val="007F395D"/>
    <w:rsid w:val="007F3B67"/>
    <w:rsid w:val="007F3BB5"/>
    <w:rsid w:val="007F3D7A"/>
    <w:rsid w:val="007F41CE"/>
    <w:rsid w:val="007F444D"/>
    <w:rsid w:val="007F46D8"/>
    <w:rsid w:val="007F4ED0"/>
    <w:rsid w:val="007F4FD1"/>
    <w:rsid w:val="007F5073"/>
    <w:rsid w:val="007F53ED"/>
    <w:rsid w:val="007F5507"/>
    <w:rsid w:val="007F5954"/>
    <w:rsid w:val="007F60CF"/>
    <w:rsid w:val="007F6853"/>
    <w:rsid w:val="007F6A6F"/>
    <w:rsid w:val="007F6DFD"/>
    <w:rsid w:val="007F7090"/>
    <w:rsid w:val="007F70EE"/>
    <w:rsid w:val="007F7513"/>
    <w:rsid w:val="007F779C"/>
    <w:rsid w:val="007F7BDB"/>
    <w:rsid w:val="007F7EC5"/>
    <w:rsid w:val="008002A2"/>
    <w:rsid w:val="0080152A"/>
    <w:rsid w:val="008015AD"/>
    <w:rsid w:val="0080198D"/>
    <w:rsid w:val="00801E3C"/>
    <w:rsid w:val="00802077"/>
    <w:rsid w:val="008020C0"/>
    <w:rsid w:val="008029EB"/>
    <w:rsid w:val="00802CEC"/>
    <w:rsid w:val="00802D04"/>
    <w:rsid w:val="008032B6"/>
    <w:rsid w:val="008034A4"/>
    <w:rsid w:val="0080374E"/>
    <w:rsid w:val="0080396D"/>
    <w:rsid w:val="00803CD9"/>
    <w:rsid w:val="00804454"/>
    <w:rsid w:val="008047D0"/>
    <w:rsid w:val="0080537A"/>
    <w:rsid w:val="00805A67"/>
    <w:rsid w:val="00805D87"/>
    <w:rsid w:val="00805F98"/>
    <w:rsid w:val="008063D1"/>
    <w:rsid w:val="00806EAA"/>
    <w:rsid w:val="00807359"/>
    <w:rsid w:val="0080779A"/>
    <w:rsid w:val="00807998"/>
    <w:rsid w:val="00807A02"/>
    <w:rsid w:val="00812128"/>
    <w:rsid w:val="008122E1"/>
    <w:rsid w:val="008127F1"/>
    <w:rsid w:val="008128E3"/>
    <w:rsid w:val="00812D06"/>
    <w:rsid w:val="008130E6"/>
    <w:rsid w:val="00813ABC"/>
    <w:rsid w:val="00813F54"/>
    <w:rsid w:val="00814213"/>
    <w:rsid w:val="008142A4"/>
    <w:rsid w:val="00814A49"/>
    <w:rsid w:val="00815A30"/>
    <w:rsid w:val="00815AB2"/>
    <w:rsid w:val="00815F3A"/>
    <w:rsid w:val="008166A1"/>
    <w:rsid w:val="0081749D"/>
    <w:rsid w:val="00817588"/>
    <w:rsid w:val="00817B68"/>
    <w:rsid w:val="00817DC8"/>
    <w:rsid w:val="00817E78"/>
    <w:rsid w:val="008206F5"/>
    <w:rsid w:val="00821042"/>
    <w:rsid w:val="00821616"/>
    <w:rsid w:val="00821707"/>
    <w:rsid w:val="008218BB"/>
    <w:rsid w:val="00821A87"/>
    <w:rsid w:val="00821BFA"/>
    <w:rsid w:val="00821C43"/>
    <w:rsid w:val="00822457"/>
    <w:rsid w:val="00822695"/>
    <w:rsid w:val="008228CE"/>
    <w:rsid w:val="008228D4"/>
    <w:rsid w:val="00822966"/>
    <w:rsid w:val="00822AAC"/>
    <w:rsid w:val="0082322A"/>
    <w:rsid w:val="00823AA8"/>
    <w:rsid w:val="00823F4B"/>
    <w:rsid w:val="00824221"/>
    <w:rsid w:val="008249AC"/>
    <w:rsid w:val="00824D11"/>
    <w:rsid w:val="00824DF7"/>
    <w:rsid w:val="00824F44"/>
    <w:rsid w:val="008255AB"/>
    <w:rsid w:val="00825BF5"/>
    <w:rsid w:val="008264F4"/>
    <w:rsid w:val="00826C82"/>
    <w:rsid w:val="00826F38"/>
    <w:rsid w:val="00827612"/>
    <w:rsid w:val="0082793A"/>
    <w:rsid w:val="008279AD"/>
    <w:rsid w:val="00827ABE"/>
    <w:rsid w:val="0083077D"/>
    <w:rsid w:val="008308AD"/>
    <w:rsid w:val="008314B7"/>
    <w:rsid w:val="008315DD"/>
    <w:rsid w:val="00831C3D"/>
    <w:rsid w:val="00831F4B"/>
    <w:rsid w:val="00832A77"/>
    <w:rsid w:val="00832E66"/>
    <w:rsid w:val="00832EF1"/>
    <w:rsid w:val="008332E6"/>
    <w:rsid w:val="0083360F"/>
    <w:rsid w:val="0083390D"/>
    <w:rsid w:val="00833D77"/>
    <w:rsid w:val="008340C4"/>
    <w:rsid w:val="00834569"/>
    <w:rsid w:val="0083469D"/>
    <w:rsid w:val="0083482A"/>
    <w:rsid w:val="0083482D"/>
    <w:rsid w:val="00835082"/>
    <w:rsid w:val="008352B5"/>
    <w:rsid w:val="00835577"/>
    <w:rsid w:val="00835596"/>
    <w:rsid w:val="0083571C"/>
    <w:rsid w:val="00835A60"/>
    <w:rsid w:val="00835AFF"/>
    <w:rsid w:val="00836C05"/>
    <w:rsid w:val="0083714B"/>
    <w:rsid w:val="00837725"/>
    <w:rsid w:val="00837ABD"/>
    <w:rsid w:val="00840387"/>
    <w:rsid w:val="0084106D"/>
    <w:rsid w:val="00841B64"/>
    <w:rsid w:val="00841CEF"/>
    <w:rsid w:val="0084217D"/>
    <w:rsid w:val="00842E7E"/>
    <w:rsid w:val="008432D5"/>
    <w:rsid w:val="00843A60"/>
    <w:rsid w:val="00843B2D"/>
    <w:rsid w:val="00843B8D"/>
    <w:rsid w:val="00843BCA"/>
    <w:rsid w:val="00844639"/>
    <w:rsid w:val="00844772"/>
    <w:rsid w:val="00844EFE"/>
    <w:rsid w:val="0084529D"/>
    <w:rsid w:val="00845AA7"/>
    <w:rsid w:val="00845CFF"/>
    <w:rsid w:val="00845D21"/>
    <w:rsid w:val="008460A0"/>
    <w:rsid w:val="008460CF"/>
    <w:rsid w:val="00846350"/>
    <w:rsid w:val="00846D25"/>
    <w:rsid w:val="0084709A"/>
    <w:rsid w:val="00847152"/>
    <w:rsid w:val="0084762E"/>
    <w:rsid w:val="00847CAA"/>
    <w:rsid w:val="00847D21"/>
    <w:rsid w:val="00850000"/>
    <w:rsid w:val="00850C7C"/>
    <w:rsid w:val="00850F5D"/>
    <w:rsid w:val="0085116C"/>
    <w:rsid w:val="008511BF"/>
    <w:rsid w:val="008511FE"/>
    <w:rsid w:val="00852591"/>
    <w:rsid w:val="008527C7"/>
    <w:rsid w:val="008534F0"/>
    <w:rsid w:val="00854B0A"/>
    <w:rsid w:val="00854BA5"/>
    <w:rsid w:val="00854C3E"/>
    <w:rsid w:val="00854FBD"/>
    <w:rsid w:val="0085518C"/>
    <w:rsid w:val="008552F5"/>
    <w:rsid w:val="00855323"/>
    <w:rsid w:val="00855466"/>
    <w:rsid w:val="00855BA6"/>
    <w:rsid w:val="00855D67"/>
    <w:rsid w:val="008562C4"/>
    <w:rsid w:val="00856709"/>
    <w:rsid w:val="0085775F"/>
    <w:rsid w:val="00857D07"/>
    <w:rsid w:val="00857EF2"/>
    <w:rsid w:val="0086017C"/>
    <w:rsid w:val="008608BD"/>
    <w:rsid w:val="00861652"/>
    <w:rsid w:val="0086168D"/>
    <w:rsid w:val="00861861"/>
    <w:rsid w:val="00861935"/>
    <w:rsid w:val="00861B65"/>
    <w:rsid w:val="00861D1B"/>
    <w:rsid w:val="00861F54"/>
    <w:rsid w:val="0086230B"/>
    <w:rsid w:val="0086269B"/>
    <w:rsid w:val="008628AD"/>
    <w:rsid w:val="00862BB9"/>
    <w:rsid w:val="0086364A"/>
    <w:rsid w:val="00863836"/>
    <w:rsid w:val="008638A7"/>
    <w:rsid w:val="008638D1"/>
    <w:rsid w:val="00863CBE"/>
    <w:rsid w:val="00863D08"/>
    <w:rsid w:val="00864063"/>
    <w:rsid w:val="00864260"/>
    <w:rsid w:val="0086437B"/>
    <w:rsid w:val="008647B0"/>
    <w:rsid w:val="0086481F"/>
    <w:rsid w:val="008649C4"/>
    <w:rsid w:val="008649C5"/>
    <w:rsid w:val="00864D79"/>
    <w:rsid w:val="00865051"/>
    <w:rsid w:val="0086518A"/>
    <w:rsid w:val="008656BE"/>
    <w:rsid w:val="008658C8"/>
    <w:rsid w:val="00865D4B"/>
    <w:rsid w:val="00865E1B"/>
    <w:rsid w:val="0086607B"/>
    <w:rsid w:val="0086644C"/>
    <w:rsid w:val="008667C4"/>
    <w:rsid w:val="008668B7"/>
    <w:rsid w:val="00866B34"/>
    <w:rsid w:val="00866CF7"/>
    <w:rsid w:val="0086752C"/>
    <w:rsid w:val="00867550"/>
    <w:rsid w:val="008677C4"/>
    <w:rsid w:val="00867AC5"/>
    <w:rsid w:val="00867D24"/>
    <w:rsid w:val="008704B6"/>
    <w:rsid w:val="0087088E"/>
    <w:rsid w:val="00870EB9"/>
    <w:rsid w:val="00870ECF"/>
    <w:rsid w:val="00871138"/>
    <w:rsid w:val="00871E7E"/>
    <w:rsid w:val="0087248F"/>
    <w:rsid w:val="0087265C"/>
    <w:rsid w:val="00872AA7"/>
    <w:rsid w:val="00872F19"/>
    <w:rsid w:val="00873202"/>
    <w:rsid w:val="0087344D"/>
    <w:rsid w:val="0087355F"/>
    <w:rsid w:val="008736CB"/>
    <w:rsid w:val="008738C9"/>
    <w:rsid w:val="008739FE"/>
    <w:rsid w:val="00873C3D"/>
    <w:rsid w:val="00874510"/>
    <w:rsid w:val="00874789"/>
    <w:rsid w:val="00874C36"/>
    <w:rsid w:val="00874D02"/>
    <w:rsid w:val="00874D3E"/>
    <w:rsid w:val="00875555"/>
    <w:rsid w:val="00875D00"/>
    <w:rsid w:val="00876F80"/>
    <w:rsid w:val="008773C8"/>
    <w:rsid w:val="008806FC"/>
    <w:rsid w:val="0088096D"/>
    <w:rsid w:val="00880A01"/>
    <w:rsid w:val="00880EB9"/>
    <w:rsid w:val="00880F92"/>
    <w:rsid w:val="00881332"/>
    <w:rsid w:val="0088144F"/>
    <w:rsid w:val="0088165C"/>
    <w:rsid w:val="00881663"/>
    <w:rsid w:val="0088166D"/>
    <w:rsid w:val="0088174E"/>
    <w:rsid w:val="008824A5"/>
    <w:rsid w:val="0088312F"/>
    <w:rsid w:val="0088339F"/>
    <w:rsid w:val="00883C0A"/>
    <w:rsid w:val="00883C50"/>
    <w:rsid w:val="00883FB6"/>
    <w:rsid w:val="00884059"/>
    <w:rsid w:val="00884127"/>
    <w:rsid w:val="00884504"/>
    <w:rsid w:val="00884959"/>
    <w:rsid w:val="00885099"/>
    <w:rsid w:val="008850A6"/>
    <w:rsid w:val="00885EAD"/>
    <w:rsid w:val="00886100"/>
    <w:rsid w:val="008863B2"/>
    <w:rsid w:val="008863D7"/>
    <w:rsid w:val="00886610"/>
    <w:rsid w:val="00886D00"/>
    <w:rsid w:val="008874D1"/>
    <w:rsid w:val="0088797A"/>
    <w:rsid w:val="00890905"/>
    <w:rsid w:val="0089107B"/>
    <w:rsid w:val="008914C1"/>
    <w:rsid w:val="00892162"/>
    <w:rsid w:val="0089216E"/>
    <w:rsid w:val="0089252C"/>
    <w:rsid w:val="00892559"/>
    <w:rsid w:val="00892C0D"/>
    <w:rsid w:val="00892E80"/>
    <w:rsid w:val="008933F5"/>
    <w:rsid w:val="00894068"/>
    <w:rsid w:val="008946C1"/>
    <w:rsid w:val="00894764"/>
    <w:rsid w:val="00894AE6"/>
    <w:rsid w:val="008950FB"/>
    <w:rsid w:val="00895227"/>
    <w:rsid w:val="008958B7"/>
    <w:rsid w:val="00895C13"/>
    <w:rsid w:val="00896026"/>
    <w:rsid w:val="0089636F"/>
    <w:rsid w:val="00896EFA"/>
    <w:rsid w:val="008971EF"/>
    <w:rsid w:val="008A019A"/>
    <w:rsid w:val="008A07CF"/>
    <w:rsid w:val="008A08C5"/>
    <w:rsid w:val="008A0941"/>
    <w:rsid w:val="008A0CCF"/>
    <w:rsid w:val="008A0E84"/>
    <w:rsid w:val="008A15E9"/>
    <w:rsid w:val="008A1658"/>
    <w:rsid w:val="008A1E09"/>
    <w:rsid w:val="008A23CD"/>
    <w:rsid w:val="008A2B2E"/>
    <w:rsid w:val="008A2CBB"/>
    <w:rsid w:val="008A2F9C"/>
    <w:rsid w:val="008A3023"/>
    <w:rsid w:val="008A3214"/>
    <w:rsid w:val="008A3250"/>
    <w:rsid w:val="008A335B"/>
    <w:rsid w:val="008A36C7"/>
    <w:rsid w:val="008A3957"/>
    <w:rsid w:val="008A40F5"/>
    <w:rsid w:val="008A42D6"/>
    <w:rsid w:val="008A458F"/>
    <w:rsid w:val="008A4B7E"/>
    <w:rsid w:val="008A54B0"/>
    <w:rsid w:val="008A5981"/>
    <w:rsid w:val="008A6156"/>
    <w:rsid w:val="008A6281"/>
    <w:rsid w:val="008A628A"/>
    <w:rsid w:val="008A6827"/>
    <w:rsid w:val="008A6C8C"/>
    <w:rsid w:val="008A6C8F"/>
    <w:rsid w:val="008A6DF2"/>
    <w:rsid w:val="008A7594"/>
    <w:rsid w:val="008A7614"/>
    <w:rsid w:val="008A7A33"/>
    <w:rsid w:val="008B0406"/>
    <w:rsid w:val="008B1C42"/>
    <w:rsid w:val="008B1CA5"/>
    <w:rsid w:val="008B1F0C"/>
    <w:rsid w:val="008B2286"/>
    <w:rsid w:val="008B22F7"/>
    <w:rsid w:val="008B255E"/>
    <w:rsid w:val="008B25D3"/>
    <w:rsid w:val="008B316E"/>
    <w:rsid w:val="008B39BB"/>
    <w:rsid w:val="008B40A8"/>
    <w:rsid w:val="008B4C59"/>
    <w:rsid w:val="008B4D49"/>
    <w:rsid w:val="008B4E00"/>
    <w:rsid w:val="008B50C5"/>
    <w:rsid w:val="008B5160"/>
    <w:rsid w:val="008B5703"/>
    <w:rsid w:val="008B57D2"/>
    <w:rsid w:val="008B5B28"/>
    <w:rsid w:val="008B626E"/>
    <w:rsid w:val="008B6811"/>
    <w:rsid w:val="008B6AD3"/>
    <w:rsid w:val="008B6D9A"/>
    <w:rsid w:val="008B6E3B"/>
    <w:rsid w:val="008B738F"/>
    <w:rsid w:val="008B75AD"/>
    <w:rsid w:val="008B7739"/>
    <w:rsid w:val="008B78CD"/>
    <w:rsid w:val="008B794D"/>
    <w:rsid w:val="008B7A9F"/>
    <w:rsid w:val="008B7C49"/>
    <w:rsid w:val="008C00AD"/>
    <w:rsid w:val="008C06B7"/>
    <w:rsid w:val="008C091D"/>
    <w:rsid w:val="008C0EB5"/>
    <w:rsid w:val="008C0EEA"/>
    <w:rsid w:val="008C0F7B"/>
    <w:rsid w:val="008C16CF"/>
    <w:rsid w:val="008C1B4E"/>
    <w:rsid w:val="008C1EF9"/>
    <w:rsid w:val="008C23A8"/>
    <w:rsid w:val="008C26FC"/>
    <w:rsid w:val="008C2869"/>
    <w:rsid w:val="008C28B1"/>
    <w:rsid w:val="008C2C0D"/>
    <w:rsid w:val="008C3318"/>
    <w:rsid w:val="008C363A"/>
    <w:rsid w:val="008C36D0"/>
    <w:rsid w:val="008C3C2F"/>
    <w:rsid w:val="008C3CA0"/>
    <w:rsid w:val="008C3D12"/>
    <w:rsid w:val="008C3FBE"/>
    <w:rsid w:val="008C435B"/>
    <w:rsid w:val="008C5085"/>
    <w:rsid w:val="008C5127"/>
    <w:rsid w:val="008C529C"/>
    <w:rsid w:val="008C5576"/>
    <w:rsid w:val="008C569F"/>
    <w:rsid w:val="008C57A7"/>
    <w:rsid w:val="008C5A2B"/>
    <w:rsid w:val="008C5B67"/>
    <w:rsid w:val="008C5E1B"/>
    <w:rsid w:val="008C62CE"/>
    <w:rsid w:val="008C64BC"/>
    <w:rsid w:val="008C6570"/>
    <w:rsid w:val="008C703D"/>
    <w:rsid w:val="008C7725"/>
    <w:rsid w:val="008C78FD"/>
    <w:rsid w:val="008D0197"/>
    <w:rsid w:val="008D08EB"/>
    <w:rsid w:val="008D0ADB"/>
    <w:rsid w:val="008D0C91"/>
    <w:rsid w:val="008D16E8"/>
    <w:rsid w:val="008D17E7"/>
    <w:rsid w:val="008D2068"/>
    <w:rsid w:val="008D2635"/>
    <w:rsid w:val="008D26EA"/>
    <w:rsid w:val="008D2D85"/>
    <w:rsid w:val="008D2DD0"/>
    <w:rsid w:val="008D2E8C"/>
    <w:rsid w:val="008D2FFF"/>
    <w:rsid w:val="008D30C8"/>
    <w:rsid w:val="008D3550"/>
    <w:rsid w:val="008D386F"/>
    <w:rsid w:val="008D3A4D"/>
    <w:rsid w:val="008D46CF"/>
    <w:rsid w:val="008D4DA1"/>
    <w:rsid w:val="008D4E45"/>
    <w:rsid w:val="008D509C"/>
    <w:rsid w:val="008D51B5"/>
    <w:rsid w:val="008D5525"/>
    <w:rsid w:val="008D5562"/>
    <w:rsid w:val="008D5635"/>
    <w:rsid w:val="008D5B7E"/>
    <w:rsid w:val="008D6055"/>
    <w:rsid w:val="008D631F"/>
    <w:rsid w:val="008D6A6D"/>
    <w:rsid w:val="008D6E8A"/>
    <w:rsid w:val="008D74F1"/>
    <w:rsid w:val="008D7645"/>
    <w:rsid w:val="008D77AD"/>
    <w:rsid w:val="008D7908"/>
    <w:rsid w:val="008E0A21"/>
    <w:rsid w:val="008E1145"/>
    <w:rsid w:val="008E1227"/>
    <w:rsid w:val="008E1C8F"/>
    <w:rsid w:val="008E22A2"/>
    <w:rsid w:val="008E2633"/>
    <w:rsid w:val="008E2BF6"/>
    <w:rsid w:val="008E2C0F"/>
    <w:rsid w:val="008E30AC"/>
    <w:rsid w:val="008E37A5"/>
    <w:rsid w:val="008E3B8F"/>
    <w:rsid w:val="008E3D6A"/>
    <w:rsid w:val="008E3D80"/>
    <w:rsid w:val="008E43F8"/>
    <w:rsid w:val="008E49E3"/>
    <w:rsid w:val="008E501E"/>
    <w:rsid w:val="008E5084"/>
    <w:rsid w:val="008E5583"/>
    <w:rsid w:val="008E591C"/>
    <w:rsid w:val="008E5ACD"/>
    <w:rsid w:val="008E5D05"/>
    <w:rsid w:val="008E6170"/>
    <w:rsid w:val="008E64FC"/>
    <w:rsid w:val="008E67D0"/>
    <w:rsid w:val="008E6DC0"/>
    <w:rsid w:val="008E6DE8"/>
    <w:rsid w:val="008E7330"/>
    <w:rsid w:val="008E7744"/>
    <w:rsid w:val="008E7958"/>
    <w:rsid w:val="008E7F6D"/>
    <w:rsid w:val="008F004B"/>
    <w:rsid w:val="008F031F"/>
    <w:rsid w:val="008F0635"/>
    <w:rsid w:val="008F08E4"/>
    <w:rsid w:val="008F09EA"/>
    <w:rsid w:val="008F15D7"/>
    <w:rsid w:val="008F1963"/>
    <w:rsid w:val="008F2ADF"/>
    <w:rsid w:val="008F336D"/>
    <w:rsid w:val="008F3E28"/>
    <w:rsid w:val="008F4393"/>
    <w:rsid w:val="008F49FF"/>
    <w:rsid w:val="008F4D2F"/>
    <w:rsid w:val="008F54E1"/>
    <w:rsid w:val="008F56C3"/>
    <w:rsid w:val="008F649B"/>
    <w:rsid w:val="008F74CB"/>
    <w:rsid w:val="008F7E49"/>
    <w:rsid w:val="00900036"/>
    <w:rsid w:val="0090005E"/>
    <w:rsid w:val="009006B5"/>
    <w:rsid w:val="00900D8D"/>
    <w:rsid w:val="00901430"/>
    <w:rsid w:val="00901998"/>
    <w:rsid w:val="00901CFE"/>
    <w:rsid w:val="009022B2"/>
    <w:rsid w:val="00902A19"/>
    <w:rsid w:val="00902B3D"/>
    <w:rsid w:val="00902FCA"/>
    <w:rsid w:val="00903065"/>
    <w:rsid w:val="009038C4"/>
    <w:rsid w:val="0090396E"/>
    <w:rsid w:val="009039F9"/>
    <w:rsid w:val="00904125"/>
    <w:rsid w:val="0090426B"/>
    <w:rsid w:val="00904686"/>
    <w:rsid w:val="00904A33"/>
    <w:rsid w:val="009058CF"/>
    <w:rsid w:val="0090595A"/>
    <w:rsid w:val="00905AB3"/>
    <w:rsid w:val="00905B17"/>
    <w:rsid w:val="00905B3A"/>
    <w:rsid w:val="009065B6"/>
    <w:rsid w:val="00906C69"/>
    <w:rsid w:val="00906D7A"/>
    <w:rsid w:val="00906DD0"/>
    <w:rsid w:val="00906E9D"/>
    <w:rsid w:val="00907A90"/>
    <w:rsid w:val="00910EAD"/>
    <w:rsid w:val="00911F36"/>
    <w:rsid w:val="00912254"/>
    <w:rsid w:val="0091230D"/>
    <w:rsid w:val="0091233B"/>
    <w:rsid w:val="00912DBC"/>
    <w:rsid w:val="00913530"/>
    <w:rsid w:val="00913772"/>
    <w:rsid w:val="0091387C"/>
    <w:rsid w:val="00913EF5"/>
    <w:rsid w:val="00914CA2"/>
    <w:rsid w:val="00914E00"/>
    <w:rsid w:val="00915EDB"/>
    <w:rsid w:val="00916301"/>
    <w:rsid w:val="0091638B"/>
    <w:rsid w:val="009163B6"/>
    <w:rsid w:val="009163C8"/>
    <w:rsid w:val="00916CCF"/>
    <w:rsid w:val="00916D56"/>
    <w:rsid w:val="00916FE0"/>
    <w:rsid w:val="009171BD"/>
    <w:rsid w:val="00917752"/>
    <w:rsid w:val="00917798"/>
    <w:rsid w:val="00920448"/>
    <w:rsid w:val="009207A4"/>
    <w:rsid w:val="009209E2"/>
    <w:rsid w:val="00920DE4"/>
    <w:rsid w:val="009210C3"/>
    <w:rsid w:val="009211B9"/>
    <w:rsid w:val="0092149D"/>
    <w:rsid w:val="009216EF"/>
    <w:rsid w:val="00921A64"/>
    <w:rsid w:val="00921AB3"/>
    <w:rsid w:val="00921BAC"/>
    <w:rsid w:val="00921BE3"/>
    <w:rsid w:val="00921CFA"/>
    <w:rsid w:val="009225E2"/>
    <w:rsid w:val="00922817"/>
    <w:rsid w:val="00922916"/>
    <w:rsid w:val="00922A57"/>
    <w:rsid w:val="00922EE8"/>
    <w:rsid w:val="00922FE6"/>
    <w:rsid w:val="0092372E"/>
    <w:rsid w:val="009239C8"/>
    <w:rsid w:val="00923C8B"/>
    <w:rsid w:val="00923FC4"/>
    <w:rsid w:val="00924156"/>
    <w:rsid w:val="00924EA0"/>
    <w:rsid w:val="00924F48"/>
    <w:rsid w:val="00925241"/>
    <w:rsid w:val="00925452"/>
    <w:rsid w:val="00925AD5"/>
    <w:rsid w:val="00925E54"/>
    <w:rsid w:val="0092611D"/>
    <w:rsid w:val="00926307"/>
    <w:rsid w:val="00926406"/>
    <w:rsid w:val="0092695A"/>
    <w:rsid w:val="00926A01"/>
    <w:rsid w:val="00926E6C"/>
    <w:rsid w:val="00926FD4"/>
    <w:rsid w:val="00927356"/>
    <w:rsid w:val="00927673"/>
    <w:rsid w:val="0092767E"/>
    <w:rsid w:val="00927705"/>
    <w:rsid w:val="00927AC2"/>
    <w:rsid w:val="00927ACA"/>
    <w:rsid w:val="00927E21"/>
    <w:rsid w:val="00927E72"/>
    <w:rsid w:val="00927F08"/>
    <w:rsid w:val="009308F6"/>
    <w:rsid w:val="00930EDA"/>
    <w:rsid w:val="0093122A"/>
    <w:rsid w:val="009314CF"/>
    <w:rsid w:val="0093158F"/>
    <w:rsid w:val="00931CE7"/>
    <w:rsid w:val="00932076"/>
    <w:rsid w:val="00932206"/>
    <w:rsid w:val="00932A8E"/>
    <w:rsid w:val="00932ABD"/>
    <w:rsid w:val="00932B19"/>
    <w:rsid w:val="00932F0E"/>
    <w:rsid w:val="00933596"/>
    <w:rsid w:val="00933802"/>
    <w:rsid w:val="00933DA1"/>
    <w:rsid w:val="00934356"/>
    <w:rsid w:val="009344C9"/>
    <w:rsid w:val="009346BA"/>
    <w:rsid w:val="0093494F"/>
    <w:rsid w:val="00935A53"/>
    <w:rsid w:val="00936111"/>
    <w:rsid w:val="009362F8"/>
    <w:rsid w:val="00936A43"/>
    <w:rsid w:val="00936AEE"/>
    <w:rsid w:val="00936EF7"/>
    <w:rsid w:val="009371D9"/>
    <w:rsid w:val="009372FA"/>
    <w:rsid w:val="00937563"/>
    <w:rsid w:val="00937D92"/>
    <w:rsid w:val="009400ED"/>
    <w:rsid w:val="00940574"/>
    <w:rsid w:val="00940749"/>
    <w:rsid w:val="009408E8"/>
    <w:rsid w:val="009412EA"/>
    <w:rsid w:val="0094156E"/>
    <w:rsid w:val="00941B51"/>
    <w:rsid w:val="00941CC1"/>
    <w:rsid w:val="00942CD1"/>
    <w:rsid w:val="00942EC1"/>
    <w:rsid w:val="009439D1"/>
    <w:rsid w:val="00943A2A"/>
    <w:rsid w:val="00943C29"/>
    <w:rsid w:val="00944841"/>
    <w:rsid w:val="00944B00"/>
    <w:rsid w:val="00945657"/>
    <w:rsid w:val="00945D21"/>
    <w:rsid w:val="009461DE"/>
    <w:rsid w:val="009462DF"/>
    <w:rsid w:val="00946552"/>
    <w:rsid w:val="0094656C"/>
    <w:rsid w:val="0094696A"/>
    <w:rsid w:val="00946A3F"/>
    <w:rsid w:val="00946B6F"/>
    <w:rsid w:val="00946C5B"/>
    <w:rsid w:val="00946CCB"/>
    <w:rsid w:val="009477C3"/>
    <w:rsid w:val="009477DE"/>
    <w:rsid w:val="00947B76"/>
    <w:rsid w:val="0095006B"/>
    <w:rsid w:val="00950624"/>
    <w:rsid w:val="0095094C"/>
    <w:rsid w:val="00951783"/>
    <w:rsid w:val="00951CF7"/>
    <w:rsid w:val="00951D7F"/>
    <w:rsid w:val="00952D40"/>
    <w:rsid w:val="00952E21"/>
    <w:rsid w:val="00953189"/>
    <w:rsid w:val="00953308"/>
    <w:rsid w:val="009536FE"/>
    <w:rsid w:val="00953F00"/>
    <w:rsid w:val="009543A2"/>
    <w:rsid w:val="00954589"/>
    <w:rsid w:val="009549FC"/>
    <w:rsid w:val="00954BB4"/>
    <w:rsid w:val="00954C24"/>
    <w:rsid w:val="00954C57"/>
    <w:rsid w:val="0095510D"/>
    <w:rsid w:val="00955239"/>
    <w:rsid w:val="00955606"/>
    <w:rsid w:val="009558BD"/>
    <w:rsid w:val="009562C9"/>
    <w:rsid w:val="0095648B"/>
    <w:rsid w:val="0095683F"/>
    <w:rsid w:val="00956B7E"/>
    <w:rsid w:val="00956D18"/>
    <w:rsid w:val="00956ED7"/>
    <w:rsid w:val="0095700C"/>
    <w:rsid w:val="009576DD"/>
    <w:rsid w:val="009578B3"/>
    <w:rsid w:val="00957B5E"/>
    <w:rsid w:val="00960112"/>
    <w:rsid w:val="0096062A"/>
    <w:rsid w:val="00960651"/>
    <w:rsid w:val="00960684"/>
    <w:rsid w:val="009608F4"/>
    <w:rsid w:val="00960B44"/>
    <w:rsid w:val="00960D05"/>
    <w:rsid w:val="00960E5B"/>
    <w:rsid w:val="009617CA"/>
    <w:rsid w:val="0096191D"/>
    <w:rsid w:val="00961A85"/>
    <w:rsid w:val="00961B31"/>
    <w:rsid w:val="00961DFF"/>
    <w:rsid w:val="0096222F"/>
    <w:rsid w:val="00962259"/>
    <w:rsid w:val="009622A4"/>
    <w:rsid w:val="0096298C"/>
    <w:rsid w:val="00962AB1"/>
    <w:rsid w:val="00962F15"/>
    <w:rsid w:val="00963495"/>
    <w:rsid w:val="00963BE1"/>
    <w:rsid w:val="00963D82"/>
    <w:rsid w:val="009640A4"/>
    <w:rsid w:val="0096428C"/>
    <w:rsid w:val="0096446E"/>
    <w:rsid w:val="009648C9"/>
    <w:rsid w:val="0096496A"/>
    <w:rsid w:val="009657C6"/>
    <w:rsid w:val="009658D5"/>
    <w:rsid w:val="009665D5"/>
    <w:rsid w:val="00966F11"/>
    <w:rsid w:val="0096745E"/>
    <w:rsid w:val="00967622"/>
    <w:rsid w:val="00967AA5"/>
    <w:rsid w:val="00967CAA"/>
    <w:rsid w:val="009700D1"/>
    <w:rsid w:val="0097025B"/>
    <w:rsid w:val="0097047D"/>
    <w:rsid w:val="00970912"/>
    <w:rsid w:val="00970B5F"/>
    <w:rsid w:val="00970DE8"/>
    <w:rsid w:val="009718F5"/>
    <w:rsid w:val="00971AA0"/>
    <w:rsid w:val="00971ED9"/>
    <w:rsid w:val="009721F7"/>
    <w:rsid w:val="00972347"/>
    <w:rsid w:val="009725BF"/>
    <w:rsid w:val="009727AE"/>
    <w:rsid w:val="00972E42"/>
    <w:rsid w:val="009732A9"/>
    <w:rsid w:val="0097362D"/>
    <w:rsid w:val="00973BE6"/>
    <w:rsid w:val="00973D7D"/>
    <w:rsid w:val="00974275"/>
    <w:rsid w:val="00974BF0"/>
    <w:rsid w:val="00974EBF"/>
    <w:rsid w:val="00974EDF"/>
    <w:rsid w:val="0097633D"/>
    <w:rsid w:val="00976784"/>
    <w:rsid w:val="00976E7C"/>
    <w:rsid w:val="00977803"/>
    <w:rsid w:val="00977956"/>
    <w:rsid w:val="00977BC4"/>
    <w:rsid w:val="00977FBA"/>
    <w:rsid w:val="009802A8"/>
    <w:rsid w:val="009802CE"/>
    <w:rsid w:val="00980379"/>
    <w:rsid w:val="0098078A"/>
    <w:rsid w:val="00980CCC"/>
    <w:rsid w:val="0098181D"/>
    <w:rsid w:val="00982040"/>
    <w:rsid w:val="00982BCB"/>
    <w:rsid w:val="00982CE7"/>
    <w:rsid w:val="00983A0F"/>
    <w:rsid w:val="00983AC6"/>
    <w:rsid w:val="00983DCC"/>
    <w:rsid w:val="009842DF"/>
    <w:rsid w:val="0098430E"/>
    <w:rsid w:val="00984D23"/>
    <w:rsid w:val="00985044"/>
    <w:rsid w:val="00985203"/>
    <w:rsid w:val="0098525E"/>
    <w:rsid w:val="0098543C"/>
    <w:rsid w:val="00985584"/>
    <w:rsid w:val="00985651"/>
    <w:rsid w:val="009859B9"/>
    <w:rsid w:val="00985CA3"/>
    <w:rsid w:val="00985FE8"/>
    <w:rsid w:val="009860BF"/>
    <w:rsid w:val="00986485"/>
    <w:rsid w:val="00987448"/>
    <w:rsid w:val="0098751E"/>
    <w:rsid w:val="00987822"/>
    <w:rsid w:val="00987E79"/>
    <w:rsid w:val="00987E7F"/>
    <w:rsid w:val="009900C4"/>
    <w:rsid w:val="00990A11"/>
    <w:rsid w:val="00990A52"/>
    <w:rsid w:val="00990D50"/>
    <w:rsid w:val="009913E7"/>
    <w:rsid w:val="00991BB8"/>
    <w:rsid w:val="00991BC5"/>
    <w:rsid w:val="00991DEB"/>
    <w:rsid w:val="00991F85"/>
    <w:rsid w:val="0099211F"/>
    <w:rsid w:val="0099226B"/>
    <w:rsid w:val="00992609"/>
    <w:rsid w:val="00992ACD"/>
    <w:rsid w:val="00993261"/>
    <w:rsid w:val="00993CB2"/>
    <w:rsid w:val="00994493"/>
    <w:rsid w:val="00994925"/>
    <w:rsid w:val="00994CA6"/>
    <w:rsid w:val="00995110"/>
    <w:rsid w:val="00995657"/>
    <w:rsid w:val="00995936"/>
    <w:rsid w:val="00995C2B"/>
    <w:rsid w:val="00995CEE"/>
    <w:rsid w:val="00996D30"/>
    <w:rsid w:val="00997607"/>
    <w:rsid w:val="009A0289"/>
    <w:rsid w:val="009A04F3"/>
    <w:rsid w:val="009A0648"/>
    <w:rsid w:val="009A0935"/>
    <w:rsid w:val="009A0A1B"/>
    <w:rsid w:val="009A0D3B"/>
    <w:rsid w:val="009A0D52"/>
    <w:rsid w:val="009A11B4"/>
    <w:rsid w:val="009A15F1"/>
    <w:rsid w:val="009A181B"/>
    <w:rsid w:val="009A1E85"/>
    <w:rsid w:val="009A2190"/>
    <w:rsid w:val="009A251B"/>
    <w:rsid w:val="009A2740"/>
    <w:rsid w:val="009A2771"/>
    <w:rsid w:val="009A3A23"/>
    <w:rsid w:val="009A3BFA"/>
    <w:rsid w:val="009A3D60"/>
    <w:rsid w:val="009A43F4"/>
    <w:rsid w:val="009A46E6"/>
    <w:rsid w:val="009A49F0"/>
    <w:rsid w:val="009A4A72"/>
    <w:rsid w:val="009A4BAC"/>
    <w:rsid w:val="009A4E1C"/>
    <w:rsid w:val="009A4F87"/>
    <w:rsid w:val="009A50E9"/>
    <w:rsid w:val="009A5407"/>
    <w:rsid w:val="009A551F"/>
    <w:rsid w:val="009A58F2"/>
    <w:rsid w:val="009A5A14"/>
    <w:rsid w:val="009A5A1A"/>
    <w:rsid w:val="009A5F36"/>
    <w:rsid w:val="009A698E"/>
    <w:rsid w:val="009A6B71"/>
    <w:rsid w:val="009A7621"/>
    <w:rsid w:val="009A7DD1"/>
    <w:rsid w:val="009A7ECC"/>
    <w:rsid w:val="009B06F4"/>
    <w:rsid w:val="009B0AD5"/>
    <w:rsid w:val="009B0D15"/>
    <w:rsid w:val="009B0E78"/>
    <w:rsid w:val="009B1562"/>
    <w:rsid w:val="009B15E4"/>
    <w:rsid w:val="009B1810"/>
    <w:rsid w:val="009B1D02"/>
    <w:rsid w:val="009B1DF6"/>
    <w:rsid w:val="009B2189"/>
    <w:rsid w:val="009B297F"/>
    <w:rsid w:val="009B2AD5"/>
    <w:rsid w:val="009B2D17"/>
    <w:rsid w:val="009B2D92"/>
    <w:rsid w:val="009B3144"/>
    <w:rsid w:val="009B433A"/>
    <w:rsid w:val="009B4454"/>
    <w:rsid w:val="009B4567"/>
    <w:rsid w:val="009B45F4"/>
    <w:rsid w:val="009B483A"/>
    <w:rsid w:val="009B4DEF"/>
    <w:rsid w:val="009B54D5"/>
    <w:rsid w:val="009B581F"/>
    <w:rsid w:val="009B5996"/>
    <w:rsid w:val="009B5ACC"/>
    <w:rsid w:val="009B5CF3"/>
    <w:rsid w:val="009B5DC1"/>
    <w:rsid w:val="009B5E4F"/>
    <w:rsid w:val="009B5FD2"/>
    <w:rsid w:val="009B61C8"/>
    <w:rsid w:val="009B6391"/>
    <w:rsid w:val="009B64CC"/>
    <w:rsid w:val="009B66C3"/>
    <w:rsid w:val="009B7747"/>
    <w:rsid w:val="009B7C6F"/>
    <w:rsid w:val="009C0D42"/>
    <w:rsid w:val="009C1100"/>
    <w:rsid w:val="009C114C"/>
    <w:rsid w:val="009C1525"/>
    <w:rsid w:val="009C1A6B"/>
    <w:rsid w:val="009C1A8E"/>
    <w:rsid w:val="009C1D75"/>
    <w:rsid w:val="009C1DFB"/>
    <w:rsid w:val="009C20D8"/>
    <w:rsid w:val="009C2405"/>
    <w:rsid w:val="009C3138"/>
    <w:rsid w:val="009C3504"/>
    <w:rsid w:val="009C3853"/>
    <w:rsid w:val="009C3A78"/>
    <w:rsid w:val="009C4601"/>
    <w:rsid w:val="009C4A69"/>
    <w:rsid w:val="009C5107"/>
    <w:rsid w:val="009C5482"/>
    <w:rsid w:val="009C5625"/>
    <w:rsid w:val="009C59FC"/>
    <w:rsid w:val="009C5D0B"/>
    <w:rsid w:val="009C5F14"/>
    <w:rsid w:val="009C6800"/>
    <w:rsid w:val="009C6967"/>
    <w:rsid w:val="009C6AF8"/>
    <w:rsid w:val="009C6BD3"/>
    <w:rsid w:val="009C6C9B"/>
    <w:rsid w:val="009C6FAA"/>
    <w:rsid w:val="009C7802"/>
    <w:rsid w:val="009C7DEA"/>
    <w:rsid w:val="009C7E92"/>
    <w:rsid w:val="009D0385"/>
    <w:rsid w:val="009D0547"/>
    <w:rsid w:val="009D16D5"/>
    <w:rsid w:val="009D1AF6"/>
    <w:rsid w:val="009D29F9"/>
    <w:rsid w:val="009D3044"/>
    <w:rsid w:val="009D3A09"/>
    <w:rsid w:val="009D4C7E"/>
    <w:rsid w:val="009D507B"/>
    <w:rsid w:val="009D5799"/>
    <w:rsid w:val="009D64CC"/>
    <w:rsid w:val="009D789F"/>
    <w:rsid w:val="009D7A3A"/>
    <w:rsid w:val="009D7BB3"/>
    <w:rsid w:val="009E0939"/>
    <w:rsid w:val="009E0C9C"/>
    <w:rsid w:val="009E120A"/>
    <w:rsid w:val="009E1F9F"/>
    <w:rsid w:val="009E2276"/>
    <w:rsid w:val="009E246E"/>
    <w:rsid w:val="009E2842"/>
    <w:rsid w:val="009E2B03"/>
    <w:rsid w:val="009E2BE9"/>
    <w:rsid w:val="009E3381"/>
    <w:rsid w:val="009E38CC"/>
    <w:rsid w:val="009E3A4B"/>
    <w:rsid w:val="009E4266"/>
    <w:rsid w:val="009E4877"/>
    <w:rsid w:val="009E5141"/>
    <w:rsid w:val="009E5301"/>
    <w:rsid w:val="009E572A"/>
    <w:rsid w:val="009E57AD"/>
    <w:rsid w:val="009E57E6"/>
    <w:rsid w:val="009E590F"/>
    <w:rsid w:val="009E5B61"/>
    <w:rsid w:val="009E6106"/>
    <w:rsid w:val="009E6A3A"/>
    <w:rsid w:val="009E6CD3"/>
    <w:rsid w:val="009E7140"/>
    <w:rsid w:val="009E7B6D"/>
    <w:rsid w:val="009E7E26"/>
    <w:rsid w:val="009F0977"/>
    <w:rsid w:val="009F0C27"/>
    <w:rsid w:val="009F0E52"/>
    <w:rsid w:val="009F1269"/>
    <w:rsid w:val="009F13D8"/>
    <w:rsid w:val="009F1804"/>
    <w:rsid w:val="009F1A12"/>
    <w:rsid w:val="009F1C4F"/>
    <w:rsid w:val="009F1CE7"/>
    <w:rsid w:val="009F1D8A"/>
    <w:rsid w:val="009F215C"/>
    <w:rsid w:val="009F2371"/>
    <w:rsid w:val="009F24BE"/>
    <w:rsid w:val="009F24FA"/>
    <w:rsid w:val="009F2F6F"/>
    <w:rsid w:val="009F38E8"/>
    <w:rsid w:val="009F3ADD"/>
    <w:rsid w:val="009F3F1F"/>
    <w:rsid w:val="009F4378"/>
    <w:rsid w:val="009F49AD"/>
    <w:rsid w:val="009F4AC4"/>
    <w:rsid w:val="009F4BB7"/>
    <w:rsid w:val="009F4CAB"/>
    <w:rsid w:val="009F4F16"/>
    <w:rsid w:val="009F549E"/>
    <w:rsid w:val="009F5883"/>
    <w:rsid w:val="009F5B1F"/>
    <w:rsid w:val="009F5CA5"/>
    <w:rsid w:val="009F5CB4"/>
    <w:rsid w:val="009F6337"/>
    <w:rsid w:val="009F683B"/>
    <w:rsid w:val="009F7D33"/>
    <w:rsid w:val="009F7EC0"/>
    <w:rsid w:val="009F7FBD"/>
    <w:rsid w:val="00A00A35"/>
    <w:rsid w:val="00A00CA4"/>
    <w:rsid w:val="00A014C5"/>
    <w:rsid w:val="00A016C4"/>
    <w:rsid w:val="00A01CCC"/>
    <w:rsid w:val="00A01DEF"/>
    <w:rsid w:val="00A0205B"/>
    <w:rsid w:val="00A02720"/>
    <w:rsid w:val="00A02F30"/>
    <w:rsid w:val="00A035F0"/>
    <w:rsid w:val="00A0379D"/>
    <w:rsid w:val="00A039B3"/>
    <w:rsid w:val="00A03DAF"/>
    <w:rsid w:val="00A03EE3"/>
    <w:rsid w:val="00A04393"/>
    <w:rsid w:val="00A0488E"/>
    <w:rsid w:val="00A04A17"/>
    <w:rsid w:val="00A04B77"/>
    <w:rsid w:val="00A06009"/>
    <w:rsid w:val="00A0630A"/>
    <w:rsid w:val="00A06AF3"/>
    <w:rsid w:val="00A06E50"/>
    <w:rsid w:val="00A06F08"/>
    <w:rsid w:val="00A0718D"/>
    <w:rsid w:val="00A075A3"/>
    <w:rsid w:val="00A0763A"/>
    <w:rsid w:val="00A07672"/>
    <w:rsid w:val="00A07812"/>
    <w:rsid w:val="00A07996"/>
    <w:rsid w:val="00A07A60"/>
    <w:rsid w:val="00A07D41"/>
    <w:rsid w:val="00A07E97"/>
    <w:rsid w:val="00A105F6"/>
    <w:rsid w:val="00A10606"/>
    <w:rsid w:val="00A112ED"/>
    <w:rsid w:val="00A11322"/>
    <w:rsid w:val="00A115C9"/>
    <w:rsid w:val="00A118B3"/>
    <w:rsid w:val="00A11935"/>
    <w:rsid w:val="00A11E30"/>
    <w:rsid w:val="00A12150"/>
    <w:rsid w:val="00A13713"/>
    <w:rsid w:val="00A13A3D"/>
    <w:rsid w:val="00A14546"/>
    <w:rsid w:val="00A14714"/>
    <w:rsid w:val="00A15618"/>
    <w:rsid w:val="00A15AAE"/>
    <w:rsid w:val="00A15B89"/>
    <w:rsid w:val="00A15BC2"/>
    <w:rsid w:val="00A15BE9"/>
    <w:rsid w:val="00A16BAC"/>
    <w:rsid w:val="00A171F4"/>
    <w:rsid w:val="00A17311"/>
    <w:rsid w:val="00A1775F"/>
    <w:rsid w:val="00A17F86"/>
    <w:rsid w:val="00A20F4A"/>
    <w:rsid w:val="00A20F6E"/>
    <w:rsid w:val="00A21181"/>
    <w:rsid w:val="00A2173F"/>
    <w:rsid w:val="00A217A7"/>
    <w:rsid w:val="00A217BF"/>
    <w:rsid w:val="00A21BF3"/>
    <w:rsid w:val="00A221D4"/>
    <w:rsid w:val="00A222F6"/>
    <w:rsid w:val="00A2258A"/>
    <w:rsid w:val="00A22721"/>
    <w:rsid w:val="00A22A7E"/>
    <w:rsid w:val="00A22C09"/>
    <w:rsid w:val="00A22C2E"/>
    <w:rsid w:val="00A22FAA"/>
    <w:rsid w:val="00A23081"/>
    <w:rsid w:val="00A23119"/>
    <w:rsid w:val="00A236B5"/>
    <w:rsid w:val="00A23789"/>
    <w:rsid w:val="00A24259"/>
    <w:rsid w:val="00A251ED"/>
    <w:rsid w:val="00A25203"/>
    <w:rsid w:val="00A25A7B"/>
    <w:rsid w:val="00A269AE"/>
    <w:rsid w:val="00A269E9"/>
    <w:rsid w:val="00A26A3E"/>
    <w:rsid w:val="00A26AE0"/>
    <w:rsid w:val="00A26C03"/>
    <w:rsid w:val="00A26EED"/>
    <w:rsid w:val="00A27039"/>
    <w:rsid w:val="00A276D6"/>
    <w:rsid w:val="00A300D6"/>
    <w:rsid w:val="00A307C8"/>
    <w:rsid w:val="00A30962"/>
    <w:rsid w:val="00A30A6F"/>
    <w:rsid w:val="00A30D0A"/>
    <w:rsid w:val="00A30D30"/>
    <w:rsid w:val="00A30DED"/>
    <w:rsid w:val="00A30EF0"/>
    <w:rsid w:val="00A311BF"/>
    <w:rsid w:val="00A312D4"/>
    <w:rsid w:val="00A31C53"/>
    <w:rsid w:val="00A31CA3"/>
    <w:rsid w:val="00A31D48"/>
    <w:rsid w:val="00A321B7"/>
    <w:rsid w:val="00A324F5"/>
    <w:rsid w:val="00A32874"/>
    <w:rsid w:val="00A328E3"/>
    <w:rsid w:val="00A32E5C"/>
    <w:rsid w:val="00A32F63"/>
    <w:rsid w:val="00A330FC"/>
    <w:rsid w:val="00A33760"/>
    <w:rsid w:val="00A33900"/>
    <w:rsid w:val="00A33EA8"/>
    <w:rsid w:val="00A33F04"/>
    <w:rsid w:val="00A341DA"/>
    <w:rsid w:val="00A349DF"/>
    <w:rsid w:val="00A34A3E"/>
    <w:rsid w:val="00A34AA3"/>
    <w:rsid w:val="00A34CBB"/>
    <w:rsid w:val="00A3506B"/>
    <w:rsid w:val="00A3533A"/>
    <w:rsid w:val="00A3574B"/>
    <w:rsid w:val="00A35811"/>
    <w:rsid w:val="00A35A77"/>
    <w:rsid w:val="00A35E52"/>
    <w:rsid w:val="00A35E60"/>
    <w:rsid w:val="00A3635C"/>
    <w:rsid w:val="00A3641C"/>
    <w:rsid w:val="00A36666"/>
    <w:rsid w:val="00A36FB7"/>
    <w:rsid w:val="00A36FBC"/>
    <w:rsid w:val="00A3705E"/>
    <w:rsid w:val="00A37128"/>
    <w:rsid w:val="00A3715C"/>
    <w:rsid w:val="00A37979"/>
    <w:rsid w:val="00A4058C"/>
    <w:rsid w:val="00A40C6A"/>
    <w:rsid w:val="00A41042"/>
    <w:rsid w:val="00A411F1"/>
    <w:rsid w:val="00A41631"/>
    <w:rsid w:val="00A417DB"/>
    <w:rsid w:val="00A4209B"/>
    <w:rsid w:val="00A42A87"/>
    <w:rsid w:val="00A42FB4"/>
    <w:rsid w:val="00A4305B"/>
    <w:rsid w:val="00A43289"/>
    <w:rsid w:val="00A436F5"/>
    <w:rsid w:val="00A4411C"/>
    <w:rsid w:val="00A44366"/>
    <w:rsid w:val="00A44426"/>
    <w:rsid w:val="00A4457D"/>
    <w:rsid w:val="00A445BD"/>
    <w:rsid w:val="00A4465C"/>
    <w:rsid w:val="00A44821"/>
    <w:rsid w:val="00A44888"/>
    <w:rsid w:val="00A44A69"/>
    <w:rsid w:val="00A44E54"/>
    <w:rsid w:val="00A44FF1"/>
    <w:rsid w:val="00A454BF"/>
    <w:rsid w:val="00A45614"/>
    <w:rsid w:val="00A457D7"/>
    <w:rsid w:val="00A45D8B"/>
    <w:rsid w:val="00A469FF"/>
    <w:rsid w:val="00A46AE0"/>
    <w:rsid w:val="00A46BAE"/>
    <w:rsid w:val="00A46FA6"/>
    <w:rsid w:val="00A478F5"/>
    <w:rsid w:val="00A5026B"/>
    <w:rsid w:val="00A5042B"/>
    <w:rsid w:val="00A504C3"/>
    <w:rsid w:val="00A505ED"/>
    <w:rsid w:val="00A50924"/>
    <w:rsid w:val="00A50A41"/>
    <w:rsid w:val="00A50F55"/>
    <w:rsid w:val="00A50FFA"/>
    <w:rsid w:val="00A5130E"/>
    <w:rsid w:val="00A51995"/>
    <w:rsid w:val="00A51A34"/>
    <w:rsid w:val="00A5201B"/>
    <w:rsid w:val="00A526B7"/>
    <w:rsid w:val="00A52826"/>
    <w:rsid w:val="00A52839"/>
    <w:rsid w:val="00A52AB1"/>
    <w:rsid w:val="00A52B85"/>
    <w:rsid w:val="00A52F36"/>
    <w:rsid w:val="00A5373E"/>
    <w:rsid w:val="00A53819"/>
    <w:rsid w:val="00A53E76"/>
    <w:rsid w:val="00A540E6"/>
    <w:rsid w:val="00A5479F"/>
    <w:rsid w:val="00A54974"/>
    <w:rsid w:val="00A549A5"/>
    <w:rsid w:val="00A551D4"/>
    <w:rsid w:val="00A55255"/>
    <w:rsid w:val="00A55256"/>
    <w:rsid w:val="00A555BA"/>
    <w:rsid w:val="00A55779"/>
    <w:rsid w:val="00A55A30"/>
    <w:rsid w:val="00A55E4D"/>
    <w:rsid w:val="00A55FC1"/>
    <w:rsid w:val="00A56360"/>
    <w:rsid w:val="00A56D02"/>
    <w:rsid w:val="00A56F9A"/>
    <w:rsid w:val="00A57056"/>
    <w:rsid w:val="00A57E10"/>
    <w:rsid w:val="00A605CD"/>
    <w:rsid w:val="00A60800"/>
    <w:rsid w:val="00A61097"/>
    <w:rsid w:val="00A61338"/>
    <w:rsid w:val="00A613A2"/>
    <w:rsid w:val="00A61869"/>
    <w:rsid w:val="00A61C54"/>
    <w:rsid w:val="00A61C5D"/>
    <w:rsid w:val="00A61F67"/>
    <w:rsid w:val="00A6242C"/>
    <w:rsid w:val="00A624F6"/>
    <w:rsid w:val="00A62E8C"/>
    <w:rsid w:val="00A63915"/>
    <w:rsid w:val="00A63C1A"/>
    <w:rsid w:val="00A63C5E"/>
    <w:rsid w:val="00A63CD1"/>
    <w:rsid w:val="00A63D4B"/>
    <w:rsid w:val="00A63D70"/>
    <w:rsid w:val="00A6445A"/>
    <w:rsid w:val="00A64D5A"/>
    <w:rsid w:val="00A654F0"/>
    <w:rsid w:val="00A657E5"/>
    <w:rsid w:val="00A66195"/>
    <w:rsid w:val="00A66E90"/>
    <w:rsid w:val="00A66E9D"/>
    <w:rsid w:val="00A670FE"/>
    <w:rsid w:val="00A67172"/>
    <w:rsid w:val="00A673DA"/>
    <w:rsid w:val="00A676D2"/>
    <w:rsid w:val="00A67C1F"/>
    <w:rsid w:val="00A701C3"/>
    <w:rsid w:val="00A702A1"/>
    <w:rsid w:val="00A70B42"/>
    <w:rsid w:val="00A712A5"/>
    <w:rsid w:val="00A7177C"/>
    <w:rsid w:val="00A71AFD"/>
    <w:rsid w:val="00A71BF5"/>
    <w:rsid w:val="00A71E2D"/>
    <w:rsid w:val="00A720BC"/>
    <w:rsid w:val="00A72788"/>
    <w:rsid w:val="00A7285D"/>
    <w:rsid w:val="00A72BB9"/>
    <w:rsid w:val="00A73955"/>
    <w:rsid w:val="00A739C8"/>
    <w:rsid w:val="00A73BB8"/>
    <w:rsid w:val="00A73C69"/>
    <w:rsid w:val="00A73C8C"/>
    <w:rsid w:val="00A73F14"/>
    <w:rsid w:val="00A74046"/>
    <w:rsid w:val="00A7413E"/>
    <w:rsid w:val="00A74251"/>
    <w:rsid w:val="00A746F8"/>
    <w:rsid w:val="00A750FE"/>
    <w:rsid w:val="00A7543F"/>
    <w:rsid w:val="00A7552D"/>
    <w:rsid w:val="00A75611"/>
    <w:rsid w:val="00A7596E"/>
    <w:rsid w:val="00A75AC0"/>
    <w:rsid w:val="00A75AF0"/>
    <w:rsid w:val="00A75B33"/>
    <w:rsid w:val="00A75EF0"/>
    <w:rsid w:val="00A76AC0"/>
    <w:rsid w:val="00A774FF"/>
    <w:rsid w:val="00A7788E"/>
    <w:rsid w:val="00A77D5B"/>
    <w:rsid w:val="00A77FCB"/>
    <w:rsid w:val="00A805BD"/>
    <w:rsid w:val="00A805CA"/>
    <w:rsid w:val="00A805E8"/>
    <w:rsid w:val="00A80794"/>
    <w:rsid w:val="00A80F7D"/>
    <w:rsid w:val="00A8113A"/>
    <w:rsid w:val="00A81A6A"/>
    <w:rsid w:val="00A829AC"/>
    <w:rsid w:val="00A832CE"/>
    <w:rsid w:val="00A83354"/>
    <w:rsid w:val="00A83617"/>
    <w:rsid w:val="00A83D55"/>
    <w:rsid w:val="00A83E89"/>
    <w:rsid w:val="00A840F5"/>
    <w:rsid w:val="00A849D6"/>
    <w:rsid w:val="00A84A04"/>
    <w:rsid w:val="00A850FA"/>
    <w:rsid w:val="00A859CA"/>
    <w:rsid w:val="00A85CB5"/>
    <w:rsid w:val="00A86071"/>
    <w:rsid w:val="00A86400"/>
    <w:rsid w:val="00A8683E"/>
    <w:rsid w:val="00A86C53"/>
    <w:rsid w:val="00A86E06"/>
    <w:rsid w:val="00A86E8B"/>
    <w:rsid w:val="00A8721B"/>
    <w:rsid w:val="00A87526"/>
    <w:rsid w:val="00A87553"/>
    <w:rsid w:val="00A87612"/>
    <w:rsid w:val="00A87DCF"/>
    <w:rsid w:val="00A9020E"/>
    <w:rsid w:val="00A90280"/>
    <w:rsid w:val="00A9062B"/>
    <w:rsid w:val="00A90A29"/>
    <w:rsid w:val="00A90B60"/>
    <w:rsid w:val="00A9155E"/>
    <w:rsid w:val="00A91634"/>
    <w:rsid w:val="00A91744"/>
    <w:rsid w:val="00A92550"/>
    <w:rsid w:val="00A92699"/>
    <w:rsid w:val="00A929E9"/>
    <w:rsid w:val="00A92F9E"/>
    <w:rsid w:val="00A930EF"/>
    <w:rsid w:val="00A93138"/>
    <w:rsid w:val="00A93265"/>
    <w:rsid w:val="00A93446"/>
    <w:rsid w:val="00A93A55"/>
    <w:rsid w:val="00A93FCE"/>
    <w:rsid w:val="00A9418A"/>
    <w:rsid w:val="00A9461E"/>
    <w:rsid w:val="00A94C52"/>
    <w:rsid w:val="00A95B31"/>
    <w:rsid w:val="00A96107"/>
    <w:rsid w:val="00A96DB9"/>
    <w:rsid w:val="00A9729E"/>
    <w:rsid w:val="00A97F98"/>
    <w:rsid w:val="00AA1052"/>
    <w:rsid w:val="00AA1166"/>
    <w:rsid w:val="00AA1210"/>
    <w:rsid w:val="00AA142C"/>
    <w:rsid w:val="00AA1D68"/>
    <w:rsid w:val="00AA1D95"/>
    <w:rsid w:val="00AA20E7"/>
    <w:rsid w:val="00AA2218"/>
    <w:rsid w:val="00AA234D"/>
    <w:rsid w:val="00AA2562"/>
    <w:rsid w:val="00AA2DAD"/>
    <w:rsid w:val="00AA3202"/>
    <w:rsid w:val="00AA3281"/>
    <w:rsid w:val="00AA33EA"/>
    <w:rsid w:val="00AA35A8"/>
    <w:rsid w:val="00AA370B"/>
    <w:rsid w:val="00AA3822"/>
    <w:rsid w:val="00AA3D44"/>
    <w:rsid w:val="00AA46EE"/>
    <w:rsid w:val="00AA4804"/>
    <w:rsid w:val="00AA4995"/>
    <w:rsid w:val="00AA4D80"/>
    <w:rsid w:val="00AA5AA7"/>
    <w:rsid w:val="00AA5C83"/>
    <w:rsid w:val="00AA5DDE"/>
    <w:rsid w:val="00AA72BC"/>
    <w:rsid w:val="00AA76A1"/>
    <w:rsid w:val="00AA77A2"/>
    <w:rsid w:val="00AA7B1F"/>
    <w:rsid w:val="00AB0403"/>
    <w:rsid w:val="00AB051E"/>
    <w:rsid w:val="00AB05FF"/>
    <w:rsid w:val="00AB0A44"/>
    <w:rsid w:val="00AB1034"/>
    <w:rsid w:val="00AB1368"/>
    <w:rsid w:val="00AB13F8"/>
    <w:rsid w:val="00AB1413"/>
    <w:rsid w:val="00AB148E"/>
    <w:rsid w:val="00AB23DE"/>
    <w:rsid w:val="00AB249F"/>
    <w:rsid w:val="00AB273F"/>
    <w:rsid w:val="00AB2B82"/>
    <w:rsid w:val="00AB2F1A"/>
    <w:rsid w:val="00AB2F9E"/>
    <w:rsid w:val="00AB3532"/>
    <w:rsid w:val="00AB3602"/>
    <w:rsid w:val="00AB4333"/>
    <w:rsid w:val="00AB4995"/>
    <w:rsid w:val="00AB4E20"/>
    <w:rsid w:val="00AB5064"/>
    <w:rsid w:val="00AB553D"/>
    <w:rsid w:val="00AB5EE6"/>
    <w:rsid w:val="00AB5F05"/>
    <w:rsid w:val="00AB6372"/>
    <w:rsid w:val="00AB6E05"/>
    <w:rsid w:val="00AB7321"/>
    <w:rsid w:val="00AB757E"/>
    <w:rsid w:val="00AB75D5"/>
    <w:rsid w:val="00AB7A83"/>
    <w:rsid w:val="00AC04B8"/>
    <w:rsid w:val="00AC0EED"/>
    <w:rsid w:val="00AC10C1"/>
    <w:rsid w:val="00AC1547"/>
    <w:rsid w:val="00AC2330"/>
    <w:rsid w:val="00AC256C"/>
    <w:rsid w:val="00AC26C3"/>
    <w:rsid w:val="00AC378E"/>
    <w:rsid w:val="00AC37C9"/>
    <w:rsid w:val="00AC3987"/>
    <w:rsid w:val="00AC3A57"/>
    <w:rsid w:val="00AC3B3D"/>
    <w:rsid w:val="00AC4881"/>
    <w:rsid w:val="00AC5085"/>
    <w:rsid w:val="00AC5562"/>
    <w:rsid w:val="00AC5A11"/>
    <w:rsid w:val="00AC6A42"/>
    <w:rsid w:val="00AC6A4A"/>
    <w:rsid w:val="00AC6A51"/>
    <w:rsid w:val="00AC6B97"/>
    <w:rsid w:val="00AC6FC4"/>
    <w:rsid w:val="00AC751D"/>
    <w:rsid w:val="00AC7BB5"/>
    <w:rsid w:val="00AC7BFA"/>
    <w:rsid w:val="00AC7D78"/>
    <w:rsid w:val="00AC7F7A"/>
    <w:rsid w:val="00AD0174"/>
    <w:rsid w:val="00AD0233"/>
    <w:rsid w:val="00AD0244"/>
    <w:rsid w:val="00AD04B4"/>
    <w:rsid w:val="00AD0654"/>
    <w:rsid w:val="00AD0782"/>
    <w:rsid w:val="00AD0976"/>
    <w:rsid w:val="00AD0F8D"/>
    <w:rsid w:val="00AD1148"/>
    <w:rsid w:val="00AD145C"/>
    <w:rsid w:val="00AD1488"/>
    <w:rsid w:val="00AD1831"/>
    <w:rsid w:val="00AD1840"/>
    <w:rsid w:val="00AD1EB8"/>
    <w:rsid w:val="00AD211B"/>
    <w:rsid w:val="00AD229E"/>
    <w:rsid w:val="00AD235B"/>
    <w:rsid w:val="00AD2572"/>
    <w:rsid w:val="00AD3092"/>
    <w:rsid w:val="00AD3603"/>
    <w:rsid w:val="00AD3BCA"/>
    <w:rsid w:val="00AD42A2"/>
    <w:rsid w:val="00AD46C4"/>
    <w:rsid w:val="00AD4E8D"/>
    <w:rsid w:val="00AD4EF8"/>
    <w:rsid w:val="00AD50B0"/>
    <w:rsid w:val="00AD5327"/>
    <w:rsid w:val="00AD58C2"/>
    <w:rsid w:val="00AD5E49"/>
    <w:rsid w:val="00AD6107"/>
    <w:rsid w:val="00AD624F"/>
    <w:rsid w:val="00AD6724"/>
    <w:rsid w:val="00AD68D0"/>
    <w:rsid w:val="00AD6CDD"/>
    <w:rsid w:val="00AD7693"/>
    <w:rsid w:val="00AD7A2A"/>
    <w:rsid w:val="00AD7C0F"/>
    <w:rsid w:val="00AE0015"/>
    <w:rsid w:val="00AE0906"/>
    <w:rsid w:val="00AE0EE9"/>
    <w:rsid w:val="00AE127C"/>
    <w:rsid w:val="00AE12D8"/>
    <w:rsid w:val="00AE17E4"/>
    <w:rsid w:val="00AE1ADA"/>
    <w:rsid w:val="00AE1B12"/>
    <w:rsid w:val="00AE1FC3"/>
    <w:rsid w:val="00AE28AB"/>
    <w:rsid w:val="00AE2BD9"/>
    <w:rsid w:val="00AE3A62"/>
    <w:rsid w:val="00AE404E"/>
    <w:rsid w:val="00AE4106"/>
    <w:rsid w:val="00AE41F3"/>
    <w:rsid w:val="00AE46C9"/>
    <w:rsid w:val="00AE485A"/>
    <w:rsid w:val="00AE495D"/>
    <w:rsid w:val="00AE49F7"/>
    <w:rsid w:val="00AE4AE9"/>
    <w:rsid w:val="00AE5C45"/>
    <w:rsid w:val="00AE5D37"/>
    <w:rsid w:val="00AE5F77"/>
    <w:rsid w:val="00AE60AD"/>
    <w:rsid w:val="00AE61C1"/>
    <w:rsid w:val="00AE6519"/>
    <w:rsid w:val="00AE6FBF"/>
    <w:rsid w:val="00AE7CB5"/>
    <w:rsid w:val="00AF02A4"/>
    <w:rsid w:val="00AF0750"/>
    <w:rsid w:val="00AF07EB"/>
    <w:rsid w:val="00AF1921"/>
    <w:rsid w:val="00AF1B86"/>
    <w:rsid w:val="00AF1F18"/>
    <w:rsid w:val="00AF23FE"/>
    <w:rsid w:val="00AF28A0"/>
    <w:rsid w:val="00AF29AB"/>
    <w:rsid w:val="00AF2E16"/>
    <w:rsid w:val="00AF2FC6"/>
    <w:rsid w:val="00AF36FC"/>
    <w:rsid w:val="00AF3C70"/>
    <w:rsid w:val="00AF3D98"/>
    <w:rsid w:val="00AF41C5"/>
    <w:rsid w:val="00AF434C"/>
    <w:rsid w:val="00AF438A"/>
    <w:rsid w:val="00AF4646"/>
    <w:rsid w:val="00AF470B"/>
    <w:rsid w:val="00AF4B98"/>
    <w:rsid w:val="00AF4D08"/>
    <w:rsid w:val="00AF5A76"/>
    <w:rsid w:val="00AF5D67"/>
    <w:rsid w:val="00AF5FBB"/>
    <w:rsid w:val="00AF6B0B"/>
    <w:rsid w:val="00AF6FF4"/>
    <w:rsid w:val="00AF74BB"/>
    <w:rsid w:val="00AF794D"/>
    <w:rsid w:val="00AF79A7"/>
    <w:rsid w:val="00B00198"/>
    <w:rsid w:val="00B00258"/>
    <w:rsid w:val="00B00AD9"/>
    <w:rsid w:val="00B0122D"/>
    <w:rsid w:val="00B0174C"/>
    <w:rsid w:val="00B020D6"/>
    <w:rsid w:val="00B02256"/>
    <w:rsid w:val="00B0255C"/>
    <w:rsid w:val="00B0323F"/>
    <w:rsid w:val="00B03982"/>
    <w:rsid w:val="00B04967"/>
    <w:rsid w:val="00B04B31"/>
    <w:rsid w:val="00B05718"/>
    <w:rsid w:val="00B05B91"/>
    <w:rsid w:val="00B05E9D"/>
    <w:rsid w:val="00B061A3"/>
    <w:rsid w:val="00B06719"/>
    <w:rsid w:val="00B0685E"/>
    <w:rsid w:val="00B06AD4"/>
    <w:rsid w:val="00B07168"/>
    <w:rsid w:val="00B071B3"/>
    <w:rsid w:val="00B078FE"/>
    <w:rsid w:val="00B07D0A"/>
    <w:rsid w:val="00B10416"/>
    <w:rsid w:val="00B10607"/>
    <w:rsid w:val="00B10810"/>
    <w:rsid w:val="00B1084E"/>
    <w:rsid w:val="00B10C51"/>
    <w:rsid w:val="00B11123"/>
    <w:rsid w:val="00B112DC"/>
    <w:rsid w:val="00B11602"/>
    <w:rsid w:val="00B1196E"/>
    <w:rsid w:val="00B119D2"/>
    <w:rsid w:val="00B11E9B"/>
    <w:rsid w:val="00B11F54"/>
    <w:rsid w:val="00B11F8A"/>
    <w:rsid w:val="00B12347"/>
    <w:rsid w:val="00B125C2"/>
    <w:rsid w:val="00B12656"/>
    <w:rsid w:val="00B12BCB"/>
    <w:rsid w:val="00B12E54"/>
    <w:rsid w:val="00B13785"/>
    <w:rsid w:val="00B13C02"/>
    <w:rsid w:val="00B13EAD"/>
    <w:rsid w:val="00B13F8E"/>
    <w:rsid w:val="00B14070"/>
    <w:rsid w:val="00B14FDA"/>
    <w:rsid w:val="00B15410"/>
    <w:rsid w:val="00B155FE"/>
    <w:rsid w:val="00B15925"/>
    <w:rsid w:val="00B15D6E"/>
    <w:rsid w:val="00B161D5"/>
    <w:rsid w:val="00B164DF"/>
    <w:rsid w:val="00B16550"/>
    <w:rsid w:val="00B1674C"/>
    <w:rsid w:val="00B16894"/>
    <w:rsid w:val="00B168A0"/>
    <w:rsid w:val="00B16B7F"/>
    <w:rsid w:val="00B17749"/>
    <w:rsid w:val="00B17C1D"/>
    <w:rsid w:val="00B20016"/>
    <w:rsid w:val="00B20605"/>
    <w:rsid w:val="00B2084A"/>
    <w:rsid w:val="00B208C5"/>
    <w:rsid w:val="00B20A9B"/>
    <w:rsid w:val="00B20B2C"/>
    <w:rsid w:val="00B20BD1"/>
    <w:rsid w:val="00B21990"/>
    <w:rsid w:val="00B21A50"/>
    <w:rsid w:val="00B220A6"/>
    <w:rsid w:val="00B22856"/>
    <w:rsid w:val="00B22ACE"/>
    <w:rsid w:val="00B23487"/>
    <w:rsid w:val="00B23800"/>
    <w:rsid w:val="00B23A1A"/>
    <w:rsid w:val="00B23CD2"/>
    <w:rsid w:val="00B2427D"/>
    <w:rsid w:val="00B24318"/>
    <w:rsid w:val="00B248B3"/>
    <w:rsid w:val="00B24AD7"/>
    <w:rsid w:val="00B25163"/>
    <w:rsid w:val="00B2525C"/>
    <w:rsid w:val="00B25627"/>
    <w:rsid w:val="00B25F0A"/>
    <w:rsid w:val="00B26140"/>
    <w:rsid w:val="00B266F1"/>
    <w:rsid w:val="00B26836"/>
    <w:rsid w:val="00B26974"/>
    <w:rsid w:val="00B26CBA"/>
    <w:rsid w:val="00B26D6A"/>
    <w:rsid w:val="00B271A0"/>
    <w:rsid w:val="00B275AC"/>
    <w:rsid w:val="00B27D02"/>
    <w:rsid w:val="00B3006B"/>
    <w:rsid w:val="00B30249"/>
    <w:rsid w:val="00B3059F"/>
    <w:rsid w:val="00B314CE"/>
    <w:rsid w:val="00B3173A"/>
    <w:rsid w:val="00B3180F"/>
    <w:rsid w:val="00B31954"/>
    <w:rsid w:val="00B31D9F"/>
    <w:rsid w:val="00B3258F"/>
    <w:rsid w:val="00B328FD"/>
    <w:rsid w:val="00B32D4F"/>
    <w:rsid w:val="00B3343E"/>
    <w:rsid w:val="00B33454"/>
    <w:rsid w:val="00B3375E"/>
    <w:rsid w:val="00B33AE6"/>
    <w:rsid w:val="00B3429E"/>
    <w:rsid w:val="00B34789"/>
    <w:rsid w:val="00B3506E"/>
    <w:rsid w:val="00B352E2"/>
    <w:rsid w:val="00B36BC1"/>
    <w:rsid w:val="00B36CF0"/>
    <w:rsid w:val="00B37109"/>
    <w:rsid w:val="00B3787C"/>
    <w:rsid w:val="00B37C71"/>
    <w:rsid w:val="00B37CC4"/>
    <w:rsid w:val="00B401D1"/>
    <w:rsid w:val="00B402E5"/>
    <w:rsid w:val="00B409B9"/>
    <w:rsid w:val="00B40D35"/>
    <w:rsid w:val="00B4142C"/>
    <w:rsid w:val="00B415CA"/>
    <w:rsid w:val="00B42888"/>
    <w:rsid w:val="00B42F88"/>
    <w:rsid w:val="00B4330E"/>
    <w:rsid w:val="00B43CB0"/>
    <w:rsid w:val="00B43DC0"/>
    <w:rsid w:val="00B4434F"/>
    <w:rsid w:val="00B447C3"/>
    <w:rsid w:val="00B44837"/>
    <w:rsid w:val="00B44BCF"/>
    <w:rsid w:val="00B44C2B"/>
    <w:rsid w:val="00B44DD1"/>
    <w:rsid w:val="00B45847"/>
    <w:rsid w:val="00B45C51"/>
    <w:rsid w:val="00B45DC3"/>
    <w:rsid w:val="00B45F28"/>
    <w:rsid w:val="00B46025"/>
    <w:rsid w:val="00B46205"/>
    <w:rsid w:val="00B4625C"/>
    <w:rsid w:val="00B462A6"/>
    <w:rsid w:val="00B468A0"/>
    <w:rsid w:val="00B469F5"/>
    <w:rsid w:val="00B46A6A"/>
    <w:rsid w:val="00B46AB7"/>
    <w:rsid w:val="00B47519"/>
    <w:rsid w:val="00B47859"/>
    <w:rsid w:val="00B4791A"/>
    <w:rsid w:val="00B47C94"/>
    <w:rsid w:val="00B47F8C"/>
    <w:rsid w:val="00B47F97"/>
    <w:rsid w:val="00B501C7"/>
    <w:rsid w:val="00B50488"/>
    <w:rsid w:val="00B5095B"/>
    <w:rsid w:val="00B509B7"/>
    <w:rsid w:val="00B51276"/>
    <w:rsid w:val="00B515D0"/>
    <w:rsid w:val="00B516C9"/>
    <w:rsid w:val="00B51D09"/>
    <w:rsid w:val="00B52755"/>
    <w:rsid w:val="00B52D25"/>
    <w:rsid w:val="00B53157"/>
    <w:rsid w:val="00B53388"/>
    <w:rsid w:val="00B535C5"/>
    <w:rsid w:val="00B53A55"/>
    <w:rsid w:val="00B53E4D"/>
    <w:rsid w:val="00B542AD"/>
    <w:rsid w:val="00B542C4"/>
    <w:rsid w:val="00B54552"/>
    <w:rsid w:val="00B5487A"/>
    <w:rsid w:val="00B54E40"/>
    <w:rsid w:val="00B55729"/>
    <w:rsid w:val="00B55938"/>
    <w:rsid w:val="00B55D86"/>
    <w:rsid w:val="00B56317"/>
    <w:rsid w:val="00B56E72"/>
    <w:rsid w:val="00B5751B"/>
    <w:rsid w:val="00B57737"/>
    <w:rsid w:val="00B57833"/>
    <w:rsid w:val="00B60158"/>
    <w:rsid w:val="00B60679"/>
    <w:rsid w:val="00B606F0"/>
    <w:rsid w:val="00B60734"/>
    <w:rsid w:val="00B608FC"/>
    <w:rsid w:val="00B609AD"/>
    <w:rsid w:val="00B612F3"/>
    <w:rsid w:val="00B61C45"/>
    <w:rsid w:val="00B61E30"/>
    <w:rsid w:val="00B62318"/>
    <w:rsid w:val="00B6264C"/>
    <w:rsid w:val="00B63024"/>
    <w:rsid w:val="00B636EB"/>
    <w:rsid w:val="00B64932"/>
    <w:rsid w:val="00B656B7"/>
    <w:rsid w:val="00B656E1"/>
    <w:rsid w:val="00B657F4"/>
    <w:rsid w:val="00B65C65"/>
    <w:rsid w:val="00B65FE8"/>
    <w:rsid w:val="00B66041"/>
    <w:rsid w:val="00B663CE"/>
    <w:rsid w:val="00B668F0"/>
    <w:rsid w:val="00B669B9"/>
    <w:rsid w:val="00B66A88"/>
    <w:rsid w:val="00B66FA8"/>
    <w:rsid w:val="00B66FE2"/>
    <w:rsid w:val="00B672DC"/>
    <w:rsid w:val="00B67E2A"/>
    <w:rsid w:val="00B67EB0"/>
    <w:rsid w:val="00B67F28"/>
    <w:rsid w:val="00B70653"/>
    <w:rsid w:val="00B71078"/>
    <w:rsid w:val="00B71566"/>
    <w:rsid w:val="00B721CA"/>
    <w:rsid w:val="00B72AFF"/>
    <w:rsid w:val="00B72CF2"/>
    <w:rsid w:val="00B73315"/>
    <w:rsid w:val="00B73364"/>
    <w:rsid w:val="00B73587"/>
    <w:rsid w:val="00B7373B"/>
    <w:rsid w:val="00B73908"/>
    <w:rsid w:val="00B73AD4"/>
    <w:rsid w:val="00B74420"/>
    <w:rsid w:val="00B74A9A"/>
    <w:rsid w:val="00B74C4E"/>
    <w:rsid w:val="00B74CEC"/>
    <w:rsid w:val="00B75045"/>
    <w:rsid w:val="00B752DE"/>
    <w:rsid w:val="00B75442"/>
    <w:rsid w:val="00B754E9"/>
    <w:rsid w:val="00B758E4"/>
    <w:rsid w:val="00B7602C"/>
    <w:rsid w:val="00B76154"/>
    <w:rsid w:val="00B76387"/>
    <w:rsid w:val="00B76C1F"/>
    <w:rsid w:val="00B76D21"/>
    <w:rsid w:val="00B77683"/>
    <w:rsid w:val="00B777A1"/>
    <w:rsid w:val="00B77A3F"/>
    <w:rsid w:val="00B77BB7"/>
    <w:rsid w:val="00B77E30"/>
    <w:rsid w:val="00B77EB0"/>
    <w:rsid w:val="00B77EC3"/>
    <w:rsid w:val="00B8014F"/>
    <w:rsid w:val="00B803FF"/>
    <w:rsid w:val="00B80914"/>
    <w:rsid w:val="00B81F35"/>
    <w:rsid w:val="00B81F5F"/>
    <w:rsid w:val="00B82316"/>
    <w:rsid w:val="00B823C6"/>
    <w:rsid w:val="00B826A2"/>
    <w:rsid w:val="00B82DB0"/>
    <w:rsid w:val="00B82F12"/>
    <w:rsid w:val="00B82F38"/>
    <w:rsid w:val="00B8338C"/>
    <w:rsid w:val="00B835EB"/>
    <w:rsid w:val="00B83AA8"/>
    <w:rsid w:val="00B85516"/>
    <w:rsid w:val="00B85603"/>
    <w:rsid w:val="00B85D3E"/>
    <w:rsid w:val="00B85FEF"/>
    <w:rsid w:val="00B8651E"/>
    <w:rsid w:val="00B8688D"/>
    <w:rsid w:val="00B86D5F"/>
    <w:rsid w:val="00B874FB"/>
    <w:rsid w:val="00B87D16"/>
    <w:rsid w:val="00B87DA4"/>
    <w:rsid w:val="00B901A5"/>
    <w:rsid w:val="00B903C1"/>
    <w:rsid w:val="00B903D5"/>
    <w:rsid w:val="00B90467"/>
    <w:rsid w:val="00B90708"/>
    <w:rsid w:val="00B90CA0"/>
    <w:rsid w:val="00B91443"/>
    <w:rsid w:val="00B91573"/>
    <w:rsid w:val="00B9166E"/>
    <w:rsid w:val="00B91A90"/>
    <w:rsid w:val="00B91C0D"/>
    <w:rsid w:val="00B92062"/>
    <w:rsid w:val="00B929C8"/>
    <w:rsid w:val="00B92C9E"/>
    <w:rsid w:val="00B93E5B"/>
    <w:rsid w:val="00B9461D"/>
    <w:rsid w:val="00B94C23"/>
    <w:rsid w:val="00B94E07"/>
    <w:rsid w:val="00B951D7"/>
    <w:rsid w:val="00B9620D"/>
    <w:rsid w:val="00B96225"/>
    <w:rsid w:val="00B962BE"/>
    <w:rsid w:val="00B96304"/>
    <w:rsid w:val="00B96D24"/>
    <w:rsid w:val="00B97062"/>
    <w:rsid w:val="00B97120"/>
    <w:rsid w:val="00B97D61"/>
    <w:rsid w:val="00B97E18"/>
    <w:rsid w:val="00BA0455"/>
    <w:rsid w:val="00BA0473"/>
    <w:rsid w:val="00BA09D8"/>
    <w:rsid w:val="00BA0A0F"/>
    <w:rsid w:val="00BA0C18"/>
    <w:rsid w:val="00BA11C2"/>
    <w:rsid w:val="00BA1C24"/>
    <w:rsid w:val="00BA2496"/>
    <w:rsid w:val="00BA29BB"/>
    <w:rsid w:val="00BA321E"/>
    <w:rsid w:val="00BA354D"/>
    <w:rsid w:val="00BA3F20"/>
    <w:rsid w:val="00BA4210"/>
    <w:rsid w:val="00BA4244"/>
    <w:rsid w:val="00BA4311"/>
    <w:rsid w:val="00BA4394"/>
    <w:rsid w:val="00BA4B04"/>
    <w:rsid w:val="00BA53EA"/>
    <w:rsid w:val="00BA5508"/>
    <w:rsid w:val="00BA57B0"/>
    <w:rsid w:val="00BA5EAC"/>
    <w:rsid w:val="00BA60EE"/>
    <w:rsid w:val="00BA6947"/>
    <w:rsid w:val="00BA6DC7"/>
    <w:rsid w:val="00BA6DD3"/>
    <w:rsid w:val="00BA7480"/>
    <w:rsid w:val="00BA7BE1"/>
    <w:rsid w:val="00BA7F16"/>
    <w:rsid w:val="00BA7F3A"/>
    <w:rsid w:val="00BB0895"/>
    <w:rsid w:val="00BB13E9"/>
    <w:rsid w:val="00BB16B5"/>
    <w:rsid w:val="00BB18C0"/>
    <w:rsid w:val="00BB1A85"/>
    <w:rsid w:val="00BB1B69"/>
    <w:rsid w:val="00BB1C4A"/>
    <w:rsid w:val="00BB2229"/>
    <w:rsid w:val="00BB25BA"/>
    <w:rsid w:val="00BB25D2"/>
    <w:rsid w:val="00BB29DA"/>
    <w:rsid w:val="00BB3105"/>
    <w:rsid w:val="00BB317D"/>
    <w:rsid w:val="00BB32A2"/>
    <w:rsid w:val="00BB38AD"/>
    <w:rsid w:val="00BB3EA4"/>
    <w:rsid w:val="00BB410E"/>
    <w:rsid w:val="00BB42BF"/>
    <w:rsid w:val="00BB4823"/>
    <w:rsid w:val="00BB49F1"/>
    <w:rsid w:val="00BB4BB8"/>
    <w:rsid w:val="00BB4E53"/>
    <w:rsid w:val="00BB4EBE"/>
    <w:rsid w:val="00BB53B2"/>
    <w:rsid w:val="00BB5538"/>
    <w:rsid w:val="00BB6C2E"/>
    <w:rsid w:val="00BB78F6"/>
    <w:rsid w:val="00BC030D"/>
    <w:rsid w:val="00BC06BE"/>
    <w:rsid w:val="00BC12DC"/>
    <w:rsid w:val="00BC1B0A"/>
    <w:rsid w:val="00BC1D20"/>
    <w:rsid w:val="00BC2042"/>
    <w:rsid w:val="00BC264C"/>
    <w:rsid w:val="00BC28F7"/>
    <w:rsid w:val="00BC2B38"/>
    <w:rsid w:val="00BC2D4C"/>
    <w:rsid w:val="00BC340C"/>
    <w:rsid w:val="00BC34EC"/>
    <w:rsid w:val="00BC35C8"/>
    <w:rsid w:val="00BC3B3C"/>
    <w:rsid w:val="00BC3CD7"/>
    <w:rsid w:val="00BC3E14"/>
    <w:rsid w:val="00BC40F2"/>
    <w:rsid w:val="00BC44BF"/>
    <w:rsid w:val="00BC45AB"/>
    <w:rsid w:val="00BC4805"/>
    <w:rsid w:val="00BC4D25"/>
    <w:rsid w:val="00BC5022"/>
    <w:rsid w:val="00BC5689"/>
    <w:rsid w:val="00BC63D1"/>
    <w:rsid w:val="00BC6554"/>
    <w:rsid w:val="00BC6A0E"/>
    <w:rsid w:val="00BC6FC3"/>
    <w:rsid w:val="00BC702E"/>
    <w:rsid w:val="00BC71E6"/>
    <w:rsid w:val="00BC7C83"/>
    <w:rsid w:val="00BC7EB9"/>
    <w:rsid w:val="00BC7F47"/>
    <w:rsid w:val="00BD01B6"/>
    <w:rsid w:val="00BD01E0"/>
    <w:rsid w:val="00BD093E"/>
    <w:rsid w:val="00BD0A46"/>
    <w:rsid w:val="00BD0E68"/>
    <w:rsid w:val="00BD0F9D"/>
    <w:rsid w:val="00BD152F"/>
    <w:rsid w:val="00BD1B6A"/>
    <w:rsid w:val="00BD201E"/>
    <w:rsid w:val="00BD2121"/>
    <w:rsid w:val="00BD2140"/>
    <w:rsid w:val="00BD261C"/>
    <w:rsid w:val="00BD2C16"/>
    <w:rsid w:val="00BD2F94"/>
    <w:rsid w:val="00BD3078"/>
    <w:rsid w:val="00BD308E"/>
    <w:rsid w:val="00BD32F6"/>
    <w:rsid w:val="00BD3520"/>
    <w:rsid w:val="00BD3A60"/>
    <w:rsid w:val="00BD3CFE"/>
    <w:rsid w:val="00BD3DB5"/>
    <w:rsid w:val="00BD3DFD"/>
    <w:rsid w:val="00BD4C73"/>
    <w:rsid w:val="00BD54B5"/>
    <w:rsid w:val="00BD565F"/>
    <w:rsid w:val="00BD579E"/>
    <w:rsid w:val="00BD5827"/>
    <w:rsid w:val="00BD5B31"/>
    <w:rsid w:val="00BD5DE7"/>
    <w:rsid w:val="00BD6019"/>
    <w:rsid w:val="00BD6036"/>
    <w:rsid w:val="00BD6435"/>
    <w:rsid w:val="00BD6490"/>
    <w:rsid w:val="00BD65DC"/>
    <w:rsid w:val="00BD686E"/>
    <w:rsid w:val="00BD6F0B"/>
    <w:rsid w:val="00BD70FF"/>
    <w:rsid w:val="00BD72A5"/>
    <w:rsid w:val="00BD77D1"/>
    <w:rsid w:val="00BD7880"/>
    <w:rsid w:val="00BD7A29"/>
    <w:rsid w:val="00BE0039"/>
    <w:rsid w:val="00BE03A4"/>
    <w:rsid w:val="00BE08CC"/>
    <w:rsid w:val="00BE09D1"/>
    <w:rsid w:val="00BE1160"/>
    <w:rsid w:val="00BE1C6F"/>
    <w:rsid w:val="00BE2365"/>
    <w:rsid w:val="00BE2466"/>
    <w:rsid w:val="00BE2783"/>
    <w:rsid w:val="00BE2854"/>
    <w:rsid w:val="00BE29BE"/>
    <w:rsid w:val="00BE2CA1"/>
    <w:rsid w:val="00BE32D4"/>
    <w:rsid w:val="00BE3AA2"/>
    <w:rsid w:val="00BE4177"/>
    <w:rsid w:val="00BE44C2"/>
    <w:rsid w:val="00BE483F"/>
    <w:rsid w:val="00BE4B0C"/>
    <w:rsid w:val="00BE6824"/>
    <w:rsid w:val="00BE6AC2"/>
    <w:rsid w:val="00BE6AF1"/>
    <w:rsid w:val="00BF027A"/>
    <w:rsid w:val="00BF0810"/>
    <w:rsid w:val="00BF0AE3"/>
    <w:rsid w:val="00BF0B5E"/>
    <w:rsid w:val="00BF14D8"/>
    <w:rsid w:val="00BF185A"/>
    <w:rsid w:val="00BF1E6A"/>
    <w:rsid w:val="00BF2251"/>
    <w:rsid w:val="00BF24E7"/>
    <w:rsid w:val="00BF2719"/>
    <w:rsid w:val="00BF2729"/>
    <w:rsid w:val="00BF2843"/>
    <w:rsid w:val="00BF3D75"/>
    <w:rsid w:val="00BF4749"/>
    <w:rsid w:val="00BF4AAC"/>
    <w:rsid w:val="00BF5426"/>
    <w:rsid w:val="00BF5570"/>
    <w:rsid w:val="00BF60C2"/>
    <w:rsid w:val="00BF6372"/>
    <w:rsid w:val="00BF684A"/>
    <w:rsid w:val="00BF6A96"/>
    <w:rsid w:val="00BF7117"/>
    <w:rsid w:val="00BF7271"/>
    <w:rsid w:val="00BF73A0"/>
    <w:rsid w:val="00BF7C04"/>
    <w:rsid w:val="00C00008"/>
    <w:rsid w:val="00C000A8"/>
    <w:rsid w:val="00C006F1"/>
    <w:rsid w:val="00C00B3C"/>
    <w:rsid w:val="00C00BCE"/>
    <w:rsid w:val="00C00FC5"/>
    <w:rsid w:val="00C01067"/>
    <w:rsid w:val="00C011C7"/>
    <w:rsid w:val="00C01B37"/>
    <w:rsid w:val="00C01DC1"/>
    <w:rsid w:val="00C01E9F"/>
    <w:rsid w:val="00C01F23"/>
    <w:rsid w:val="00C0215E"/>
    <w:rsid w:val="00C023DD"/>
    <w:rsid w:val="00C025E0"/>
    <w:rsid w:val="00C026D6"/>
    <w:rsid w:val="00C037E0"/>
    <w:rsid w:val="00C03861"/>
    <w:rsid w:val="00C03A9A"/>
    <w:rsid w:val="00C040CD"/>
    <w:rsid w:val="00C04223"/>
    <w:rsid w:val="00C0453D"/>
    <w:rsid w:val="00C04760"/>
    <w:rsid w:val="00C04B0D"/>
    <w:rsid w:val="00C04BF7"/>
    <w:rsid w:val="00C04E9C"/>
    <w:rsid w:val="00C04EF8"/>
    <w:rsid w:val="00C0503F"/>
    <w:rsid w:val="00C050D1"/>
    <w:rsid w:val="00C0515A"/>
    <w:rsid w:val="00C05194"/>
    <w:rsid w:val="00C054D1"/>
    <w:rsid w:val="00C0554D"/>
    <w:rsid w:val="00C0562C"/>
    <w:rsid w:val="00C0576A"/>
    <w:rsid w:val="00C05960"/>
    <w:rsid w:val="00C05A1E"/>
    <w:rsid w:val="00C05F26"/>
    <w:rsid w:val="00C0606F"/>
    <w:rsid w:val="00C06E40"/>
    <w:rsid w:val="00C07087"/>
    <w:rsid w:val="00C0713B"/>
    <w:rsid w:val="00C0715E"/>
    <w:rsid w:val="00C073EF"/>
    <w:rsid w:val="00C077D7"/>
    <w:rsid w:val="00C10374"/>
    <w:rsid w:val="00C10585"/>
    <w:rsid w:val="00C1066A"/>
    <w:rsid w:val="00C10CA3"/>
    <w:rsid w:val="00C10E09"/>
    <w:rsid w:val="00C10E47"/>
    <w:rsid w:val="00C1110C"/>
    <w:rsid w:val="00C111A5"/>
    <w:rsid w:val="00C1155F"/>
    <w:rsid w:val="00C118B4"/>
    <w:rsid w:val="00C1196F"/>
    <w:rsid w:val="00C12258"/>
    <w:rsid w:val="00C12459"/>
    <w:rsid w:val="00C1316B"/>
    <w:rsid w:val="00C13202"/>
    <w:rsid w:val="00C1324B"/>
    <w:rsid w:val="00C136C6"/>
    <w:rsid w:val="00C14459"/>
    <w:rsid w:val="00C14510"/>
    <w:rsid w:val="00C14EFC"/>
    <w:rsid w:val="00C152A0"/>
    <w:rsid w:val="00C1650F"/>
    <w:rsid w:val="00C16E40"/>
    <w:rsid w:val="00C1714E"/>
    <w:rsid w:val="00C1735C"/>
    <w:rsid w:val="00C175C1"/>
    <w:rsid w:val="00C1762F"/>
    <w:rsid w:val="00C17747"/>
    <w:rsid w:val="00C2076D"/>
    <w:rsid w:val="00C2107D"/>
    <w:rsid w:val="00C212DD"/>
    <w:rsid w:val="00C21884"/>
    <w:rsid w:val="00C21E44"/>
    <w:rsid w:val="00C22353"/>
    <w:rsid w:val="00C22AE0"/>
    <w:rsid w:val="00C22C81"/>
    <w:rsid w:val="00C22F0D"/>
    <w:rsid w:val="00C230D5"/>
    <w:rsid w:val="00C233A8"/>
    <w:rsid w:val="00C23C15"/>
    <w:rsid w:val="00C24071"/>
    <w:rsid w:val="00C240F5"/>
    <w:rsid w:val="00C24377"/>
    <w:rsid w:val="00C245CB"/>
    <w:rsid w:val="00C2488B"/>
    <w:rsid w:val="00C24E46"/>
    <w:rsid w:val="00C25CCC"/>
    <w:rsid w:val="00C25F3B"/>
    <w:rsid w:val="00C26243"/>
    <w:rsid w:val="00C266D6"/>
    <w:rsid w:val="00C26B5F"/>
    <w:rsid w:val="00C26D18"/>
    <w:rsid w:val="00C26E8E"/>
    <w:rsid w:val="00C276D1"/>
    <w:rsid w:val="00C27873"/>
    <w:rsid w:val="00C27CCA"/>
    <w:rsid w:val="00C27DFF"/>
    <w:rsid w:val="00C27F37"/>
    <w:rsid w:val="00C301A2"/>
    <w:rsid w:val="00C3063F"/>
    <w:rsid w:val="00C3077F"/>
    <w:rsid w:val="00C312CF"/>
    <w:rsid w:val="00C31552"/>
    <w:rsid w:val="00C31928"/>
    <w:rsid w:val="00C3206D"/>
    <w:rsid w:val="00C329BB"/>
    <w:rsid w:val="00C329F9"/>
    <w:rsid w:val="00C33EC4"/>
    <w:rsid w:val="00C34E40"/>
    <w:rsid w:val="00C34FB7"/>
    <w:rsid w:val="00C35115"/>
    <w:rsid w:val="00C351E2"/>
    <w:rsid w:val="00C35247"/>
    <w:rsid w:val="00C35B9C"/>
    <w:rsid w:val="00C35BCD"/>
    <w:rsid w:val="00C36502"/>
    <w:rsid w:val="00C36AC5"/>
    <w:rsid w:val="00C36D3B"/>
    <w:rsid w:val="00C36D57"/>
    <w:rsid w:val="00C36E10"/>
    <w:rsid w:val="00C37525"/>
    <w:rsid w:val="00C37618"/>
    <w:rsid w:val="00C379D0"/>
    <w:rsid w:val="00C37C8D"/>
    <w:rsid w:val="00C37F75"/>
    <w:rsid w:val="00C4001B"/>
    <w:rsid w:val="00C400DF"/>
    <w:rsid w:val="00C401B1"/>
    <w:rsid w:val="00C406B8"/>
    <w:rsid w:val="00C406FA"/>
    <w:rsid w:val="00C408E5"/>
    <w:rsid w:val="00C409EB"/>
    <w:rsid w:val="00C40B25"/>
    <w:rsid w:val="00C41317"/>
    <w:rsid w:val="00C41832"/>
    <w:rsid w:val="00C41899"/>
    <w:rsid w:val="00C41AAE"/>
    <w:rsid w:val="00C423A0"/>
    <w:rsid w:val="00C4240C"/>
    <w:rsid w:val="00C426EB"/>
    <w:rsid w:val="00C42CAD"/>
    <w:rsid w:val="00C42F9D"/>
    <w:rsid w:val="00C447F0"/>
    <w:rsid w:val="00C44AF5"/>
    <w:rsid w:val="00C44E75"/>
    <w:rsid w:val="00C44EC0"/>
    <w:rsid w:val="00C451C1"/>
    <w:rsid w:val="00C460B7"/>
    <w:rsid w:val="00C46666"/>
    <w:rsid w:val="00C466DF"/>
    <w:rsid w:val="00C4679E"/>
    <w:rsid w:val="00C469EA"/>
    <w:rsid w:val="00C46A2B"/>
    <w:rsid w:val="00C46CF5"/>
    <w:rsid w:val="00C46E6D"/>
    <w:rsid w:val="00C47759"/>
    <w:rsid w:val="00C47949"/>
    <w:rsid w:val="00C479A8"/>
    <w:rsid w:val="00C47FDE"/>
    <w:rsid w:val="00C505C1"/>
    <w:rsid w:val="00C50876"/>
    <w:rsid w:val="00C5097A"/>
    <w:rsid w:val="00C50DF9"/>
    <w:rsid w:val="00C510D1"/>
    <w:rsid w:val="00C511D2"/>
    <w:rsid w:val="00C514BA"/>
    <w:rsid w:val="00C5164D"/>
    <w:rsid w:val="00C51F14"/>
    <w:rsid w:val="00C52627"/>
    <w:rsid w:val="00C5355A"/>
    <w:rsid w:val="00C53B94"/>
    <w:rsid w:val="00C53E3A"/>
    <w:rsid w:val="00C5422B"/>
    <w:rsid w:val="00C5426F"/>
    <w:rsid w:val="00C5469E"/>
    <w:rsid w:val="00C553F2"/>
    <w:rsid w:val="00C55F0F"/>
    <w:rsid w:val="00C55FED"/>
    <w:rsid w:val="00C567C8"/>
    <w:rsid w:val="00C5690A"/>
    <w:rsid w:val="00C56C5E"/>
    <w:rsid w:val="00C5721B"/>
    <w:rsid w:val="00C57911"/>
    <w:rsid w:val="00C5792A"/>
    <w:rsid w:val="00C57C1B"/>
    <w:rsid w:val="00C604B4"/>
    <w:rsid w:val="00C60DD8"/>
    <w:rsid w:val="00C61E8F"/>
    <w:rsid w:val="00C61F4C"/>
    <w:rsid w:val="00C62E26"/>
    <w:rsid w:val="00C6340C"/>
    <w:rsid w:val="00C63672"/>
    <w:rsid w:val="00C63730"/>
    <w:rsid w:val="00C63B74"/>
    <w:rsid w:val="00C63D45"/>
    <w:rsid w:val="00C63FBD"/>
    <w:rsid w:val="00C651C5"/>
    <w:rsid w:val="00C653AA"/>
    <w:rsid w:val="00C65659"/>
    <w:rsid w:val="00C6569E"/>
    <w:rsid w:val="00C659E9"/>
    <w:rsid w:val="00C65F84"/>
    <w:rsid w:val="00C664E2"/>
    <w:rsid w:val="00C66812"/>
    <w:rsid w:val="00C668D4"/>
    <w:rsid w:val="00C66913"/>
    <w:rsid w:val="00C66BF6"/>
    <w:rsid w:val="00C66DA8"/>
    <w:rsid w:val="00C66EE4"/>
    <w:rsid w:val="00C67E4A"/>
    <w:rsid w:val="00C706D3"/>
    <w:rsid w:val="00C707B8"/>
    <w:rsid w:val="00C707C3"/>
    <w:rsid w:val="00C70E8C"/>
    <w:rsid w:val="00C715F3"/>
    <w:rsid w:val="00C717C3"/>
    <w:rsid w:val="00C71A1E"/>
    <w:rsid w:val="00C71A29"/>
    <w:rsid w:val="00C71A7E"/>
    <w:rsid w:val="00C72376"/>
    <w:rsid w:val="00C72547"/>
    <w:rsid w:val="00C727DA"/>
    <w:rsid w:val="00C72A2C"/>
    <w:rsid w:val="00C7316E"/>
    <w:rsid w:val="00C73289"/>
    <w:rsid w:val="00C73448"/>
    <w:rsid w:val="00C73467"/>
    <w:rsid w:val="00C73588"/>
    <w:rsid w:val="00C7359F"/>
    <w:rsid w:val="00C73A1E"/>
    <w:rsid w:val="00C743AB"/>
    <w:rsid w:val="00C74A55"/>
    <w:rsid w:val="00C74AC1"/>
    <w:rsid w:val="00C74D6E"/>
    <w:rsid w:val="00C75A2B"/>
    <w:rsid w:val="00C75A8A"/>
    <w:rsid w:val="00C75AD3"/>
    <w:rsid w:val="00C75B61"/>
    <w:rsid w:val="00C7614F"/>
    <w:rsid w:val="00C761BD"/>
    <w:rsid w:val="00C761C3"/>
    <w:rsid w:val="00C763BF"/>
    <w:rsid w:val="00C765E9"/>
    <w:rsid w:val="00C7710F"/>
    <w:rsid w:val="00C7713D"/>
    <w:rsid w:val="00C7714C"/>
    <w:rsid w:val="00C772EC"/>
    <w:rsid w:val="00C77719"/>
    <w:rsid w:val="00C77736"/>
    <w:rsid w:val="00C77A3C"/>
    <w:rsid w:val="00C77C5A"/>
    <w:rsid w:val="00C77E77"/>
    <w:rsid w:val="00C805F7"/>
    <w:rsid w:val="00C8061A"/>
    <w:rsid w:val="00C808AA"/>
    <w:rsid w:val="00C80A5F"/>
    <w:rsid w:val="00C80BB5"/>
    <w:rsid w:val="00C80C23"/>
    <w:rsid w:val="00C81A34"/>
    <w:rsid w:val="00C82051"/>
    <w:rsid w:val="00C82C7C"/>
    <w:rsid w:val="00C82FFB"/>
    <w:rsid w:val="00C830F4"/>
    <w:rsid w:val="00C8349D"/>
    <w:rsid w:val="00C8350A"/>
    <w:rsid w:val="00C8361E"/>
    <w:rsid w:val="00C83851"/>
    <w:rsid w:val="00C849AD"/>
    <w:rsid w:val="00C84C9B"/>
    <w:rsid w:val="00C84E7C"/>
    <w:rsid w:val="00C84F0F"/>
    <w:rsid w:val="00C84F71"/>
    <w:rsid w:val="00C8571A"/>
    <w:rsid w:val="00C8601F"/>
    <w:rsid w:val="00C865E3"/>
    <w:rsid w:val="00C86721"/>
    <w:rsid w:val="00C8683E"/>
    <w:rsid w:val="00C86C93"/>
    <w:rsid w:val="00C87B92"/>
    <w:rsid w:val="00C87D22"/>
    <w:rsid w:val="00C90211"/>
    <w:rsid w:val="00C90BD9"/>
    <w:rsid w:val="00C90FA4"/>
    <w:rsid w:val="00C91231"/>
    <w:rsid w:val="00C912E7"/>
    <w:rsid w:val="00C91A49"/>
    <w:rsid w:val="00C92039"/>
    <w:rsid w:val="00C92332"/>
    <w:rsid w:val="00C92F7B"/>
    <w:rsid w:val="00C93218"/>
    <w:rsid w:val="00C93334"/>
    <w:rsid w:val="00C93B81"/>
    <w:rsid w:val="00C93C6C"/>
    <w:rsid w:val="00C93CA1"/>
    <w:rsid w:val="00C93EA5"/>
    <w:rsid w:val="00C943CF"/>
    <w:rsid w:val="00C94562"/>
    <w:rsid w:val="00C94854"/>
    <w:rsid w:val="00C94A18"/>
    <w:rsid w:val="00C94CD9"/>
    <w:rsid w:val="00C94F41"/>
    <w:rsid w:val="00C952E0"/>
    <w:rsid w:val="00C95952"/>
    <w:rsid w:val="00C96537"/>
    <w:rsid w:val="00C967A3"/>
    <w:rsid w:val="00C97148"/>
    <w:rsid w:val="00C97DAB"/>
    <w:rsid w:val="00C97E2E"/>
    <w:rsid w:val="00CA016C"/>
    <w:rsid w:val="00CA16B0"/>
    <w:rsid w:val="00CA1A85"/>
    <w:rsid w:val="00CA1D75"/>
    <w:rsid w:val="00CA1E32"/>
    <w:rsid w:val="00CA20AC"/>
    <w:rsid w:val="00CA2296"/>
    <w:rsid w:val="00CA23FA"/>
    <w:rsid w:val="00CA2928"/>
    <w:rsid w:val="00CA2D53"/>
    <w:rsid w:val="00CA3086"/>
    <w:rsid w:val="00CA353E"/>
    <w:rsid w:val="00CA3579"/>
    <w:rsid w:val="00CA36BC"/>
    <w:rsid w:val="00CA4203"/>
    <w:rsid w:val="00CA524A"/>
    <w:rsid w:val="00CA5453"/>
    <w:rsid w:val="00CA5747"/>
    <w:rsid w:val="00CA5DA4"/>
    <w:rsid w:val="00CA5DA8"/>
    <w:rsid w:val="00CA63B3"/>
    <w:rsid w:val="00CA6969"/>
    <w:rsid w:val="00CA712D"/>
    <w:rsid w:val="00CA7304"/>
    <w:rsid w:val="00CA7540"/>
    <w:rsid w:val="00CA754F"/>
    <w:rsid w:val="00CA7C95"/>
    <w:rsid w:val="00CB029B"/>
    <w:rsid w:val="00CB02BF"/>
    <w:rsid w:val="00CB05E9"/>
    <w:rsid w:val="00CB1097"/>
    <w:rsid w:val="00CB1162"/>
    <w:rsid w:val="00CB13AD"/>
    <w:rsid w:val="00CB15B1"/>
    <w:rsid w:val="00CB186C"/>
    <w:rsid w:val="00CB1D91"/>
    <w:rsid w:val="00CB21B7"/>
    <w:rsid w:val="00CB247B"/>
    <w:rsid w:val="00CB2CFF"/>
    <w:rsid w:val="00CB3372"/>
    <w:rsid w:val="00CB3559"/>
    <w:rsid w:val="00CB3884"/>
    <w:rsid w:val="00CB3FEF"/>
    <w:rsid w:val="00CB4217"/>
    <w:rsid w:val="00CB4452"/>
    <w:rsid w:val="00CB4631"/>
    <w:rsid w:val="00CB4850"/>
    <w:rsid w:val="00CB4CE3"/>
    <w:rsid w:val="00CB4EC2"/>
    <w:rsid w:val="00CB544B"/>
    <w:rsid w:val="00CB5486"/>
    <w:rsid w:val="00CB5EF4"/>
    <w:rsid w:val="00CB6205"/>
    <w:rsid w:val="00CB6442"/>
    <w:rsid w:val="00CB7173"/>
    <w:rsid w:val="00CB7501"/>
    <w:rsid w:val="00CB7EBD"/>
    <w:rsid w:val="00CC0017"/>
    <w:rsid w:val="00CC0054"/>
    <w:rsid w:val="00CC0317"/>
    <w:rsid w:val="00CC093A"/>
    <w:rsid w:val="00CC0C13"/>
    <w:rsid w:val="00CC11FC"/>
    <w:rsid w:val="00CC18DE"/>
    <w:rsid w:val="00CC1DC7"/>
    <w:rsid w:val="00CC25E8"/>
    <w:rsid w:val="00CC2690"/>
    <w:rsid w:val="00CC2752"/>
    <w:rsid w:val="00CC2AEB"/>
    <w:rsid w:val="00CC3BB4"/>
    <w:rsid w:val="00CC3C92"/>
    <w:rsid w:val="00CC3D5C"/>
    <w:rsid w:val="00CC3DC5"/>
    <w:rsid w:val="00CC424D"/>
    <w:rsid w:val="00CC4B4E"/>
    <w:rsid w:val="00CC4B7B"/>
    <w:rsid w:val="00CC5159"/>
    <w:rsid w:val="00CC5583"/>
    <w:rsid w:val="00CC5B8E"/>
    <w:rsid w:val="00CC6196"/>
    <w:rsid w:val="00CC6427"/>
    <w:rsid w:val="00CC65CE"/>
    <w:rsid w:val="00CC67BC"/>
    <w:rsid w:val="00CC6BC8"/>
    <w:rsid w:val="00CC741E"/>
    <w:rsid w:val="00CC7791"/>
    <w:rsid w:val="00CC78E2"/>
    <w:rsid w:val="00CC7AEB"/>
    <w:rsid w:val="00CC7C3A"/>
    <w:rsid w:val="00CC7F60"/>
    <w:rsid w:val="00CD0699"/>
    <w:rsid w:val="00CD0859"/>
    <w:rsid w:val="00CD0B66"/>
    <w:rsid w:val="00CD1003"/>
    <w:rsid w:val="00CD112A"/>
    <w:rsid w:val="00CD1154"/>
    <w:rsid w:val="00CD15DA"/>
    <w:rsid w:val="00CD16F5"/>
    <w:rsid w:val="00CD1893"/>
    <w:rsid w:val="00CD1A10"/>
    <w:rsid w:val="00CD2510"/>
    <w:rsid w:val="00CD2552"/>
    <w:rsid w:val="00CD33F4"/>
    <w:rsid w:val="00CD3A17"/>
    <w:rsid w:val="00CD3EA2"/>
    <w:rsid w:val="00CD4A2D"/>
    <w:rsid w:val="00CD4F6C"/>
    <w:rsid w:val="00CD5493"/>
    <w:rsid w:val="00CD5C13"/>
    <w:rsid w:val="00CD5E44"/>
    <w:rsid w:val="00CD640E"/>
    <w:rsid w:val="00CD66A6"/>
    <w:rsid w:val="00CD6BC6"/>
    <w:rsid w:val="00CD718A"/>
    <w:rsid w:val="00CD7429"/>
    <w:rsid w:val="00CD7546"/>
    <w:rsid w:val="00CD762E"/>
    <w:rsid w:val="00CD798F"/>
    <w:rsid w:val="00CD7AC2"/>
    <w:rsid w:val="00CD7BD0"/>
    <w:rsid w:val="00CD7FF1"/>
    <w:rsid w:val="00CE09A2"/>
    <w:rsid w:val="00CE0C12"/>
    <w:rsid w:val="00CE0FBF"/>
    <w:rsid w:val="00CE19AA"/>
    <w:rsid w:val="00CE1B8F"/>
    <w:rsid w:val="00CE1C60"/>
    <w:rsid w:val="00CE1D05"/>
    <w:rsid w:val="00CE1D30"/>
    <w:rsid w:val="00CE1D7D"/>
    <w:rsid w:val="00CE1E15"/>
    <w:rsid w:val="00CE2150"/>
    <w:rsid w:val="00CE25D6"/>
    <w:rsid w:val="00CE292A"/>
    <w:rsid w:val="00CE32EA"/>
    <w:rsid w:val="00CE3441"/>
    <w:rsid w:val="00CE375D"/>
    <w:rsid w:val="00CE3888"/>
    <w:rsid w:val="00CE3C2A"/>
    <w:rsid w:val="00CE45DE"/>
    <w:rsid w:val="00CE49AF"/>
    <w:rsid w:val="00CE4D34"/>
    <w:rsid w:val="00CE567E"/>
    <w:rsid w:val="00CE5778"/>
    <w:rsid w:val="00CE5DAC"/>
    <w:rsid w:val="00CE5F5B"/>
    <w:rsid w:val="00CE6125"/>
    <w:rsid w:val="00CE62DE"/>
    <w:rsid w:val="00CE6679"/>
    <w:rsid w:val="00CE66AC"/>
    <w:rsid w:val="00CE66D0"/>
    <w:rsid w:val="00CE734C"/>
    <w:rsid w:val="00CE74EF"/>
    <w:rsid w:val="00CE76B7"/>
    <w:rsid w:val="00CE7BBC"/>
    <w:rsid w:val="00CE7F69"/>
    <w:rsid w:val="00CF01E1"/>
    <w:rsid w:val="00CF03A2"/>
    <w:rsid w:val="00CF03A8"/>
    <w:rsid w:val="00CF0703"/>
    <w:rsid w:val="00CF07B3"/>
    <w:rsid w:val="00CF10A6"/>
    <w:rsid w:val="00CF111C"/>
    <w:rsid w:val="00CF12A0"/>
    <w:rsid w:val="00CF1C0B"/>
    <w:rsid w:val="00CF1EF6"/>
    <w:rsid w:val="00CF2484"/>
    <w:rsid w:val="00CF2B96"/>
    <w:rsid w:val="00CF2DFA"/>
    <w:rsid w:val="00CF2F2B"/>
    <w:rsid w:val="00CF3483"/>
    <w:rsid w:val="00CF395D"/>
    <w:rsid w:val="00CF3BF8"/>
    <w:rsid w:val="00CF3CC0"/>
    <w:rsid w:val="00CF3EFA"/>
    <w:rsid w:val="00CF4382"/>
    <w:rsid w:val="00CF452A"/>
    <w:rsid w:val="00CF4E6E"/>
    <w:rsid w:val="00CF51A8"/>
    <w:rsid w:val="00CF53E7"/>
    <w:rsid w:val="00CF5546"/>
    <w:rsid w:val="00CF61C6"/>
    <w:rsid w:val="00CF6AB6"/>
    <w:rsid w:val="00CF6D6D"/>
    <w:rsid w:val="00CF6E89"/>
    <w:rsid w:val="00CF7912"/>
    <w:rsid w:val="00CF7CEA"/>
    <w:rsid w:val="00CF7F10"/>
    <w:rsid w:val="00D0013D"/>
    <w:rsid w:val="00D00CAE"/>
    <w:rsid w:val="00D00EC2"/>
    <w:rsid w:val="00D010F4"/>
    <w:rsid w:val="00D012BF"/>
    <w:rsid w:val="00D01778"/>
    <w:rsid w:val="00D01876"/>
    <w:rsid w:val="00D019DF"/>
    <w:rsid w:val="00D0275C"/>
    <w:rsid w:val="00D02B75"/>
    <w:rsid w:val="00D02C6D"/>
    <w:rsid w:val="00D02DD1"/>
    <w:rsid w:val="00D02FDC"/>
    <w:rsid w:val="00D03358"/>
    <w:rsid w:val="00D035F5"/>
    <w:rsid w:val="00D04165"/>
    <w:rsid w:val="00D04235"/>
    <w:rsid w:val="00D042AA"/>
    <w:rsid w:val="00D04509"/>
    <w:rsid w:val="00D05342"/>
    <w:rsid w:val="00D0576D"/>
    <w:rsid w:val="00D05D95"/>
    <w:rsid w:val="00D06654"/>
    <w:rsid w:val="00D06F98"/>
    <w:rsid w:val="00D07079"/>
    <w:rsid w:val="00D07447"/>
    <w:rsid w:val="00D07D2A"/>
    <w:rsid w:val="00D1009D"/>
    <w:rsid w:val="00D103E8"/>
    <w:rsid w:val="00D10B70"/>
    <w:rsid w:val="00D11658"/>
    <w:rsid w:val="00D1165A"/>
    <w:rsid w:val="00D1198F"/>
    <w:rsid w:val="00D11D85"/>
    <w:rsid w:val="00D11DFC"/>
    <w:rsid w:val="00D1251F"/>
    <w:rsid w:val="00D12912"/>
    <w:rsid w:val="00D12992"/>
    <w:rsid w:val="00D12C5A"/>
    <w:rsid w:val="00D13078"/>
    <w:rsid w:val="00D13902"/>
    <w:rsid w:val="00D13938"/>
    <w:rsid w:val="00D149EE"/>
    <w:rsid w:val="00D14CFA"/>
    <w:rsid w:val="00D14EF2"/>
    <w:rsid w:val="00D1540F"/>
    <w:rsid w:val="00D15854"/>
    <w:rsid w:val="00D15F75"/>
    <w:rsid w:val="00D160C8"/>
    <w:rsid w:val="00D16A00"/>
    <w:rsid w:val="00D16A29"/>
    <w:rsid w:val="00D16A6B"/>
    <w:rsid w:val="00D16D54"/>
    <w:rsid w:val="00D16F3B"/>
    <w:rsid w:val="00D17919"/>
    <w:rsid w:val="00D17D3B"/>
    <w:rsid w:val="00D17FF8"/>
    <w:rsid w:val="00D20269"/>
    <w:rsid w:val="00D20309"/>
    <w:rsid w:val="00D20BCE"/>
    <w:rsid w:val="00D20F27"/>
    <w:rsid w:val="00D21243"/>
    <w:rsid w:val="00D213F0"/>
    <w:rsid w:val="00D21574"/>
    <w:rsid w:val="00D218FC"/>
    <w:rsid w:val="00D21AF7"/>
    <w:rsid w:val="00D21FAD"/>
    <w:rsid w:val="00D22696"/>
    <w:rsid w:val="00D22982"/>
    <w:rsid w:val="00D22C9C"/>
    <w:rsid w:val="00D22CA3"/>
    <w:rsid w:val="00D22E91"/>
    <w:rsid w:val="00D230B6"/>
    <w:rsid w:val="00D23108"/>
    <w:rsid w:val="00D234BD"/>
    <w:rsid w:val="00D23952"/>
    <w:rsid w:val="00D23ECE"/>
    <w:rsid w:val="00D2426D"/>
    <w:rsid w:val="00D2498E"/>
    <w:rsid w:val="00D24C3B"/>
    <w:rsid w:val="00D2558E"/>
    <w:rsid w:val="00D25C41"/>
    <w:rsid w:val="00D2610A"/>
    <w:rsid w:val="00D263D3"/>
    <w:rsid w:val="00D26836"/>
    <w:rsid w:val="00D26C79"/>
    <w:rsid w:val="00D2728B"/>
    <w:rsid w:val="00D27292"/>
    <w:rsid w:val="00D274FD"/>
    <w:rsid w:val="00D2771C"/>
    <w:rsid w:val="00D27E55"/>
    <w:rsid w:val="00D301DE"/>
    <w:rsid w:val="00D3049D"/>
    <w:rsid w:val="00D30893"/>
    <w:rsid w:val="00D31476"/>
    <w:rsid w:val="00D3161D"/>
    <w:rsid w:val="00D3301F"/>
    <w:rsid w:val="00D33D77"/>
    <w:rsid w:val="00D34119"/>
    <w:rsid w:val="00D343B4"/>
    <w:rsid w:val="00D34494"/>
    <w:rsid w:val="00D3466D"/>
    <w:rsid w:val="00D35160"/>
    <w:rsid w:val="00D35A6A"/>
    <w:rsid w:val="00D3609E"/>
    <w:rsid w:val="00D36EC1"/>
    <w:rsid w:val="00D370F8"/>
    <w:rsid w:val="00D371F2"/>
    <w:rsid w:val="00D37399"/>
    <w:rsid w:val="00D37724"/>
    <w:rsid w:val="00D37D04"/>
    <w:rsid w:val="00D37E49"/>
    <w:rsid w:val="00D40080"/>
    <w:rsid w:val="00D4014F"/>
    <w:rsid w:val="00D40264"/>
    <w:rsid w:val="00D409A1"/>
    <w:rsid w:val="00D40B54"/>
    <w:rsid w:val="00D40CF8"/>
    <w:rsid w:val="00D411EA"/>
    <w:rsid w:val="00D413B6"/>
    <w:rsid w:val="00D415E1"/>
    <w:rsid w:val="00D41C63"/>
    <w:rsid w:val="00D41D67"/>
    <w:rsid w:val="00D420E0"/>
    <w:rsid w:val="00D424A6"/>
    <w:rsid w:val="00D42739"/>
    <w:rsid w:val="00D42890"/>
    <w:rsid w:val="00D428BE"/>
    <w:rsid w:val="00D428E9"/>
    <w:rsid w:val="00D4297B"/>
    <w:rsid w:val="00D42FB4"/>
    <w:rsid w:val="00D43072"/>
    <w:rsid w:val="00D431B7"/>
    <w:rsid w:val="00D4333A"/>
    <w:rsid w:val="00D43855"/>
    <w:rsid w:val="00D43D8A"/>
    <w:rsid w:val="00D44BCF"/>
    <w:rsid w:val="00D4548F"/>
    <w:rsid w:val="00D454A6"/>
    <w:rsid w:val="00D459E9"/>
    <w:rsid w:val="00D45ADD"/>
    <w:rsid w:val="00D46119"/>
    <w:rsid w:val="00D46AF4"/>
    <w:rsid w:val="00D46DD8"/>
    <w:rsid w:val="00D47186"/>
    <w:rsid w:val="00D473C3"/>
    <w:rsid w:val="00D47987"/>
    <w:rsid w:val="00D47E0B"/>
    <w:rsid w:val="00D5037C"/>
    <w:rsid w:val="00D50606"/>
    <w:rsid w:val="00D51145"/>
    <w:rsid w:val="00D516D4"/>
    <w:rsid w:val="00D5188A"/>
    <w:rsid w:val="00D51ABF"/>
    <w:rsid w:val="00D51DAC"/>
    <w:rsid w:val="00D5229A"/>
    <w:rsid w:val="00D52876"/>
    <w:rsid w:val="00D528D7"/>
    <w:rsid w:val="00D52EF4"/>
    <w:rsid w:val="00D53136"/>
    <w:rsid w:val="00D5434E"/>
    <w:rsid w:val="00D54C19"/>
    <w:rsid w:val="00D54F11"/>
    <w:rsid w:val="00D54F47"/>
    <w:rsid w:val="00D558CA"/>
    <w:rsid w:val="00D55BBF"/>
    <w:rsid w:val="00D55BED"/>
    <w:rsid w:val="00D55F83"/>
    <w:rsid w:val="00D5624F"/>
    <w:rsid w:val="00D5639F"/>
    <w:rsid w:val="00D5692C"/>
    <w:rsid w:val="00D56974"/>
    <w:rsid w:val="00D56AFA"/>
    <w:rsid w:val="00D56DB2"/>
    <w:rsid w:val="00D57112"/>
    <w:rsid w:val="00D57208"/>
    <w:rsid w:val="00D57433"/>
    <w:rsid w:val="00D57A50"/>
    <w:rsid w:val="00D57A5F"/>
    <w:rsid w:val="00D57CB7"/>
    <w:rsid w:val="00D602A8"/>
    <w:rsid w:val="00D60876"/>
    <w:rsid w:val="00D6087D"/>
    <w:rsid w:val="00D60B4B"/>
    <w:rsid w:val="00D61089"/>
    <w:rsid w:val="00D61885"/>
    <w:rsid w:val="00D61C93"/>
    <w:rsid w:val="00D6200F"/>
    <w:rsid w:val="00D62435"/>
    <w:rsid w:val="00D62604"/>
    <w:rsid w:val="00D62694"/>
    <w:rsid w:val="00D627D2"/>
    <w:rsid w:val="00D62C85"/>
    <w:rsid w:val="00D62DF1"/>
    <w:rsid w:val="00D642E6"/>
    <w:rsid w:val="00D643D0"/>
    <w:rsid w:val="00D6462C"/>
    <w:rsid w:val="00D6479D"/>
    <w:rsid w:val="00D65EA0"/>
    <w:rsid w:val="00D6659B"/>
    <w:rsid w:val="00D66D44"/>
    <w:rsid w:val="00D70427"/>
    <w:rsid w:val="00D70925"/>
    <w:rsid w:val="00D70AAD"/>
    <w:rsid w:val="00D70BC2"/>
    <w:rsid w:val="00D7105C"/>
    <w:rsid w:val="00D71165"/>
    <w:rsid w:val="00D71166"/>
    <w:rsid w:val="00D71371"/>
    <w:rsid w:val="00D71A74"/>
    <w:rsid w:val="00D7270B"/>
    <w:rsid w:val="00D72E20"/>
    <w:rsid w:val="00D73376"/>
    <w:rsid w:val="00D73C55"/>
    <w:rsid w:val="00D74273"/>
    <w:rsid w:val="00D749E4"/>
    <w:rsid w:val="00D74F3B"/>
    <w:rsid w:val="00D75027"/>
    <w:rsid w:val="00D75057"/>
    <w:rsid w:val="00D752DE"/>
    <w:rsid w:val="00D7558F"/>
    <w:rsid w:val="00D75758"/>
    <w:rsid w:val="00D75917"/>
    <w:rsid w:val="00D767F4"/>
    <w:rsid w:val="00D76860"/>
    <w:rsid w:val="00D77178"/>
    <w:rsid w:val="00D77554"/>
    <w:rsid w:val="00D77C83"/>
    <w:rsid w:val="00D77DC9"/>
    <w:rsid w:val="00D8020D"/>
    <w:rsid w:val="00D80C65"/>
    <w:rsid w:val="00D80DFA"/>
    <w:rsid w:val="00D814F8"/>
    <w:rsid w:val="00D8157F"/>
    <w:rsid w:val="00D819CD"/>
    <w:rsid w:val="00D819FE"/>
    <w:rsid w:val="00D81BB5"/>
    <w:rsid w:val="00D82093"/>
    <w:rsid w:val="00D831C1"/>
    <w:rsid w:val="00D8384C"/>
    <w:rsid w:val="00D83B05"/>
    <w:rsid w:val="00D83E5C"/>
    <w:rsid w:val="00D8457D"/>
    <w:rsid w:val="00D84B05"/>
    <w:rsid w:val="00D84C6B"/>
    <w:rsid w:val="00D84E19"/>
    <w:rsid w:val="00D8564F"/>
    <w:rsid w:val="00D8580E"/>
    <w:rsid w:val="00D85946"/>
    <w:rsid w:val="00D85DD3"/>
    <w:rsid w:val="00D866D9"/>
    <w:rsid w:val="00D86A61"/>
    <w:rsid w:val="00D86E11"/>
    <w:rsid w:val="00D86F38"/>
    <w:rsid w:val="00D87B83"/>
    <w:rsid w:val="00D87C03"/>
    <w:rsid w:val="00D9016F"/>
    <w:rsid w:val="00D90914"/>
    <w:rsid w:val="00D91156"/>
    <w:rsid w:val="00D91D08"/>
    <w:rsid w:val="00D921F5"/>
    <w:rsid w:val="00D9355B"/>
    <w:rsid w:val="00D937AB"/>
    <w:rsid w:val="00D93A00"/>
    <w:rsid w:val="00D93CAF"/>
    <w:rsid w:val="00D940AC"/>
    <w:rsid w:val="00D94303"/>
    <w:rsid w:val="00D947DB"/>
    <w:rsid w:val="00D948DD"/>
    <w:rsid w:val="00D950FD"/>
    <w:rsid w:val="00D952A5"/>
    <w:rsid w:val="00D95B0D"/>
    <w:rsid w:val="00D95CB0"/>
    <w:rsid w:val="00D96DFB"/>
    <w:rsid w:val="00D9702A"/>
    <w:rsid w:val="00D970A9"/>
    <w:rsid w:val="00D9723B"/>
    <w:rsid w:val="00D97BFF"/>
    <w:rsid w:val="00DA0035"/>
    <w:rsid w:val="00DA0119"/>
    <w:rsid w:val="00DA0648"/>
    <w:rsid w:val="00DA06AD"/>
    <w:rsid w:val="00DA0CA7"/>
    <w:rsid w:val="00DA1268"/>
    <w:rsid w:val="00DA12C1"/>
    <w:rsid w:val="00DA1825"/>
    <w:rsid w:val="00DA1837"/>
    <w:rsid w:val="00DA1D92"/>
    <w:rsid w:val="00DA212E"/>
    <w:rsid w:val="00DA2819"/>
    <w:rsid w:val="00DA2A2E"/>
    <w:rsid w:val="00DA3135"/>
    <w:rsid w:val="00DA32B3"/>
    <w:rsid w:val="00DA35EF"/>
    <w:rsid w:val="00DA429E"/>
    <w:rsid w:val="00DA48C3"/>
    <w:rsid w:val="00DA48CF"/>
    <w:rsid w:val="00DA48E9"/>
    <w:rsid w:val="00DA53B8"/>
    <w:rsid w:val="00DA55AB"/>
    <w:rsid w:val="00DA5B1F"/>
    <w:rsid w:val="00DA5D72"/>
    <w:rsid w:val="00DA62ED"/>
    <w:rsid w:val="00DA6359"/>
    <w:rsid w:val="00DA665B"/>
    <w:rsid w:val="00DA6971"/>
    <w:rsid w:val="00DA6E02"/>
    <w:rsid w:val="00DA6EB3"/>
    <w:rsid w:val="00DA7057"/>
    <w:rsid w:val="00DA708D"/>
    <w:rsid w:val="00DA70C4"/>
    <w:rsid w:val="00DA7929"/>
    <w:rsid w:val="00DB029F"/>
    <w:rsid w:val="00DB0596"/>
    <w:rsid w:val="00DB0731"/>
    <w:rsid w:val="00DB07F4"/>
    <w:rsid w:val="00DB1164"/>
    <w:rsid w:val="00DB129A"/>
    <w:rsid w:val="00DB131D"/>
    <w:rsid w:val="00DB13D8"/>
    <w:rsid w:val="00DB1533"/>
    <w:rsid w:val="00DB1946"/>
    <w:rsid w:val="00DB23CF"/>
    <w:rsid w:val="00DB309C"/>
    <w:rsid w:val="00DB3612"/>
    <w:rsid w:val="00DB3A10"/>
    <w:rsid w:val="00DB3D39"/>
    <w:rsid w:val="00DB3D5C"/>
    <w:rsid w:val="00DB3FD1"/>
    <w:rsid w:val="00DB4339"/>
    <w:rsid w:val="00DB43E8"/>
    <w:rsid w:val="00DB4562"/>
    <w:rsid w:val="00DB4A1C"/>
    <w:rsid w:val="00DB566E"/>
    <w:rsid w:val="00DB57CD"/>
    <w:rsid w:val="00DB5B91"/>
    <w:rsid w:val="00DB5D6F"/>
    <w:rsid w:val="00DB6056"/>
    <w:rsid w:val="00DB67BD"/>
    <w:rsid w:val="00DB69F6"/>
    <w:rsid w:val="00DB76DD"/>
    <w:rsid w:val="00DB78C9"/>
    <w:rsid w:val="00DB7AA5"/>
    <w:rsid w:val="00DB7CEE"/>
    <w:rsid w:val="00DB7DED"/>
    <w:rsid w:val="00DB7EFE"/>
    <w:rsid w:val="00DC008D"/>
    <w:rsid w:val="00DC01E6"/>
    <w:rsid w:val="00DC0584"/>
    <w:rsid w:val="00DC05A2"/>
    <w:rsid w:val="00DC068D"/>
    <w:rsid w:val="00DC0936"/>
    <w:rsid w:val="00DC0A0C"/>
    <w:rsid w:val="00DC0A87"/>
    <w:rsid w:val="00DC0B6F"/>
    <w:rsid w:val="00DC0EA4"/>
    <w:rsid w:val="00DC0F89"/>
    <w:rsid w:val="00DC1110"/>
    <w:rsid w:val="00DC1689"/>
    <w:rsid w:val="00DC18FA"/>
    <w:rsid w:val="00DC1C64"/>
    <w:rsid w:val="00DC1CA0"/>
    <w:rsid w:val="00DC1CB8"/>
    <w:rsid w:val="00DC1D97"/>
    <w:rsid w:val="00DC254E"/>
    <w:rsid w:val="00DC2565"/>
    <w:rsid w:val="00DC2C25"/>
    <w:rsid w:val="00DC2EAC"/>
    <w:rsid w:val="00DC3249"/>
    <w:rsid w:val="00DC38E6"/>
    <w:rsid w:val="00DC3D68"/>
    <w:rsid w:val="00DC4255"/>
    <w:rsid w:val="00DC4885"/>
    <w:rsid w:val="00DC4C5D"/>
    <w:rsid w:val="00DC50C2"/>
    <w:rsid w:val="00DC544F"/>
    <w:rsid w:val="00DC5493"/>
    <w:rsid w:val="00DC5563"/>
    <w:rsid w:val="00DC564D"/>
    <w:rsid w:val="00DC5E6D"/>
    <w:rsid w:val="00DC61C2"/>
    <w:rsid w:val="00DC6749"/>
    <w:rsid w:val="00DC71FB"/>
    <w:rsid w:val="00DC743C"/>
    <w:rsid w:val="00DC7450"/>
    <w:rsid w:val="00DC752E"/>
    <w:rsid w:val="00DC75FE"/>
    <w:rsid w:val="00DC7730"/>
    <w:rsid w:val="00DC7A63"/>
    <w:rsid w:val="00DC7C35"/>
    <w:rsid w:val="00DC7ED0"/>
    <w:rsid w:val="00DC7F08"/>
    <w:rsid w:val="00DC7F5C"/>
    <w:rsid w:val="00DD0766"/>
    <w:rsid w:val="00DD0AEB"/>
    <w:rsid w:val="00DD0C06"/>
    <w:rsid w:val="00DD3350"/>
    <w:rsid w:val="00DD359A"/>
    <w:rsid w:val="00DD363E"/>
    <w:rsid w:val="00DD384E"/>
    <w:rsid w:val="00DD3938"/>
    <w:rsid w:val="00DD3BA2"/>
    <w:rsid w:val="00DD3E99"/>
    <w:rsid w:val="00DD4164"/>
    <w:rsid w:val="00DD498F"/>
    <w:rsid w:val="00DD4C40"/>
    <w:rsid w:val="00DD4EB4"/>
    <w:rsid w:val="00DD4FB7"/>
    <w:rsid w:val="00DD511F"/>
    <w:rsid w:val="00DD5615"/>
    <w:rsid w:val="00DD6001"/>
    <w:rsid w:val="00DD6154"/>
    <w:rsid w:val="00DD6AE8"/>
    <w:rsid w:val="00DD6C12"/>
    <w:rsid w:val="00DD6E47"/>
    <w:rsid w:val="00DD7399"/>
    <w:rsid w:val="00DD745D"/>
    <w:rsid w:val="00DD761F"/>
    <w:rsid w:val="00DD7CC9"/>
    <w:rsid w:val="00DD7CD4"/>
    <w:rsid w:val="00DE06B4"/>
    <w:rsid w:val="00DE0985"/>
    <w:rsid w:val="00DE0C15"/>
    <w:rsid w:val="00DE0E14"/>
    <w:rsid w:val="00DE0E96"/>
    <w:rsid w:val="00DE14F3"/>
    <w:rsid w:val="00DE16A4"/>
    <w:rsid w:val="00DE1DDB"/>
    <w:rsid w:val="00DE21C9"/>
    <w:rsid w:val="00DE21F6"/>
    <w:rsid w:val="00DE22CA"/>
    <w:rsid w:val="00DE2551"/>
    <w:rsid w:val="00DE2B6A"/>
    <w:rsid w:val="00DE37E3"/>
    <w:rsid w:val="00DE4123"/>
    <w:rsid w:val="00DE4B0B"/>
    <w:rsid w:val="00DE4D1F"/>
    <w:rsid w:val="00DE4EA4"/>
    <w:rsid w:val="00DE506B"/>
    <w:rsid w:val="00DE51A1"/>
    <w:rsid w:val="00DE52A7"/>
    <w:rsid w:val="00DE5711"/>
    <w:rsid w:val="00DE585A"/>
    <w:rsid w:val="00DE601D"/>
    <w:rsid w:val="00DE6A99"/>
    <w:rsid w:val="00DE7182"/>
    <w:rsid w:val="00DE76E6"/>
    <w:rsid w:val="00DF0366"/>
    <w:rsid w:val="00DF0751"/>
    <w:rsid w:val="00DF0803"/>
    <w:rsid w:val="00DF098D"/>
    <w:rsid w:val="00DF107C"/>
    <w:rsid w:val="00DF1412"/>
    <w:rsid w:val="00DF17D1"/>
    <w:rsid w:val="00DF1BCF"/>
    <w:rsid w:val="00DF209C"/>
    <w:rsid w:val="00DF20D0"/>
    <w:rsid w:val="00DF2832"/>
    <w:rsid w:val="00DF28CD"/>
    <w:rsid w:val="00DF34F8"/>
    <w:rsid w:val="00DF3667"/>
    <w:rsid w:val="00DF394F"/>
    <w:rsid w:val="00DF3B56"/>
    <w:rsid w:val="00DF3BFD"/>
    <w:rsid w:val="00DF4143"/>
    <w:rsid w:val="00DF45C8"/>
    <w:rsid w:val="00DF486F"/>
    <w:rsid w:val="00DF49B2"/>
    <w:rsid w:val="00DF4C84"/>
    <w:rsid w:val="00DF4F04"/>
    <w:rsid w:val="00DF54E5"/>
    <w:rsid w:val="00DF5969"/>
    <w:rsid w:val="00DF59DE"/>
    <w:rsid w:val="00DF5EDB"/>
    <w:rsid w:val="00DF6A9D"/>
    <w:rsid w:val="00DF6CB4"/>
    <w:rsid w:val="00DF6D77"/>
    <w:rsid w:val="00DF6E9D"/>
    <w:rsid w:val="00DF722A"/>
    <w:rsid w:val="00DF7237"/>
    <w:rsid w:val="00DF7C39"/>
    <w:rsid w:val="00DF7E08"/>
    <w:rsid w:val="00E002F6"/>
    <w:rsid w:val="00E003D2"/>
    <w:rsid w:val="00E00688"/>
    <w:rsid w:val="00E00741"/>
    <w:rsid w:val="00E00AD2"/>
    <w:rsid w:val="00E00C6A"/>
    <w:rsid w:val="00E0103A"/>
    <w:rsid w:val="00E012BB"/>
    <w:rsid w:val="00E013D7"/>
    <w:rsid w:val="00E01BC5"/>
    <w:rsid w:val="00E01C59"/>
    <w:rsid w:val="00E022B6"/>
    <w:rsid w:val="00E02355"/>
    <w:rsid w:val="00E0276F"/>
    <w:rsid w:val="00E02865"/>
    <w:rsid w:val="00E03867"/>
    <w:rsid w:val="00E03D3C"/>
    <w:rsid w:val="00E0401A"/>
    <w:rsid w:val="00E04BBC"/>
    <w:rsid w:val="00E0538E"/>
    <w:rsid w:val="00E06127"/>
    <w:rsid w:val="00E0614B"/>
    <w:rsid w:val="00E06225"/>
    <w:rsid w:val="00E06287"/>
    <w:rsid w:val="00E06334"/>
    <w:rsid w:val="00E06A78"/>
    <w:rsid w:val="00E06FCD"/>
    <w:rsid w:val="00E075A3"/>
    <w:rsid w:val="00E075F1"/>
    <w:rsid w:val="00E0792F"/>
    <w:rsid w:val="00E07A5B"/>
    <w:rsid w:val="00E07D98"/>
    <w:rsid w:val="00E101D0"/>
    <w:rsid w:val="00E104CF"/>
    <w:rsid w:val="00E10BB8"/>
    <w:rsid w:val="00E10EE5"/>
    <w:rsid w:val="00E11072"/>
    <w:rsid w:val="00E11800"/>
    <w:rsid w:val="00E12894"/>
    <w:rsid w:val="00E13064"/>
    <w:rsid w:val="00E132C1"/>
    <w:rsid w:val="00E13EF6"/>
    <w:rsid w:val="00E14009"/>
    <w:rsid w:val="00E14634"/>
    <w:rsid w:val="00E148C0"/>
    <w:rsid w:val="00E149AA"/>
    <w:rsid w:val="00E1564A"/>
    <w:rsid w:val="00E1587C"/>
    <w:rsid w:val="00E15A21"/>
    <w:rsid w:val="00E15D98"/>
    <w:rsid w:val="00E16090"/>
    <w:rsid w:val="00E166C8"/>
    <w:rsid w:val="00E16882"/>
    <w:rsid w:val="00E1750A"/>
    <w:rsid w:val="00E177DD"/>
    <w:rsid w:val="00E17A6C"/>
    <w:rsid w:val="00E20699"/>
    <w:rsid w:val="00E20860"/>
    <w:rsid w:val="00E209FF"/>
    <w:rsid w:val="00E20AC7"/>
    <w:rsid w:val="00E21609"/>
    <w:rsid w:val="00E218CD"/>
    <w:rsid w:val="00E21EE9"/>
    <w:rsid w:val="00E21FFE"/>
    <w:rsid w:val="00E22038"/>
    <w:rsid w:val="00E22101"/>
    <w:rsid w:val="00E2261C"/>
    <w:rsid w:val="00E22D90"/>
    <w:rsid w:val="00E22E6E"/>
    <w:rsid w:val="00E22EA5"/>
    <w:rsid w:val="00E233E0"/>
    <w:rsid w:val="00E23599"/>
    <w:rsid w:val="00E23685"/>
    <w:rsid w:val="00E23C99"/>
    <w:rsid w:val="00E23DC6"/>
    <w:rsid w:val="00E240A5"/>
    <w:rsid w:val="00E24184"/>
    <w:rsid w:val="00E24193"/>
    <w:rsid w:val="00E24438"/>
    <w:rsid w:val="00E24821"/>
    <w:rsid w:val="00E24947"/>
    <w:rsid w:val="00E24F57"/>
    <w:rsid w:val="00E2589A"/>
    <w:rsid w:val="00E25C58"/>
    <w:rsid w:val="00E27059"/>
    <w:rsid w:val="00E270FC"/>
    <w:rsid w:val="00E27496"/>
    <w:rsid w:val="00E277B7"/>
    <w:rsid w:val="00E3070B"/>
    <w:rsid w:val="00E30A14"/>
    <w:rsid w:val="00E30CE0"/>
    <w:rsid w:val="00E30D09"/>
    <w:rsid w:val="00E31570"/>
    <w:rsid w:val="00E31644"/>
    <w:rsid w:val="00E319AE"/>
    <w:rsid w:val="00E31B18"/>
    <w:rsid w:val="00E31B6A"/>
    <w:rsid w:val="00E32048"/>
    <w:rsid w:val="00E32564"/>
    <w:rsid w:val="00E32BEF"/>
    <w:rsid w:val="00E32D0F"/>
    <w:rsid w:val="00E32DF0"/>
    <w:rsid w:val="00E32F8D"/>
    <w:rsid w:val="00E33169"/>
    <w:rsid w:val="00E3316E"/>
    <w:rsid w:val="00E336E1"/>
    <w:rsid w:val="00E34A65"/>
    <w:rsid w:val="00E34D0F"/>
    <w:rsid w:val="00E34D1D"/>
    <w:rsid w:val="00E34F6C"/>
    <w:rsid w:val="00E35182"/>
    <w:rsid w:val="00E35456"/>
    <w:rsid w:val="00E35981"/>
    <w:rsid w:val="00E35DC7"/>
    <w:rsid w:val="00E36215"/>
    <w:rsid w:val="00E36789"/>
    <w:rsid w:val="00E36A5A"/>
    <w:rsid w:val="00E36E30"/>
    <w:rsid w:val="00E36EC9"/>
    <w:rsid w:val="00E374A0"/>
    <w:rsid w:val="00E37E6F"/>
    <w:rsid w:val="00E37EC5"/>
    <w:rsid w:val="00E407F7"/>
    <w:rsid w:val="00E410DE"/>
    <w:rsid w:val="00E415CA"/>
    <w:rsid w:val="00E41E37"/>
    <w:rsid w:val="00E42297"/>
    <w:rsid w:val="00E42305"/>
    <w:rsid w:val="00E42503"/>
    <w:rsid w:val="00E42E71"/>
    <w:rsid w:val="00E4300A"/>
    <w:rsid w:val="00E433E8"/>
    <w:rsid w:val="00E43A30"/>
    <w:rsid w:val="00E43E18"/>
    <w:rsid w:val="00E440DD"/>
    <w:rsid w:val="00E44566"/>
    <w:rsid w:val="00E447FB"/>
    <w:rsid w:val="00E44882"/>
    <w:rsid w:val="00E44E7C"/>
    <w:rsid w:val="00E456EF"/>
    <w:rsid w:val="00E457BD"/>
    <w:rsid w:val="00E45A1B"/>
    <w:rsid w:val="00E45E0D"/>
    <w:rsid w:val="00E45F93"/>
    <w:rsid w:val="00E4628C"/>
    <w:rsid w:val="00E465F5"/>
    <w:rsid w:val="00E466AE"/>
    <w:rsid w:val="00E468E4"/>
    <w:rsid w:val="00E4757A"/>
    <w:rsid w:val="00E47CAE"/>
    <w:rsid w:val="00E50142"/>
    <w:rsid w:val="00E50338"/>
    <w:rsid w:val="00E504F7"/>
    <w:rsid w:val="00E505BD"/>
    <w:rsid w:val="00E505EC"/>
    <w:rsid w:val="00E50682"/>
    <w:rsid w:val="00E5087C"/>
    <w:rsid w:val="00E509CD"/>
    <w:rsid w:val="00E50B59"/>
    <w:rsid w:val="00E51070"/>
    <w:rsid w:val="00E515B8"/>
    <w:rsid w:val="00E51D76"/>
    <w:rsid w:val="00E52158"/>
    <w:rsid w:val="00E52440"/>
    <w:rsid w:val="00E5292C"/>
    <w:rsid w:val="00E52C6C"/>
    <w:rsid w:val="00E52CA7"/>
    <w:rsid w:val="00E533D5"/>
    <w:rsid w:val="00E53768"/>
    <w:rsid w:val="00E53819"/>
    <w:rsid w:val="00E53F0B"/>
    <w:rsid w:val="00E544B2"/>
    <w:rsid w:val="00E547F5"/>
    <w:rsid w:val="00E54AB1"/>
    <w:rsid w:val="00E54F7C"/>
    <w:rsid w:val="00E55101"/>
    <w:rsid w:val="00E55F00"/>
    <w:rsid w:val="00E55F10"/>
    <w:rsid w:val="00E55FC0"/>
    <w:rsid w:val="00E566C1"/>
    <w:rsid w:val="00E569CA"/>
    <w:rsid w:val="00E56A8E"/>
    <w:rsid w:val="00E5785A"/>
    <w:rsid w:val="00E578A3"/>
    <w:rsid w:val="00E57AEF"/>
    <w:rsid w:val="00E57E40"/>
    <w:rsid w:val="00E60008"/>
    <w:rsid w:val="00E60137"/>
    <w:rsid w:val="00E60BA2"/>
    <w:rsid w:val="00E6128A"/>
    <w:rsid w:val="00E624E2"/>
    <w:rsid w:val="00E6252E"/>
    <w:rsid w:val="00E6283D"/>
    <w:rsid w:val="00E62943"/>
    <w:rsid w:val="00E62C0C"/>
    <w:rsid w:val="00E62E06"/>
    <w:rsid w:val="00E632F1"/>
    <w:rsid w:val="00E63349"/>
    <w:rsid w:val="00E63B96"/>
    <w:rsid w:val="00E63CD1"/>
    <w:rsid w:val="00E64177"/>
    <w:rsid w:val="00E64236"/>
    <w:rsid w:val="00E64BCF"/>
    <w:rsid w:val="00E650CF"/>
    <w:rsid w:val="00E65104"/>
    <w:rsid w:val="00E65637"/>
    <w:rsid w:val="00E65C6E"/>
    <w:rsid w:val="00E65D6B"/>
    <w:rsid w:val="00E66414"/>
    <w:rsid w:val="00E66618"/>
    <w:rsid w:val="00E667C5"/>
    <w:rsid w:val="00E6689F"/>
    <w:rsid w:val="00E6691B"/>
    <w:rsid w:val="00E67DCB"/>
    <w:rsid w:val="00E705D0"/>
    <w:rsid w:val="00E70A3D"/>
    <w:rsid w:val="00E70C40"/>
    <w:rsid w:val="00E71564"/>
    <w:rsid w:val="00E7242C"/>
    <w:rsid w:val="00E7271B"/>
    <w:rsid w:val="00E72DA4"/>
    <w:rsid w:val="00E7304C"/>
    <w:rsid w:val="00E730EC"/>
    <w:rsid w:val="00E7399A"/>
    <w:rsid w:val="00E73AD4"/>
    <w:rsid w:val="00E74055"/>
    <w:rsid w:val="00E74E30"/>
    <w:rsid w:val="00E75332"/>
    <w:rsid w:val="00E75339"/>
    <w:rsid w:val="00E75E87"/>
    <w:rsid w:val="00E7675F"/>
    <w:rsid w:val="00E76B57"/>
    <w:rsid w:val="00E76C70"/>
    <w:rsid w:val="00E771D7"/>
    <w:rsid w:val="00E77BF3"/>
    <w:rsid w:val="00E8016B"/>
    <w:rsid w:val="00E803AC"/>
    <w:rsid w:val="00E804F2"/>
    <w:rsid w:val="00E80699"/>
    <w:rsid w:val="00E8176A"/>
    <w:rsid w:val="00E820C4"/>
    <w:rsid w:val="00E824D9"/>
    <w:rsid w:val="00E8288A"/>
    <w:rsid w:val="00E82955"/>
    <w:rsid w:val="00E82D34"/>
    <w:rsid w:val="00E8322B"/>
    <w:rsid w:val="00E8409E"/>
    <w:rsid w:val="00E84197"/>
    <w:rsid w:val="00E842A6"/>
    <w:rsid w:val="00E843BA"/>
    <w:rsid w:val="00E84867"/>
    <w:rsid w:val="00E84A88"/>
    <w:rsid w:val="00E84C49"/>
    <w:rsid w:val="00E84F4C"/>
    <w:rsid w:val="00E85159"/>
    <w:rsid w:val="00E851FC"/>
    <w:rsid w:val="00E85805"/>
    <w:rsid w:val="00E85AF2"/>
    <w:rsid w:val="00E85D96"/>
    <w:rsid w:val="00E863AE"/>
    <w:rsid w:val="00E866B8"/>
    <w:rsid w:val="00E867A4"/>
    <w:rsid w:val="00E867A6"/>
    <w:rsid w:val="00E868C7"/>
    <w:rsid w:val="00E869FC"/>
    <w:rsid w:val="00E86F62"/>
    <w:rsid w:val="00E870DB"/>
    <w:rsid w:val="00E871C1"/>
    <w:rsid w:val="00E8731D"/>
    <w:rsid w:val="00E87523"/>
    <w:rsid w:val="00E87AA4"/>
    <w:rsid w:val="00E90212"/>
    <w:rsid w:val="00E90345"/>
    <w:rsid w:val="00E904CE"/>
    <w:rsid w:val="00E90552"/>
    <w:rsid w:val="00E91063"/>
    <w:rsid w:val="00E9110B"/>
    <w:rsid w:val="00E91A41"/>
    <w:rsid w:val="00E91E3E"/>
    <w:rsid w:val="00E9212A"/>
    <w:rsid w:val="00E92226"/>
    <w:rsid w:val="00E923EA"/>
    <w:rsid w:val="00E924BC"/>
    <w:rsid w:val="00E92E5A"/>
    <w:rsid w:val="00E92EF4"/>
    <w:rsid w:val="00E931BA"/>
    <w:rsid w:val="00E937E2"/>
    <w:rsid w:val="00E9396F"/>
    <w:rsid w:val="00E93D50"/>
    <w:rsid w:val="00E93F31"/>
    <w:rsid w:val="00E94001"/>
    <w:rsid w:val="00E94182"/>
    <w:rsid w:val="00E94553"/>
    <w:rsid w:val="00E94E26"/>
    <w:rsid w:val="00E9519E"/>
    <w:rsid w:val="00E9557F"/>
    <w:rsid w:val="00E95BC6"/>
    <w:rsid w:val="00E95FD9"/>
    <w:rsid w:val="00E976C4"/>
    <w:rsid w:val="00E97F35"/>
    <w:rsid w:val="00EA0053"/>
    <w:rsid w:val="00EA0307"/>
    <w:rsid w:val="00EA043C"/>
    <w:rsid w:val="00EA0586"/>
    <w:rsid w:val="00EA07D6"/>
    <w:rsid w:val="00EA0AFF"/>
    <w:rsid w:val="00EA0E57"/>
    <w:rsid w:val="00EA173B"/>
    <w:rsid w:val="00EA196E"/>
    <w:rsid w:val="00EA1C00"/>
    <w:rsid w:val="00EA1C1D"/>
    <w:rsid w:val="00EA28DC"/>
    <w:rsid w:val="00EA2927"/>
    <w:rsid w:val="00EA2993"/>
    <w:rsid w:val="00EA2A4D"/>
    <w:rsid w:val="00EA32E1"/>
    <w:rsid w:val="00EA3875"/>
    <w:rsid w:val="00EA39B8"/>
    <w:rsid w:val="00EA3D3D"/>
    <w:rsid w:val="00EA3E72"/>
    <w:rsid w:val="00EA40CF"/>
    <w:rsid w:val="00EA4356"/>
    <w:rsid w:val="00EA46BB"/>
    <w:rsid w:val="00EA4AA3"/>
    <w:rsid w:val="00EA4BCF"/>
    <w:rsid w:val="00EA6095"/>
    <w:rsid w:val="00EA633F"/>
    <w:rsid w:val="00EA6CC7"/>
    <w:rsid w:val="00EA6E1E"/>
    <w:rsid w:val="00EA7201"/>
    <w:rsid w:val="00EA7281"/>
    <w:rsid w:val="00EA7299"/>
    <w:rsid w:val="00EA7406"/>
    <w:rsid w:val="00EA7747"/>
    <w:rsid w:val="00EA7B09"/>
    <w:rsid w:val="00EB12D1"/>
    <w:rsid w:val="00EB1FEC"/>
    <w:rsid w:val="00EB256D"/>
    <w:rsid w:val="00EB2A7A"/>
    <w:rsid w:val="00EB2BB8"/>
    <w:rsid w:val="00EB33AE"/>
    <w:rsid w:val="00EB3573"/>
    <w:rsid w:val="00EB3601"/>
    <w:rsid w:val="00EB3634"/>
    <w:rsid w:val="00EB384A"/>
    <w:rsid w:val="00EB39F6"/>
    <w:rsid w:val="00EB3BA6"/>
    <w:rsid w:val="00EB3F2C"/>
    <w:rsid w:val="00EB408C"/>
    <w:rsid w:val="00EB42DB"/>
    <w:rsid w:val="00EB434D"/>
    <w:rsid w:val="00EB47D8"/>
    <w:rsid w:val="00EB4C5B"/>
    <w:rsid w:val="00EB5186"/>
    <w:rsid w:val="00EB539E"/>
    <w:rsid w:val="00EB53AE"/>
    <w:rsid w:val="00EB54A2"/>
    <w:rsid w:val="00EB576F"/>
    <w:rsid w:val="00EB5A03"/>
    <w:rsid w:val="00EB5CA1"/>
    <w:rsid w:val="00EB5CD3"/>
    <w:rsid w:val="00EB5F39"/>
    <w:rsid w:val="00EB65BC"/>
    <w:rsid w:val="00EB6740"/>
    <w:rsid w:val="00EB6931"/>
    <w:rsid w:val="00EB6A71"/>
    <w:rsid w:val="00EB7818"/>
    <w:rsid w:val="00EB7895"/>
    <w:rsid w:val="00EC033C"/>
    <w:rsid w:val="00EC06EE"/>
    <w:rsid w:val="00EC0840"/>
    <w:rsid w:val="00EC0869"/>
    <w:rsid w:val="00EC08DB"/>
    <w:rsid w:val="00EC0B6E"/>
    <w:rsid w:val="00EC0DCA"/>
    <w:rsid w:val="00EC0E7D"/>
    <w:rsid w:val="00EC1145"/>
    <w:rsid w:val="00EC12C8"/>
    <w:rsid w:val="00EC13E2"/>
    <w:rsid w:val="00EC147A"/>
    <w:rsid w:val="00EC192F"/>
    <w:rsid w:val="00EC1E8E"/>
    <w:rsid w:val="00EC2C7B"/>
    <w:rsid w:val="00EC2D01"/>
    <w:rsid w:val="00EC2EFA"/>
    <w:rsid w:val="00EC3086"/>
    <w:rsid w:val="00EC3384"/>
    <w:rsid w:val="00EC35AB"/>
    <w:rsid w:val="00EC392D"/>
    <w:rsid w:val="00EC395B"/>
    <w:rsid w:val="00EC3DC6"/>
    <w:rsid w:val="00EC3F4B"/>
    <w:rsid w:val="00EC4031"/>
    <w:rsid w:val="00EC4348"/>
    <w:rsid w:val="00EC48B0"/>
    <w:rsid w:val="00EC4B48"/>
    <w:rsid w:val="00EC4E90"/>
    <w:rsid w:val="00EC4F62"/>
    <w:rsid w:val="00EC5145"/>
    <w:rsid w:val="00EC5199"/>
    <w:rsid w:val="00EC5313"/>
    <w:rsid w:val="00EC5384"/>
    <w:rsid w:val="00EC54C6"/>
    <w:rsid w:val="00EC54E5"/>
    <w:rsid w:val="00EC5A55"/>
    <w:rsid w:val="00EC5AD7"/>
    <w:rsid w:val="00EC5C38"/>
    <w:rsid w:val="00EC5EFB"/>
    <w:rsid w:val="00EC6525"/>
    <w:rsid w:val="00EC682A"/>
    <w:rsid w:val="00EC6A41"/>
    <w:rsid w:val="00EC6DA1"/>
    <w:rsid w:val="00EC77C1"/>
    <w:rsid w:val="00EC7E2A"/>
    <w:rsid w:val="00ED000B"/>
    <w:rsid w:val="00ED13B8"/>
    <w:rsid w:val="00ED2249"/>
    <w:rsid w:val="00ED22EB"/>
    <w:rsid w:val="00ED2849"/>
    <w:rsid w:val="00ED2DD9"/>
    <w:rsid w:val="00ED2F04"/>
    <w:rsid w:val="00ED308B"/>
    <w:rsid w:val="00ED308E"/>
    <w:rsid w:val="00ED3EE4"/>
    <w:rsid w:val="00ED432A"/>
    <w:rsid w:val="00ED4855"/>
    <w:rsid w:val="00ED4D7E"/>
    <w:rsid w:val="00ED5110"/>
    <w:rsid w:val="00ED5454"/>
    <w:rsid w:val="00ED56A7"/>
    <w:rsid w:val="00ED59EE"/>
    <w:rsid w:val="00ED5A19"/>
    <w:rsid w:val="00ED5B86"/>
    <w:rsid w:val="00ED5FC2"/>
    <w:rsid w:val="00ED7028"/>
    <w:rsid w:val="00ED71AB"/>
    <w:rsid w:val="00ED7893"/>
    <w:rsid w:val="00ED7959"/>
    <w:rsid w:val="00ED7B2C"/>
    <w:rsid w:val="00ED7E99"/>
    <w:rsid w:val="00EE09F7"/>
    <w:rsid w:val="00EE0C5F"/>
    <w:rsid w:val="00EE1A4A"/>
    <w:rsid w:val="00EE1B5F"/>
    <w:rsid w:val="00EE1F7B"/>
    <w:rsid w:val="00EE20CD"/>
    <w:rsid w:val="00EE2289"/>
    <w:rsid w:val="00EE22A7"/>
    <w:rsid w:val="00EE22C5"/>
    <w:rsid w:val="00EE2487"/>
    <w:rsid w:val="00EE2512"/>
    <w:rsid w:val="00EE2534"/>
    <w:rsid w:val="00EE273C"/>
    <w:rsid w:val="00EE275E"/>
    <w:rsid w:val="00EE2CFB"/>
    <w:rsid w:val="00EE2F67"/>
    <w:rsid w:val="00EE3AC1"/>
    <w:rsid w:val="00EE41C5"/>
    <w:rsid w:val="00EE42D2"/>
    <w:rsid w:val="00EE45D3"/>
    <w:rsid w:val="00EE4850"/>
    <w:rsid w:val="00EE4CE1"/>
    <w:rsid w:val="00EE4E6B"/>
    <w:rsid w:val="00EE5056"/>
    <w:rsid w:val="00EE5121"/>
    <w:rsid w:val="00EE51C7"/>
    <w:rsid w:val="00EE5303"/>
    <w:rsid w:val="00EE5877"/>
    <w:rsid w:val="00EE5C71"/>
    <w:rsid w:val="00EE63D4"/>
    <w:rsid w:val="00EE651A"/>
    <w:rsid w:val="00EE6853"/>
    <w:rsid w:val="00EE6F22"/>
    <w:rsid w:val="00EE768B"/>
    <w:rsid w:val="00EE7FBD"/>
    <w:rsid w:val="00EF04D4"/>
    <w:rsid w:val="00EF07DB"/>
    <w:rsid w:val="00EF1B61"/>
    <w:rsid w:val="00EF1DAB"/>
    <w:rsid w:val="00EF210B"/>
    <w:rsid w:val="00EF2124"/>
    <w:rsid w:val="00EF2C6F"/>
    <w:rsid w:val="00EF2F59"/>
    <w:rsid w:val="00EF33F4"/>
    <w:rsid w:val="00EF33F9"/>
    <w:rsid w:val="00EF348D"/>
    <w:rsid w:val="00EF34DA"/>
    <w:rsid w:val="00EF3723"/>
    <w:rsid w:val="00EF376A"/>
    <w:rsid w:val="00EF37D2"/>
    <w:rsid w:val="00EF3F15"/>
    <w:rsid w:val="00EF517A"/>
    <w:rsid w:val="00EF51F8"/>
    <w:rsid w:val="00EF51FE"/>
    <w:rsid w:val="00EF543F"/>
    <w:rsid w:val="00EF581E"/>
    <w:rsid w:val="00EF5AB2"/>
    <w:rsid w:val="00EF6BB5"/>
    <w:rsid w:val="00EF6C81"/>
    <w:rsid w:val="00EF6F75"/>
    <w:rsid w:val="00EF7146"/>
    <w:rsid w:val="00EF7231"/>
    <w:rsid w:val="00EF7ADF"/>
    <w:rsid w:val="00EF7BA1"/>
    <w:rsid w:val="00EF7CBF"/>
    <w:rsid w:val="00F005B4"/>
    <w:rsid w:val="00F00AB2"/>
    <w:rsid w:val="00F0118E"/>
    <w:rsid w:val="00F016DC"/>
    <w:rsid w:val="00F01AB5"/>
    <w:rsid w:val="00F023C5"/>
    <w:rsid w:val="00F0310F"/>
    <w:rsid w:val="00F035FA"/>
    <w:rsid w:val="00F04127"/>
    <w:rsid w:val="00F04220"/>
    <w:rsid w:val="00F042B9"/>
    <w:rsid w:val="00F04938"/>
    <w:rsid w:val="00F05C23"/>
    <w:rsid w:val="00F06044"/>
    <w:rsid w:val="00F062E2"/>
    <w:rsid w:val="00F06550"/>
    <w:rsid w:val="00F0693D"/>
    <w:rsid w:val="00F06B7E"/>
    <w:rsid w:val="00F06D29"/>
    <w:rsid w:val="00F06EA5"/>
    <w:rsid w:val="00F07017"/>
    <w:rsid w:val="00F0760E"/>
    <w:rsid w:val="00F07C33"/>
    <w:rsid w:val="00F07C74"/>
    <w:rsid w:val="00F1017B"/>
    <w:rsid w:val="00F10E27"/>
    <w:rsid w:val="00F1101E"/>
    <w:rsid w:val="00F116C0"/>
    <w:rsid w:val="00F1202A"/>
    <w:rsid w:val="00F12A65"/>
    <w:rsid w:val="00F12AE4"/>
    <w:rsid w:val="00F1367F"/>
    <w:rsid w:val="00F14477"/>
    <w:rsid w:val="00F14653"/>
    <w:rsid w:val="00F14921"/>
    <w:rsid w:val="00F15474"/>
    <w:rsid w:val="00F155A2"/>
    <w:rsid w:val="00F15BBF"/>
    <w:rsid w:val="00F15EAA"/>
    <w:rsid w:val="00F161D2"/>
    <w:rsid w:val="00F16218"/>
    <w:rsid w:val="00F16578"/>
    <w:rsid w:val="00F165E5"/>
    <w:rsid w:val="00F1663F"/>
    <w:rsid w:val="00F1690B"/>
    <w:rsid w:val="00F169F1"/>
    <w:rsid w:val="00F16A3A"/>
    <w:rsid w:val="00F16EC3"/>
    <w:rsid w:val="00F16F05"/>
    <w:rsid w:val="00F1716E"/>
    <w:rsid w:val="00F1722E"/>
    <w:rsid w:val="00F1744C"/>
    <w:rsid w:val="00F17895"/>
    <w:rsid w:val="00F17978"/>
    <w:rsid w:val="00F200B0"/>
    <w:rsid w:val="00F203F4"/>
    <w:rsid w:val="00F208EE"/>
    <w:rsid w:val="00F209C2"/>
    <w:rsid w:val="00F20A02"/>
    <w:rsid w:val="00F21961"/>
    <w:rsid w:val="00F219F7"/>
    <w:rsid w:val="00F21A38"/>
    <w:rsid w:val="00F21F90"/>
    <w:rsid w:val="00F22C9F"/>
    <w:rsid w:val="00F22CD4"/>
    <w:rsid w:val="00F22EAE"/>
    <w:rsid w:val="00F232C5"/>
    <w:rsid w:val="00F23A78"/>
    <w:rsid w:val="00F23BD4"/>
    <w:rsid w:val="00F23E96"/>
    <w:rsid w:val="00F2400C"/>
    <w:rsid w:val="00F24014"/>
    <w:rsid w:val="00F24D63"/>
    <w:rsid w:val="00F25161"/>
    <w:rsid w:val="00F252A8"/>
    <w:rsid w:val="00F25626"/>
    <w:rsid w:val="00F256B8"/>
    <w:rsid w:val="00F2590D"/>
    <w:rsid w:val="00F25AC7"/>
    <w:rsid w:val="00F264A0"/>
    <w:rsid w:val="00F26C23"/>
    <w:rsid w:val="00F27221"/>
    <w:rsid w:val="00F27355"/>
    <w:rsid w:val="00F27E0B"/>
    <w:rsid w:val="00F303E7"/>
    <w:rsid w:val="00F305BB"/>
    <w:rsid w:val="00F30AC4"/>
    <w:rsid w:val="00F315B7"/>
    <w:rsid w:val="00F31768"/>
    <w:rsid w:val="00F31904"/>
    <w:rsid w:val="00F324AE"/>
    <w:rsid w:val="00F3267F"/>
    <w:rsid w:val="00F32D36"/>
    <w:rsid w:val="00F32E04"/>
    <w:rsid w:val="00F32E56"/>
    <w:rsid w:val="00F3333B"/>
    <w:rsid w:val="00F333ED"/>
    <w:rsid w:val="00F335E5"/>
    <w:rsid w:val="00F33D0A"/>
    <w:rsid w:val="00F3425F"/>
    <w:rsid w:val="00F34696"/>
    <w:rsid w:val="00F35087"/>
    <w:rsid w:val="00F35100"/>
    <w:rsid w:val="00F353A3"/>
    <w:rsid w:val="00F35A2A"/>
    <w:rsid w:val="00F35AB0"/>
    <w:rsid w:val="00F36038"/>
    <w:rsid w:val="00F36753"/>
    <w:rsid w:val="00F3693A"/>
    <w:rsid w:val="00F369EA"/>
    <w:rsid w:val="00F36AFD"/>
    <w:rsid w:val="00F3718A"/>
    <w:rsid w:val="00F373FC"/>
    <w:rsid w:val="00F403F6"/>
    <w:rsid w:val="00F411FE"/>
    <w:rsid w:val="00F413DA"/>
    <w:rsid w:val="00F41954"/>
    <w:rsid w:val="00F42E93"/>
    <w:rsid w:val="00F4303C"/>
    <w:rsid w:val="00F436A0"/>
    <w:rsid w:val="00F43C66"/>
    <w:rsid w:val="00F43E61"/>
    <w:rsid w:val="00F44165"/>
    <w:rsid w:val="00F44249"/>
    <w:rsid w:val="00F446BE"/>
    <w:rsid w:val="00F44876"/>
    <w:rsid w:val="00F44C22"/>
    <w:rsid w:val="00F452E8"/>
    <w:rsid w:val="00F45878"/>
    <w:rsid w:val="00F4596E"/>
    <w:rsid w:val="00F45A60"/>
    <w:rsid w:val="00F45E20"/>
    <w:rsid w:val="00F463BF"/>
    <w:rsid w:val="00F46CA3"/>
    <w:rsid w:val="00F470E0"/>
    <w:rsid w:val="00F471C4"/>
    <w:rsid w:val="00F471E6"/>
    <w:rsid w:val="00F4736B"/>
    <w:rsid w:val="00F474E1"/>
    <w:rsid w:val="00F475BF"/>
    <w:rsid w:val="00F478D4"/>
    <w:rsid w:val="00F50031"/>
    <w:rsid w:val="00F50C83"/>
    <w:rsid w:val="00F51151"/>
    <w:rsid w:val="00F511F0"/>
    <w:rsid w:val="00F5129F"/>
    <w:rsid w:val="00F518B2"/>
    <w:rsid w:val="00F51D20"/>
    <w:rsid w:val="00F51EFA"/>
    <w:rsid w:val="00F52432"/>
    <w:rsid w:val="00F52665"/>
    <w:rsid w:val="00F527CC"/>
    <w:rsid w:val="00F529C4"/>
    <w:rsid w:val="00F52EB2"/>
    <w:rsid w:val="00F53651"/>
    <w:rsid w:val="00F53684"/>
    <w:rsid w:val="00F54107"/>
    <w:rsid w:val="00F54173"/>
    <w:rsid w:val="00F5437B"/>
    <w:rsid w:val="00F5509C"/>
    <w:rsid w:val="00F556A6"/>
    <w:rsid w:val="00F559EF"/>
    <w:rsid w:val="00F55A36"/>
    <w:rsid w:val="00F55B55"/>
    <w:rsid w:val="00F55DB7"/>
    <w:rsid w:val="00F56216"/>
    <w:rsid w:val="00F5631C"/>
    <w:rsid w:val="00F563D8"/>
    <w:rsid w:val="00F563F4"/>
    <w:rsid w:val="00F5678F"/>
    <w:rsid w:val="00F56822"/>
    <w:rsid w:val="00F568DF"/>
    <w:rsid w:val="00F56B4E"/>
    <w:rsid w:val="00F56BAD"/>
    <w:rsid w:val="00F5771A"/>
    <w:rsid w:val="00F57AA9"/>
    <w:rsid w:val="00F603D6"/>
    <w:rsid w:val="00F6078A"/>
    <w:rsid w:val="00F610B2"/>
    <w:rsid w:val="00F6120F"/>
    <w:rsid w:val="00F613D3"/>
    <w:rsid w:val="00F615D3"/>
    <w:rsid w:val="00F6163D"/>
    <w:rsid w:val="00F62807"/>
    <w:rsid w:val="00F62E90"/>
    <w:rsid w:val="00F62F26"/>
    <w:rsid w:val="00F63197"/>
    <w:rsid w:val="00F6340D"/>
    <w:rsid w:val="00F63539"/>
    <w:rsid w:val="00F63682"/>
    <w:rsid w:val="00F639B2"/>
    <w:rsid w:val="00F642B2"/>
    <w:rsid w:val="00F6477A"/>
    <w:rsid w:val="00F64F1C"/>
    <w:rsid w:val="00F65A99"/>
    <w:rsid w:val="00F65ADA"/>
    <w:rsid w:val="00F65B2B"/>
    <w:rsid w:val="00F65C67"/>
    <w:rsid w:val="00F65FA4"/>
    <w:rsid w:val="00F66147"/>
    <w:rsid w:val="00F663AE"/>
    <w:rsid w:val="00F665D2"/>
    <w:rsid w:val="00F666D3"/>
    <w:rsid w:val="00F67908"/>
    <w:rsid w:val="00F67CD1"/>
    <w:rsid w:val="00F70211"/>
    <w:rsid w:val="00F70372"/>
    <w:rsid w:val="00F704CD"/>
    <w:rsid w:val="00F70DDB"/>
    <w:rsid w:val="00F711D1"/>
    <w:rsid w:val="00F71518"/>
    <w:rsid w:val="00F7151B"/>
    <w:rsid w:val="00F71722"/>
    <w:rsid w:val="00F719F6"/>
    <w:rsid w:val="00F71B28"/>
    <w:rsid w:val="00F72610"/>
    <w:rsid w:val="00F73227"/>
    <w:rsid w:val="00F73480"/>
    <w:rsid w:val="00F73869"/>
    <w:rsid w:val="00F74264"/>
    <w:rsid w:val="00F748DC"/>
    <w:rsid w:val="00F74A58"/>
    <w:rsid w:val="00F750B0"/>
    <w:rsid w:val="00F754D8"/>
    <w:rsid w:val="00F755CF"/>
    <w:rsid w:val="00F75846"/>
    <w:rsid w:val="00F75912"/>
    <w:rsid w:val="00F75992"/>
    <w:rsid w:val="00F7602A"/>
    <w:rsid w:val="00F76E85"/>
    <w:rsid w:val="00F771F3"/>
    <w:rsid w:val="00F77257"/>
    <w:rsid w:val="00F773AD"/>
    <w:rsid w:val="00F776CA"/>
    <w:rsid w:val="00F77A87"/>
    <w:rsid w:val="00F77E7A"/>
    <w:rsid w:val="00F77FD0"/>
    <w:rsid w:val="00F80034"/>
    <w:rsid w:val="00F80267"/>
    <w:rsid w:val="00F80432"/>
    <w:rsid w:val="00F80A67"/>
    <w:rsid w:val="00F80F30"/>
    <w:rsid w:val="00F817EF"/>
    <w:rsid w:val="00F81A3A"/>
    <w:rsid w:val="00F81C94"/>
    <w:rsid w:val="00F81DB2"/>
    <w:rsid w:val="00F824F7"/>
    <w:rsid w:val="00F82664"/>
    <w:rsid w:val="00F826DA"/>
    <w:rsid w:val="00F82ED6"/>
    <w:rsid w:val="00F834D6"/>
    <w:rsid w:val="00F83882"/>
    <w:rsid w:val="00F83887"/>
    <w:rsid w:val="00F83AC8"/>
    <w:rsid w:val="00F83E5A"/>
    <w:rsid w:val="00F84465"/>
    <w:rsid w:val="00F8503D"/>
    <w:rsid w:val="00F855EB"/>
    <w:rsid w:val="00F85B15"/>
    <w:rsid w:val="00F85F78"/>
    <w:rsid w:val="00F86540"/>
    <w:rsid w:val="00F868B4"/>
    <w:rsid w:val="00F868D3"/>
    <w:rsid w:val="00F8768F"/>
    <w:rsid w:val="00F87ABA"/>
    <w:rsid w:val="00F87FFC"/>
    <w:rsid w:val="00F90499"/>
    <w:rsid w:val="00F915D5"/>
    <w:rsid w:val="00F918D3"/>
    <w:rsid w:val="00F91C5E"/>
    <w:rsid w:val="00F91C69"/>
    <w:rsid w:val="00F91C99"/>
    <w:rsid w:val="00F91F30"/>
    <w:rsid w:val="00F92354"/>
    <w:rsid w:val="00F9278A"/>
    <w:rsid w:val="00F92792"/>
    <w:rsid w:val="00F92B4E"/>
    <w:rsid w:val="00F92BA0"/>
    <w:rsid w:val="00F93561"/>
    <w:rsid w:val="00F93F17"/>
    <w:rsid w:val="00F9428C"/>
    <w:rsid w:val="00F94F77"/>
    <w:rsid w:val="00F94FCB"/>
    <w:rsid w:val="00F956D4"/>
    <w:rsid w:val="00F95729"/>
    <w:rsid w:val="00F95D87"/>
    <w:rsid w:val="00F95E96"/>
    <w:rsid w:val="00F96769"/>
    <w:rsid w:val="00F97326"/>
    <w:rsid w:val="00F9756D"/>
    <w:rsid w:val="00F9757C"/>
    <w:rsid w:val="00F97947"/>
    <w:rsid w:val="00F97BB2"/>
    <w:rsid w:val="00F97C13"/>
    <w:rsid w:val="00F97D26"/>
    <w:rsid w:val="00FA0061"/>
    <w:rsid w:val="00FA0676"/>
    <w:rsid w:val="00FA11D8"/>
    <w:rsid w:val="00FA11FD"/>
    <w:rsid w:val="00FA1286"/>
    <w:rsid w:val="00FA138A"/>
    <w:rsid w:val="00FA144F"/>
    <w:rsid w:val="00FA18B4"/>
    <w:rsid w:val="00FA238F"/>
    <w:rsid w:val="00FA23F4"/>
    <w:rsid w:val="00FA262A"/>
    <w:rsid w:val="00FA3D69"/>
    <w:rsid w:val="00FA4271"/>
    <w:rsid w:val="00FA4319"/>
    <w:rsid w:val="00FA450B"/>
    <w:rsid w:val="00FA474E"/>
    <w:rsid w:val="00FA49FF"/>
    <w:rsid w:val="00FA4A33"/>
    <w:rsid w:val="00FA5ADD"/>
    <w:rsid w:val="00FA5E14"/>
    <w:rsid w:val="00FA5F7C"/>
    <w:rsid w:val="00FA6012"/>
    <w:rsid w:val="00FA620C"/>
    <w:rsid w:val="00FA665B"/>
    <w:rsid w:val="00FA6C21"/>
    <w:rsid w:val="00FA7188"/>
    <w:rsid w:val="00FA73D7"/>
    <w:rsid w:val="00FA742F"/>
    <w:rsid w:val="00FA7CA2"/>
    <w:rsid w:val="00FA7EB1"/>
    <w:rsid w:val="00FB0281"/>
    <w:rsid w:val="00FB13C2"/>
    <w:rsid w:val="00FB167E"/>
    <w:rsid w:val="00FB1794"/>
    <w:rsid w:val="00FB18FD"/>
    <w:rsid w:val="00FB1C79"/>
    <w:rsid w:val="00FB1D42"/>
    <w:rsid w:val="00FB25D5"/>
    <w:rsid w:val="00FB263F"/>
    <w:rsid w:val="00FB2FDA"/>
    <w:rsid w:val="00FB3184"/>
    <w:rsid w:val="00FB37F4"/>
    <w:rsid w:val="00FB390E"/>
    <w:rsid w:val="00FB4926"/>
    <w:rsid w:val="00FB4A07"/>
    <w:rsid w:val="00FB4A68"/>
    <w:rsid w:val="00FB4E4C"/>
    <w:rsid w:val="00FB5DCA"/>
    <w:rsid w:val="00FB5FD1"/>
    <w:rsid w:val="00FB625E"/>
    <w:rsid w:val="00FB6A06"/>
    <w:rsid w:val="00FB6A53"/>
    <w:rsid w:val="00FB6A99"/>
    <w:rsid w:val="00FB6ABE"/>
    <w:rsid w:val="00FB6E92"/>
    <w:rsid w:val="00FB7599"/>
    <w:rsid w:val="00FB7609"/>
    <w:rsid w:val="00FB790E"/>
    <w:rsid w:val="00FB7C06"/>
    <w:rsid w:val="00FB7C8B"/>
    <w:rsid w:val="00FC0094"/>
    <w:rsid w:val="00FC00DF"/>
    <w:rsid w:val="00FC1892"/>
    <w:rsid w:val="00FC1A1B"/>
    <w:rsid w:val="00FC1B82"/>
    <w:rsid w:val="00FC267C"/>
    <w:rsid w:val="00FC3701"/>
    <w:rsid w:val="00FC3E26"/>
    <w:rsid w:val="00FC4175"/>
    <w:rsid w:val="00FC4177"/>
    <w:rsid w:val="00FC47E8"/>
    <w:rsid w:val="00FC4CAE"/>
    <w:rsid w:val="00FC53E5"/>
    <w:rsid w:val="00FC59D9"/>
    <w:rsid w:val="00FC6212"/>
    <w:rsid w:val="00FC6299"/>
    <w:rsid w:val="00FC673E"/>
    <w:rsid w:val="00FC6E4E"/>
    <w:rsid w:val="00FC70D1"/>
    <w:rsid w:val="00FC73AC"/>
    <w:rsid w:val="00FC7665"/>
    <w:rsid w:val="00FC7666"/>
    <w:rsid w:val="00FC7B98"/>
    <w:rsid w:val="00FD038A"/>
    <w:rsid w:val="00FD04DB"/>
    <w:rsid w:val="00FD0B8D"/>
    <w:rsid w:val="00FD112A"/>
    <w:rsid w:val="00FD113D"/>
    <w:rsid w:val="00FD15A5"/>
    <w:rsid w:val="00FD1E06"/>
    <w:rsid w:val="00FD1ED3"/>
    <w:rsid w:val="00FD2395"/>
    <w:rsid w:val="00FD23A8"/>
    <w:rsid w:val="00FD27DA"/>
    <w:rsid w:val="00FD287D"/>
    <w:rsid w:val="00FD288A"/>
    <w:rsid w:val="00FD3427"/>
    <w:rsid w:val="00FD4223"/>
    <w:rsid w:val="00FD4636"/>
    <w:rsid w:val="00FD50A3"/>
    <w:rsid w:val="00FD56F5"/>
    <w:rsid w:val="00FD5B65"/>
    <w:rsid w:val="00FD5B99"/>
    <w:rsid w:val="00FD5C89"/>
    <w:rsid w:val="00FD61A3"/>
    <w:rsid w:val="00FD67B3"/>
    <w:rsid w:val="00FD6E54"/>
    <w:rsid w:val="00FD7B26"/>
    <w:rsid w:val="00FD7E4D"/>
    <w:rsid w:val="00FE028B"/>
    <w:rsid w:val="00FE08DC"/>
    <w:rsid w:val="00FE0B16"/>
    <w:rsid w:val="00FE0BAC"/>
    <w:rsid w:val="00FE0CE8"/>
    <w:rsid w:val="00FE0FB4"/>
    <w:rsid w:val="00FE1006"/>
    <w:rsid w:val="00FE1625"/>
    <w:rsid w:val="00FE1B3F"/>
    <w:rsid w:val="00FE2096"/>
    <w:rsid w:val="00FE22C1"/>
    <w:rsid w:val="00FE25F4"/>
    <w:rsid w:val="00FE2CF4"/>
    <w:rsid w:val="00FE30A9"/>
    <w:rsid w:val="00FE30F0"/>
    <w:rsid w:val="00FE33A1"/>
    <w:rsid w:val="00FE3B74"/>
    <w:rsid w:val="00FE3F59"/>
    <w:rsid w:val="00FE499A"/>
    <w:rsid w:val="00FE4AB7"/>
    <w:rsid w:val="00FE4B5D"/>
    <w:rsid w:val="00FE5368"/>
    <w:rsid w:val="00FE59E6"/>
    <w:rsid w:val="00FE5C59"/>
    <w:rsid w:val="00FE628E"/>
    <w:rsid w:val="00FE6417"/>
    <w:rsid w:val="00FE6530"/>
    <w:rsid w:val="00FE668C"/>
    <w:rsid w:val="00FE66E9"/>
    <w:rsid w:val="00FE68EB"/>
    <w:rsid w:val="00FE6FE3"/>
    <w:rsid w:val="00FE7344"/>
    <w:rsid w:val="00FE756F"/>
    <w:rsid w:val="00FE77F7"/>
    <w:rsid w:val="00FE782D"/>
    <w:rsid w:val="00FE7B00"/>
    <w:rsid w:val="00FE7C06"/>
    <w:rsid w:val="00FE7ECC"/>
    <w:rsid w:val="00FE7F1E"/>
    <w:rsid w:val="00FF028F"/>
    <w:rsid w:val="00FF05FF"/>
    <w:rsid w:val="00FF06BB"/>
    <w:rsid w:val="00FF06F0"/>
    <w:rsid w:val="00FF0BDA"/>
    <w:rsid w:val="00FF0C06"/>
    <w:rsid w:val="00FF0DA8"/>
    <w:rsid w:val="00FF0FE7"/>
    <w:rsid w:val="00FF2A5C"/>
    <w:rsid w:val="00FF334B"/>
    <w:rsid w:val="00FF3D15"/>
    <w:rsid w:val="00FF44F1"/>
    <w:rsid w:val="00FF45F6"/>
    <w:rsid w:val="00FF4643"/>
    <w:rsid w:val="00FF4CCB"/>
    <w:rsid w:val="00FF4D3A"/>
    <w:rsid w:val="00FF52C0"/>
    <w:rsid w:val="00FF52EA"/>
    <w:rsid w:val="00FF5880"/>
    <w:rsid w:val="00FF59D8"/>
    <w:rsid w:val="00FF6328"/>
    <w:rsid w:val="00FF6D22"/>
    <w:rsid w:val="00FF6E5A"/>
    <w:rsid w:val="00FF71BB"/>
    <w:rsid w:val="00FF72C0"/>
    <w:rsid w:val="00FF75A9"/>
    <w:rsid w:val="00FF764B"/>
    <w:rsid w:val="00FF76DD"/>
    <w:rsid w:val="00FF7F9F"/>
    <w:rsid w:val="020DE88B"/>
    <w:rsid w:val="03ACF7AD"/>
    <w:rsid w:val="04C4067E"/>
    <w:rsid w:val="0CB54A8F"/>
    <w:rsid w:val="19E6CC2C"/>
    <w:rsid w:val="1B117AB5"/>
    <w:rsid w:val="1F377B58"/>
    <w:rsid w:val="26A7C38F"/>
    <w:rsid w:val="28188084"/>
    <w:rsid w:val="297344AD"/>
    <w:rsid w:val="2E2E21C3"/>
    <w:rsid w:val="308677A9"/>
    <w:rsid w:val="3347DEFA"/>
    <w:rsid w:val="37BC4CA8"/>
    <w:rsid w:val="38BD9B94"/>
    <w:rsid w:val="39982C61"/>
    <w:rsid w:val="43DF21BC"/>
    <w:rsid w:val="461D6AB2"/>
    <w:rsid w:val="5281C47C"/>
    <w:rsid w:val="5AFD6802"/>
    <w:rsid w:val="5CE49787"/>
    <w:rsid w:val="633DCE93"/>
    <w:rsid w:val="697EF974"/>
    <w:rsid w:val="6C7BB561"/>
    <w:rsid w:val="6F27E6A3"/>
    <w:rsid w:val="70A7B504"/>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276305"/>
  <w15:docId w15:val="{C6452F42-307C-4071-9C7E-D1421925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5EC5"/>
    <w:pPr>
      <w:widowControl w:val="0"/>
    </w:pPr>
    <w:rPr>
      <w:snapToGrid w:val="0"/>
      <w:color w:val="000000"/>
      <w:sz w:val="24"/>
      <w:szCs w:val="24"/>
    </w:rPr>
  </w:style>
  <w:style w:type="paragraph" w:styleId="Heading1">
    <w:name w:val="heading 1"/>
    <w:aliases w:val="Level 1 Heading"/>
    <w:basedOn w:val="Normal"/>
    <w:next w:val="Normal"/>
    <w:link w:val="Heading1Char"/>
    <w:qFormat/>
    <w:rsid w:val="00215EC5"/>
    <w:pPr>
      <w:keepNext/>
      <w:keepLines/>
      <w:numPr>
        <w:numId w:val="71"/>
      </w:numPr>
      <w:outlineLvl w:val="0"/>
    </w:pPr>
    <w:rPr>
      <w:b/>
      <w:caps/>
      <w:color w:val="000000" w:themeColor="text1"/>
    </w:rPr>
  </w:style>
  <w:style w:type="paragraph" w:styleId="Heading2">
    <w:name w:val="heading 2"/>
    <w:aliases w:val="Level 2 Heading"/>
    <w:basedOn w:val="Heading1"/>
    <w:next w:val="Normal"/>
    <w:link w:val="Heading2Char"/>
    <w:qFormat/>
    <w:rsid w:val="00215EC5"/>
    <w:pPr>
      <w:numPr>
        <w:ilvl w:val="1"/>
      </w:numPr>
      <w:outlineLvl w:val="1"/>
    </w:pPr>
    <w:rPr>
      <w:rFonts w:ascii="Times New Roman Bold" w:hAnsi="Times New Roman Bold"/>
      <w:caps w:val="0"/>
    </w:rPr>
  </w:style>
  <w:style w:type="paragraph" w:styleId="Heading3">
    <w:name w:val="heading 3"/>
    <w:basedOn w:val="Normal"/>
    <w:next w:val="Normal"/>
    <w:link w:val="Heading3Char"/>
    <w:rsid w:val="00215EC5"/>
    <w:pPr>
      <w:keepNext/>
      <w:keepLines/>
      <w:numPr>
        <w:ilvl w:val="2"/>
        <w:numId w:val="12"/>
      </w:numPr>
      <w:tabs>
        <w:tab w:val="num" w:pos="1080"/>
      </w:tabs>
      <w:ind w:left="1080" w:hanging="360"/>
      <w:outlineLvl w:val="2"/>
    </w:pPr>
  </w:style>
  <w:style w:type="paragraph" w:styleId="Heading4">
    <w:name w:val="heading 4"/>
    <w:basedOn w:val="Normal"/>
    <w:next w:val="Normal"/>
    <w:link w:val="Heading4Char"/>
    <w:rsid w:val="00215EC5"/>
    <w:pPr>
      <w:keepNext/>
      <w:keepLines/>
      <w:numPr>
        <w:ilvl w:val="3"/>
        <w:numId w:val="12"/>
      </w:numPr>
      <w:tabs>
        <w:tab w:val="num" w:pos="1080"/>
      </w:tabs>
      <w:ind w:left="1080" w:hanging="360"/>
      <w:outlineLvl w:val="3"/>
    </w:pPr>
  </w:style>
  <w:style w:type="paragraph" w:styleId="Heading5">
    <w:name w:val="heading 5"/>
    <w:basedOn w:val="Normal"/>
    <w:next w:val="Normal"/>
    <w:rsid w:val="00215EC5"/>
    <w:pPr>
      <w:keepNext/>
      <w:numPr>
        <w:ilvl w:val="4"/>
        <w:numId w:val="12"/>
      </w:numPr>
      <w:tabs>
        <w:tab w:val="left" w:pos="0"/>
        <w:tab w:val="left" w:pos="552"/>
        <w:tab w:val="num" w:pos="1080"/>
        <w:tab w:val="left" w:pos="1440"/>
      </w:tabs>
      <w:suppressAutoHyphens/>
      <w:ind w:left="1080" w:hanging="360"/>
      <w:outlineLvl w:val="4"/>
    </w:pPr>
  </w:style>
  <w:style w:type="paragraph" w:styleId="Heading6">
    <w:name w:val="heading 6"/>
    <w:basedOn w:val="Normal"/>
    <w:next w:val="Normal"/>
    <w:semiHidden/>
    <w:rsid w:val="00215EC5"/>
    <w:pPr>
      <w:keepNext/>
      <w:numPr>
        <w:ilvl w:val="5"/>
        <w:numId w:val="12"/>
      </w:numPr>
      <w:tabs>
        <w:tab w:val="num" w:pos="1080"/>
        <w:tab w:val="center" w:pos="4680"/>
      </w:tabs>
      <w:suppressAutoHyphens/>
      <w:ind w:left="1080" w:hanging="360"/>
      <w:jc w:val="center"/>
      <w:outlineLvl w:val="5"/>
    </w:pPr>
    <w:rPr>
      <w:bCs/>
      <w:color w:val="000000" w:themeColor="text1"/>
      <w:sz w:val="32"/>
    </w:rPr>
  </w:style>
  <w:style w:type="paragraph" w:styleId="Heading7">
    <w:name w:val="heading 7"/>
    <w:basedOn w:val="Normal"/>
    <w:next w:val="Normal"/>
    <w:semiHidden/>
    <w:rsid w:val="00215EC5"/>
    <w:pPr>
      <w:keepNext/>
      <w:numPr>
        <w:ilvl w:val="6"/>
        <w:numId w:val="12"/>
      </w:numPr>
      <w:tabs>
        <w:tab w:val="left" w:pos="0"/>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080" w:hanging="360"/>
      <w:jc w:val="center"/>
      <w:outlineLvl w:val="6"/>
    </w:pPr>
    <w:rPr>
      <w:b/>
    </w:rPr>
  </w:style>
  <w:style w:type="paragraph" w:styleId="Heading8">
    <w:name w:val="heading 8"/>
    <w:basedOn w:val="Normal"/>
    <w:next w:val="Normal"/>
    <w:semiHidden/>
    <w:rsid w:val="00215EC5"/>
    <w:pPr>
      <w:keepNext/>
      <w:numPr>
        <w:ilvl w:val="7"/>
        <w:numId w:val="12"/>
      </w:numPr>
      <w:tabs>
        <w:tab w:val="num" w:pos="1080"/>
        <w:tab w:val="center" w:pos="4680"/>
      </w:tabs>
      <w:suppressAutoHyphens/>
      <w:ind w:left="1080" w:hanging="360"/>
      <w:outlineLvl w:val="7"/>
    </w:pPr>
    <w:rPr>
      <w:i/>
      <w:color w:val="000000" w:themeColor="text1"/>
    </w:rPr>
  </w:style>
  <w:style w:type="paragraph" w:styleId="Heading9">
    <w:name w:val="heading 9"/>
    <w:basedOn w:val="Normal"/>
    <w:next w:val="Normal"/>
    <w:semiHidden/>
    <w:rsid w:val="00215EC5"/>
    <w:pPr>
      <w:keepNext/>
      <w:widowControl/>
      <w:numPr>
        <w:ilvl w:val="8"/>
        <w:numId w:val="12"/>
      </w:numPr>
      <w:tabs>
        <w:tab w:val="left" w:pos="0"/>
        <w:tab w:val="left" w:pos="720"/>
        <w:tab w:val="left" w:pos="1086"/>
        <w:tab w:val="left" w:pos="1440"/>
        <w:tab w:val="left" w:pos="1802"/>
        <w:tab w:val="left" w:pos="2160"/>
        <w:tab w:val="left" w:pos="2520"/>
        <w:tab w:val="left" w:pos="2880"/>
      </w:tabs>
      <w:suppressAutoHyphens/>
      <w:ind w:left="1080" w:hanging="36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15EC5"/>
  </w:style>
  <w:style w:type="character" w:styleId="EndnoteReference">
    <w:name w:val="endnote reference"/>
    <w:semiHidden/>
    <w:rsid w:val="00215EC5"/>
    <w:rPr>
      <w:vertAlign w:val="superscript"/>
    </w:rPr>
  </w:style>
  <w:style w:type="paragraph" w:styleId="FootnoteText">
    <w:name w:val="footnote text"/>
    <w:basedOn w:val="Normal"/>
    <w:semiHidden/>
    <w:rsid w:val="00215EC5"/>
  </w:style>
  <w:style w:type="character" w:styleId="FootnoteReference">
    <w:name w:val="footnote reference"/>
    <w:semiHidden/>
    <w:rsid w:val="00215EC5"/>
    <w:rPr>
      <w:vertAlign w:val="superscript"/>
    </w:rPr>
  </w:style>
  <w:style w:type="paragraph" w:styleId="TOC1">
    <w:name w:val="toc 1"/>
    <w:basedOn w:val="Normal"/>
    <w:next w:val="Normal"/>
    <w:autoRedefine/>
    <w:uiPriority w:val="39"/>
    <w:qFormat/>
    <w:rsid w:val="00215EC5"/>
    <w:pPr>
      <w:tabs>
        <w:tab w:val="left" w:pos="720"/>
        <w:tab w:val="right" w:leader="dot" w:pos="9360"/>
      </w:tabs>
      <w:suppressAutoHyphens/>
      <w:spacing w:before="240"/>
      <w:ind w:left="720" w:right="1440" w:hanging="720"/>
    </w:pPr>
    <w:rPr>
      <w:noProof/>
    </w:rPr>
  </w:style>
  <w:style w:type="paragraph" w:styleId="TOC2">
    <w:name w:val="toc 2"/>
    <w:basedOn w:val="Normal"/>
    <w:next w:val="Normal"/>
    <w:autoRedefine/>
    <w:uiPriority w:val="39"/>
    <w:qFormat/>
    <w:rsid w:val="00215EC5"/>
    <w:pPr>
      <w:tabs>
        <w:tab w:val="left" w:pos="1440"/>
        <w:tab w:val="right" w:leader="dot" w:pos="9360"/>
      </w:tabs>
      <w:suppressAutoHyphens/>
      <w:ind w:left="1440" w:right="720" w:hanging="720"/>
    </w:pPr>
  </w:style>
  <w:style w:type="paragraph" w:styleId="TOC3">
    <w:name w:val="toc 3"/>
    <w:basedOn w:val="Normal"/>
    <w:next w:val="Normal"/>
    <w:autoRedefine/>
    <w:uiPriority w:val="39"/>
    <w:rsid w:val="00215EC5"/>
    <w:pPr>
      <w:tabs>
        <w:tab w:val="right" w:leader="dot" w:pos="9360"/>
      </w:tabs>
      <w:suppressAutoHyphens/>
      <w:ind w:left="2160" w:right="720" w:hanging="720"/>
    </w:pPr>
  </w:style>
  <w:style w:type="paragraph" w:styleId="TOC4">
    <w:name w:val="toc 4"/>
    <w:basedOn w:val="Normal"/>
    <w:next w:val="Normal"/>
    <w:autoRedefine/>
    <w:uiPriority w:val="39"/>
    <w:rsid w:val="00215EC5"/>
    <w:pPr>
      <w:tabs>
        <w:tab w:val="right" w:leader="dot" w:pos="9360"/>
      </w:tabs>
      <w:suppressAutoHyphens/>
      <w:ind w:left="2880" w:right="720" w:hanging="720"/>
    </w:pPr>
  </w:style>
  <w:style w:type="paragraph" w:styleId="TOC5">
    <w:name w:val="toc 5"/>
    <w:basedOn w:val="Normal"/>
    <w:next w:val="Normal"/>
    <w:autoRedefine/>
    <w:uiPriority w:val="39"/>
    <w:rsid w:val="00215EC5"/>
    <w:pPr>
      <w:tabs>
        <w:tab w:val="right" w:leader="dot" w:pos="9360"/>
      </w:tabs>
      <w:suppressAutoHyphens/>
      <w:ind w:left="3600" w:right="720" w:hanging="720"/>
    </w:pPr>
  </w:style>
  <w:style w:type="paragraph" w:styleId="TOC6">
    <w:name w:val="toc 6"/>
    <w:basedOn w:val="Normal"/>
    <w:next w:val="Normal"/>
    <w:autoRedefine/>
    <w:uiPriority w:val="39"/>
    <w:rsid w:val="00215EC5"/>
    <w:pPr>
      <w:tabs>
        <w:tab w:val="right" w:pos="9360"/>
      </w:tabs>
      <w:suppressAutoHyphens/>
      <w:ind w:left="720" w:hanging="720"/>
    </w:pPr>
  </w:style>
  <w:style w:type="paragraph" w:styleId="TOC7">
    <w:name w:val="toc 7"/>
    <w:basedOn w:val="Normal"/>
    <w:next w:val="Normal"/>
    <w:autoRedefine/>
    <w:uiPriority w:val="39"/>
    <w:rsid w:val="00215EC5"/>
    <w:pPr>
      <w:suppressAutoHyphens/>
      <w:ind w:left="720" w:hanging="720"/>
    </w:pPr>
  </w:style>
  <w:style w:type="paragraph" w:styleId="TOC8">
    <w:name w:val="toc 8"/>
    <w:basedOn w:val="Normal"/>
    <w:next w:val="Normal"/>
    <w:autoRedefine/>
    <w:uiPriority w:val="39"/>
    <w:rsid w:val="00215EC5"/>
    <w:pPr>
      <w:tabs>
        <w:tab w:val="right" w:pos="9360"/>
      </w:tabs>
      <w:suppressAutoHyphens/>
      <w:ind w:left="720" w:hanging="720"/>
    </w:pPr>
  </w:style>
  <w:style w:type="paragraph" w:styleId="TOC9">
    <w:name w:val="toc 9"/>
    <w:basedOn w:val="Normal"/>
    <w:next w:val="Normal"/>
    <w:autoRedefine/>
    <w:uiPriority w:val="39"/>
    <w:rsid w:val="00215EC5"/>
    <w:pPr>
      <w:tabs>
        <w:tab w:val="right" w:leader="dot" w:pos="9360"/>
      </w:tabs>
      <w:suppressAutoHyphens/>
      <w:ind w:left="720" w:hanging="720"/>
    </w:pPr>
  </w:style>
  <w:style w:type="paragraph" w:styleId="Index1">
    <w:name w:val="index 1"/>
    <w:basedOn w:val="Normal"/>
    <w:next w:val="Normal"/>
    <w:autoRedefine/>
    <w:semiHidden/>
    <w:rsid w:val="00215EC5"/>
    <w:pPr>
      <w:tabs>
        <w:tab w:val="right" w:leader="dot" w:pos="9360"/>
      </w:tabs>
      <w:suppressAutoHyphens/>
      <w:ind w:left="1440" w:right="720" w:hanging="1440"/>
    </w:pPr>
  </w:style>
  <w:style w:type="paragraph" w:styleId="Index2">
    <w:name w:val="index 2"/>
    <w:basedOn w:val="Normal"/>
    <w:next w:val="Normal"/>
    <w:autoRedefine/>
    <w:semiHidden/>
    <w:rsid w:val="00215EC5"/>
    <w:pPr>
      <w:tabs>
        <w:tab w:val="right" w:leader="dot" w:pos="9360"/>
      </w:tabs>
      <w:suppressAutoHyphens/>
      <w:ind w:left="1440" w:right="720" w:hanging="720"/>
    </w:pPr>
  </w:style>
  <w:style w:type="paragraph" w:styleId="TOAHeading">
    <w:name w:val="toa heading"/>
    <w:basedOn w:val="Normal"/>
    <w:next w:val="Normal"/>
    <w:semiHidden/>
    <w:rsid w:val="00215EC5"/>
    <w:pPr>
      <w:tabs>
        <w:tab w:val="right" w:pos="9360"/>
      </w:tabs>
      <w:suppressAutoHyphens/>
    </w:pPr>
  </w:style>
  <w:style w:type="paragraph" w:styleId="Caption">
    <w:name w:val="caption"/>
    <w:basedOn w:val="Normal"/>
    <w:next w:val="Normal"/>
    <w:uiPriority w:val="35"/>
    <w:rsid w:val="00215EC5"/>
  </w:style>
  <w:style w:type="character" w:customStyle="1" w:styleId="EquationCaption">
    <w:name w:val="_Equation Caption"/>
    <w:semiHidden/>
    <w:rsid w:val="00215EC5"/>
  </w:style>
  <w:style w:type="paragraph" w:styleId="Footer">
    <w:name w:val="footer"/>
    <w:basedOn w:val="Normal"/>
    <w:next w:val="Normal"/>
    <w:link w:val="FooterChar"/>
    <w:rsid w:val="00215EC5"/>
    <w:pPr>
      <w:tabs>
        <w:tab w:val="center" w:pos="4320"/>
        <w:tab w:val="right" w:pos="8640"/>
      </w:tabs>
    </w:pPr>
  </w:style>
  <w:style w:type="paragraph" w:styleId="Header">
    <w:name w:val="header"/>
    <w:basedOn w:val="Normal"/>
    <w:link w:val="HeaderChar"/>
    <w:rsid w:val="00215EC5"/>
    <w:rPr>
      <w:i/>
      <w:color w:val="000000" w:themeColor="text1"/>
    </w:rPr>
  </w:style>
  <w:style w:type="paragraph" w:customStyle="1" w:styleId="a">
    <w:name w:val="_"/>
    <w:basedOn w:val="Normal"/>
    <w:semiHidden/>
    <w:rsid w:val="00215EC5"/>
    <w:pPr>
      <w:ind w:left="1438" w:hanging="346"/>
    </w:pPr>
  </w:style>
  <w:style w:type="paragraph" w:styleId="BodyTextIndent3">
    <w:name w:val="Body Text Indent 3"/>
    <w:basedOn w:val="Normal"/>
    <w:semiHidden/>
    <w:rsid w:val="00215EC5"/>
    <w:pPr>
      <w:numPr>
        <w:ilvl w:val="12"/>
      </w:numPr>
      <w:tabs>
        <w:tab w:val="left" w:pos="-1068"/>
        <w:tab w:val="left" w:pos="-720"/>
        <w:tab w:val="left" w:pos="0"/>
        <w:tab w:val="left" w:pos="372"/>
        <w:tab w:val="left" w:pos="720"/>
        <w:tab w:val="left" w:pos="1440"/>
        <w:tab w:val="left" w:pos="1812"/>
        <w:tab w:val="left" w:pos="2160"/>
        <w:tab w:val="left" w:pos="2532"/>
        <w:tab w:val="left" w:pos="2880"/>
        <w:tab w:val="left" w:pos="3252"/>
        <w:tab w:val="left" w:pos="3600"/>
        <w:tab w:val="left" w:pos="3972"/>
        <w:tab w:val="left" w:pos="4320"/>
        <w:tab w:val="left" w:pos="4692"/>
        <w:tab w:val="left" w:pos="5040"/>
        <w:tab w:val="left" w:pos="5760"/>
        <w:tab w:val="left" w:pos="6480"/>
        <w:tab w:val="left" w:pos="7200"/>
        <w:tab w:val="left" w:pos="7920"/>
        <w:tab w:val="left" w:pos="8640"/>
        <w:tab w:val="left" w:pos="9360"/>
      </w:tabs>
      <w:ind w:left="1440" w:hanging="360"/>
    </w:pPr>
  </w:style>
  <w:style w:type="paragraph" w:styleId="BodyTextIndent">
    <w:name w:val="Body Text Indent"/>
    <w:basedOn w:val="Normal"/>
    <w:link w:val="BodyTextIndentChar"/>
    <w:semiHidden/>
    <w:rsid w:val="00215EC5"/>
    <w:pPr>
      <w:tabs>
        <w:tab w:val="left" w:pos="-1056"/>
        <w:tab w:val="left" w:pos="-720"/>
        <w:tab w:val="left" w:pos="0"/>
        <w:tab w:val="left" w:pos="348"/>
        <w:tab w:val="left" w:pos="720"/>
        <w:tab w:val="left" w:pos="1092"/>
        <w:tab w:val="left" w:pos="1438"/>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92"/>
    </w:pPr>
  </w:style>
  <w:style w:type="paragraph" w:styleId="BodyTextIndent2">
    <w:name w:val="Body Text Indent 2"/>
    <w:basedOn w:val="Normal"/>
    <w:semiHidden/>
    <w:rsid w:val="00215EC5"/>
    <w:pPr>
      <w:numPr>
        <w:ilvl w:val="12"/>
      </w:numPr>
      <w:tabs>
        <w:tab w:val="left" w:pos="-1068"/>
        <w:tab w:val="left" w:pos="-720"/>
        <w:tab w:val="left" w:pos="0"/>
        <w:tab w:val="left" w:pos="372"/>
        <w:tab w:val="left" w:pos="720"/>
        <w:tab w:val="left" w:pos="1092"/>
        <w:tab w:val="left" w:pos="1440"/>
        <w:tab w:val="left" w:pos="1812"/>
        <w:tab w:val="left" w:pos="2160"/>
        <w:tab w:val="left" w:pos="2532"/>
        <w:tab w:val="left" w:pos="2880"/>
        <w:tab w:val="left" w:pos="3252"/>
        <w:tab w:val="left" w:pos="3600"/>
        <w:tab w:val="left" w:pos="3972"/>
        <w:tab w:val="left" w:pos="4680"/>
        <w:tab w:val="left" w:pos="5040"/>
        <w:tab w:val="left" w:pos="5760"/>
        <w:tab w:val="left" w:pos="6480"/>
        <w:tab w:val="left" w:pos="7200"/>
        <w:tab w:val="left" w:pos="7920"/>
        <w:tab w:val="left" w:pos="8640"/>
        <w:tab w:val="left" w:pos="9360"/>
      </w:tabs>
      <w:ind w:left="4680" w:hanging="3240"/>
    </w:pPr>
  </w:style>
  <w:style w:type="paragraph" w:customStyle="1" w:styleId="Quick">
    <w:name w:val="Quick _"/>
    <w:basedOn w:val="Normal"/>
    <w:semiHidden/>
    <w:rsid w:val="00215EC5"/>
    <w:pPr>
      <w:ind w:left="2160" w:hanging="360"/>
    </w:pPr>
  </w:style>
  <w:style w:type="paragraph" w:styleId="BodyText3">
    <w:name w:val="Body Text 3"/>
    <w:basedOn w:val="Normal"/>
    <w:semiHidden/>
    <w:rsid w:val="00215EC5"/>
    <w:rPr>
      <w:color w:val="000000" w:themeColor="text1"/>
      <w:sz w:val="18"/>
    </w:rPr>
  </w:style>
  <w:style w:type="character" w:styleId="FollowedHyperlink">
    <w:name w:val="FollowedHyperlink"/>
    <w:semiHidden/>
    <w:rsid w:val="00215EC5"/>
    <w:rPr>
      <w:color w:val="800080"/>
      <w:u w:val="single"/>
    </w:rPr>
  </w:style>
  <w:style w:type="paragraph" w:customStyle="1" w:styleId="Quick1">
    <w:name w:val="Quick 1."/>
    <w:semiHidden/>
    <w:rsid w:val="00215EC5"/>
    <w:pPr>
      <w:autoSpaceDE w:val="0"/>
      <w:autoSpaceDN w:val="0"/>
      <w:adjustRightInd w:val="0"/>
      <w:ind w:left="-1440"/>
    </w:pPr>
    <w:rPr>
      <w:sz w:val="24"/>
      <w:szCs w:val="24"/>
    </w:rPr>
  </w:style>
  <w:style w:type="paragraph" w:styleId="BodyText2">
    <w:name w:val="Body Text 2"/>
    <w:basedOn w:val="Normal"/>
    <w:semiHidden/>
    <w:rsid w:val="00215EC5"/>
    <w:pPr>
      <w:widowControl/>
      <w:tabs>
        <w:tab w:val="left" w:pos="-1080"/>
        <w:tab w:val="left" w:pos="-720"/>
        <w:tab w:val="left" w:pos="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Pr>
      <w:i/>
      <w:color w:val="000000" w:themeColor="text1"/>
    </w:rPr>
  </w:style>
  <w:style w:type="table" w:styleId="TableGrid">
    <w:name w:val="Table Grid"/>
    <w:basedOn w:val="TableNormal"/>
    <w:uiPriority w:val="39"/>
    <w:rsid w:val="00215EC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Char"/>
    <w:basedOn w:val="Normal"/>
    <w:link w:val="BodyTextChar"/>
    <w:uiPriority w:val="1"/>
    <w:rsid w:val="00215EC5"/>
    <w:pPr>
      <w:spacing w:after="120"/>
    </w:pPr>
  </w:style>
  <w:style w:type="paragraph" w:customStyle="1" w:styleId="H4">
    <w:name w:val="H4"/>
    <w:basedOn w:val="Normal"/>
    <w:next w:val="Normal"/>
    <w:semiHidden/>
    <w:rsid w:val="00215EC5"/>
    <w:pPr>
      <w:keepNext/>
      <w:widowControl/>
      <w:spacing w:before="100" w:after="100"/>
      <w:outlineLvl w:val="4"/>
    </w:pPr>
    <w:rPr>
      <w:b/>
      <w:color w:val="000000" w:themeColor="text1"/>
    </w:rPr>
  </w:style>
  <w:style w:type="paragraph" w:customStyle="1" w:styleId="H2">
    <w:name w:val="H2"/>
    <w:basedOn w:val="Normal"/>
    <w:next w:val="Normal"/>
    <w:semiHidden/>
    <w:rsid w:val="00215EC5"/>
    <w:pPr>
      <w:keepNext/>
      <w:widowControl/>
      <w:spacing w:before="100" w:after="100"/>
      <w:outlineLvl w:val="2"/>
    </w:pPr>
    <w:rPr>
      <w:b/>
      <w:color w:val="000000" w:themeColor="text1"/>
      <w:sz w:val="36"/>
    </w:rPr>
  </w:style>
  <w:style w:type="paragraph" w:customStyle="1" w:styleId="H3">
    <w:name w:val="H3"/>
    <w:basedOn w:val="Normal"/>
    <w:next w:val="Normal"/>
    <w:semiHidden/>
    <w:rsid w:val="00215EC5"/>
    <w:pPr>
      <w:keepNext/>
      <w:widowControl/>
      <w:spacing w:before="100" w:after="100"/>
      <w:outlineLvl w:val="3"/>
    </w:pPr>
    <w:rPr>
      <w:b/>
      <w:color w:val="000000" w:themeColor="text1"/>
      <w:sz w:val="28"/>
    </w:rPr>
  </w:style>
  <w:style w:type="paragraph" w:styleId="PlainText">
    <w:name w:val="Plain Text"/>
    <w:basedOn w:val="Normal"/>
    <w:semiHidden/>
    <w:rsid w:val="00215EC5"/>
    <w:pPr>
      <w:widowControl/>
      <w:spacing w:line="240" w:lineRule="atLeast"/>
      <w:jc w:val="both"/>
    </w:pPr>
    <w:rPr>
      <w:rFonts w:ascii="Courier New" w:hAnsi="Courier New"/>
      <w:snapToGrid/>
      <w:color w:val="000000" w:themeColor="text1"/>
    </w:rPr>
  </w:style>
  <w:style w:type="paragraph" w:styleId="NormalWeb">
    <w:name w:val="Normal (Web)"/>
    <w:basedOn w:val="Normal"/>
    <w:rsid w:val="00215EC5"/>
    <w:pPr>
      <w:widowControl/>
      <w:spacing w:before="100" w:beforeAutospacing="1" w:after="100" w:afterAutospacing="1"/>
    </w:pPr>
    <w:rPr>
      <w:snapToGrid/>
      <w:color w:val="000000" w:themeColor="text1"/>
    </w:rPr>
  </w:style>
  <w:style w:type="paragraph" w:styleId="BalloonText">
    <w:name w:val="Balloon Text"/>
    <w:basedOn w:val="Normal"/>
    <w:link w:val="BalloonTextChar"/>
    <w:uiPriority w:val="99"/>
    <w:semiHidden/>
    <w:rsid w:val="00215EC5"/>
    <w:rPr>
      <w:rFonts w:ascii="Tahoma" w:hAnsi="Tahoma" w:cs="Tahoma"/>
      <w:color w:val="000000" w:themeColor="text1"/>
      <w:sz w:val="16"/>
      <w:szCs w:val="16"/>
    </w:rPr>
  </w:style>
  <w:style w:type="paragraph" w:styleId="NormalIndent">
    <w:name w:val="Normal Indent"/>
    <w:basedOn w:val="Normal"/>
    <w:semiHidden/>
    <w:rsid w:val="00215EC5"/>
    <w:pPr>
      <w:widowControl/>
      <w:overflowPunct w:val="0"/>
      <w:autoSpaceDE w:val="0"/>
      <w:autoSpaceDN w:val="0"/>
      <w:adjustRightInd w:val="0"/>
      <w:ind w:left="720"/>
      <w:textAlignment w:val="baseline"/>
    </w:pPr>
    <w:rPr>
      <w:snapToGrid/>
      <w:color w:val="000000" w:themeColor="text1"/>
    </w:rPr>
  </w:style>
  <w:style w:type="character" w:customStyle="1" w:styleId="FooterChar">
    <w:name w:val="Footer Char"/>
    <w:link w:val="Footer"/>
    <w:uiPriority w:val="99"/>
    <w:rsid w:val="00215EC5"/>
    <w:rPr>
      <w:snapToGrid w:val="0"/>
      <w:color w:val="000000"/>
      <w:sz w:val="24"/>
      <w:szCs w:val="24"/>
    </w:rPr>
  </w:style>
  <w:style w:type="paragraph" w:styleId="ListParagraph">
    <w:name w:val="List Paragraph"/>
    <w:aliases w:val="SOW Letter Heading,hyperlink,@ Bulleted List not indented List Paragraph,default subheading,Hyperlink1"/>
    <w:basedOn w:val="Normal"/>
    <w:link w:val="ListParagraphChar"/>
    <w:uiPriority w:val="34"/>
    <w:qFormat/>
    <w:rsid w:val="00215EC5"/>
    <w:pPr>
      <w:ind w:left="720"/>
      <w:contextualSpacing/>
    </w:pPr>
  </w:style>
  <w:style w:type="paragraph" w:customStyle="1" w:styleId="Style4">
    <w:name w:val="Style 4"/>
    <w:basedOn w:val="Normal"/>
    <w:uiPriority w:val="99"/>
    <w:rsid w:val="00215EC5"/>
    <w:rPr>
      <w:rFonts w:ascii="Arial" w:hAnsi="Arial"/>
      <w:snapToGrid/>
      <w:sz w:val="18"/>
      <w:szCs w:val="20"/>
    </w:rPr>
  </w:style>
  <w:style w:type="paragraph" w:styleId="Revision">
    <w:name w:val="Revision"/>
    <w:hidden/>
    <w:rsid w:val="00215EC5"/>
    <w:rPr>
      <w:snapToGrid w:val="0"/>
      <w:sz w:val="24"/>
      <w:szCs w:val="24"/>
    </w:rPr>
  </w:style>
  <w:style w:type="character" w:styleId="CommentReference">
    <w:name w:val="annotation reference"/>
    <w:aliases w:val="-H18"/>
    <w:uiPriority w:val="99"/>
    <w:rsid w:val="00215EC5"/>
    <w:rPr>
      <w:sz w:val="16"/>
      <w:szCs w:val="16"/>
    </w:rPr>
  </w:style>
  <w:style w:type="paragraph" w:styleId="CommentText">
    <w:name w:val="annotation text"/>
    <w:aliases w:val="Comment Text Char Char,Comment Text Char1 Char Char,Comment Text Char Char Char Char,Comment Text Char Char1"/>
    <w:basedOn w:val="Normal"/>
    <w:link w:val="CommentTextChar"/>
    <w:rsid w:val="00215EC5"/>
    <w:rPr>
      <w:color w:val="000000" w:themeColor="text1"/>
      <w:sz w:val="20"/>
      <w:szCs w:val="20"/>
    </w:rPr>
  </w:style>
  <w:style w:type="character" w:customStyle="1" w:styleId="CommentTextChar">
    <w:name w:val="Comment Text Char"/>
    <w:aliases w:val="Comment Text Char Char Char,Comment Text Char1 Char Char Char,Comment Text Char Char Char Char Char,Comment Text Char Char1 Char"/>
    <w:link w:val="CommentText"/>
    <w:rsid w:val="00215EC5"/>
    <w:rPr>
      <w:snapToGrid w:val="0"/>
      <w:color w:val="000000" w:themeColor="text1"/>
    </w:rPr>
  </w:style>
  <w:style w:type="paragraph" w:styleId="CommentSubject">
    <w:name w:val="annotation subject"/>
    <w:basedOn w:val="CommentText"/>
    <w:next w:val="CommentText"/>
    <w:link w:val="CommentSubjectChar"/>
    <w:semiHidden/>
    <w:rsid w:val="00215EC5"/>
    <w:rPr>
      <w:b/>
      <w:bCs/>
    </w:rPr>
  </w:style>
  <w:style w:type="character" w:customStyle="1" w:styleId="CommentSubjectChar">
    <w:name w:val="Comment Subject Char"/>
    <w:link w:val="CommentSubject"/>
    <w:semiHidden/>
    <w:rsid w:val="00215EC5"/>
    <w:rPr>
      <w:b/>
      <w:bCs/>
      <w:snapToGrid w:val="0"/>
      <w:color w:val="000000" w:themeColor="text1"/>
    </w:rPr>
  </w:style>
  <w:style w:type="character" w:customStyle="1" w:styleId="Heading1Char">
    <w:name w:val="Heading 1 Char"/>
    <w:aliases w:val="Level 1 Heading Char"/>
    <w:link w:val="Heading1"/>
    <w:rsid w:val="00215EC5"/>
    <w:rPr>
      <w:b/>
      <w:caps/>
      <w:snapToGrid w:val="0"/>
      <w:color w:val="000000" w:themeColor="text1"/>
      <w:sz w:val="24"/>
      <w:szCs w:val="24"/>
    </w:rPr>
  </w:style>
  <w:style w:type="character" w:customStyle="1" w:styleId="Heading2Char">
    <w:name w:val="Heading 2 Char"/>
    <w:aliases w:val="Level 2 Heading Char"/>
    <w:link w:val="Heading2"/>
    <w:rsid w:val="00215EC5"/>
    <w:rPr>
      <w:rFonts w:ascii="Times New Roman Bold" w:hAnsi="Times New Roman Bold"/>
      <w:b/>
      <w:snapToGrid w:val="0"/>
      <w:color w:val="000000" w:themeColor="text1"/>
      <w:sz w:val="24"/>
      <w:szCs w:val="24"/>
    </w:rPr>
  </w:style>
  <w:style w:type="numbering" w:customStyle="1" w:styleId="NumberingList">
    <w:name w:val="Numbering List"/>
    <w:uiPriority w:val="99"/>
    <w:rsid w:val="00215EC5"/>
  </w:style>
  <w:style w:type="numbering" w:customStyle="1" w:styleId="Style2">
    <w:name w:val="Style2"/>
    <w:uiPriority w:val="99"/>
    <w:rsid w:val="00215EC5"/>
    <w:pPr>
      <w:numPr>
        <w:numId w:val="68"/>
      </w:numPr>
    </w:pPr>
  </w:style>
  <w:style w:type="character" w:customStyle="1" w:styleId="Heading3Char">
    <w:name w:val="Heading 3 Char"/>
    <w:link w:val="Heading3"/>
    <w:rsid w:val="00215EC5"/>
    <w:rPr>
      <w:snapToGrid w:val="0"/>
      <w:color w:val="000000"/>
      <w:sz w:val="24"/>
      <w:szCs w:val="24"/>
    </w:rPr>
  </w:style>
  <w:style w:type="character" w:customStyle="1" w:styleId="Heading4Char">
    <w:name w:val="Heading 4 Char"/>
    <w:link w:val="Heading4"/>
    <w:rsid w:val="00215EC5"/>
    <w:rPr>
      <w:snapToGrid w:val="0"/>
      <w:color w:val="000000"/>
      <w:sz w:val="24"/>
      <w:szCs w:val="24"/>
    </w:rPr>
  </w:style>
  <w:style w:type="paragraph" w:styleId="Bibliography">
    <w:name w:val="Bibliography"/>
    <w:basedOn w:val="Normal"/>
    <w:next w:val="Normal"/>
    <w:semiHidden/>
    <w:rsid w:val="00215EC5"/>
  </w:style>
  <w:style w:type="paragraph" w:styleId="BlockText">
    <w:name w:val="Block Text"/>
    <w:basedOn w:val="Normal"/>
    <w:semiHidden/>
    <w:rsid w:val="00215EC5"/>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FirstIndent">
    <w:name w:val="Body Text First Indent"/>
    <w:basedOn w:val="BodyText"/>
    <w:link w:val="BodyTextFirstIndentChar"/>
    <w:semiHidden/>
    <w:rsid w:val="00215EC5"/>
    <w:pPr>
      <w:spacing w:after="0"/>
      <w:ind w:firstLine="360"/>
    </w:pPr>
  </w:style>
  <w:style w:type="character" w:customStyle="1" w:styleId="BodyTextChar">
    <w:name w:val="Body Text Char"/>
    <w:aliases w:val="Char Char"/>
    <w:link w:val="BodyText"/>
    <w:uiPriority w:val="1"/>
    <w:rsid w:val="00215EC5"/>
    <w:rPr>
      <w:snapToGrid w:val="0"/>
      <w:color w:val="000000"/>
      <w:sz w:val="24"/>
      <w:szCs w:val="24"/>
    </w:rPr>
  </w:style>
  <w:style w:type="character" w:customStyle="1" w:styleId="BodyTextFirstIndentChar">
    <w:name w:val="Body Text First Indent Char"/>
    <w:link w:val="BodyTextFirstIndent"/>
    <w:semiHidden/>
    <w:rsid w:val="00215EC5"/>
    <w:rPr>
      <w:snapToGrid w:val="0"/>
      <w:color w:val="000000"/>
      <w:sz w:val="24"/>
      <w:szCs w:val="24"/>
    </w:rPr>
  </w:style>
  <w:style w:type="paragraph" w:styleId="BodyTextFirstIndent2">
    <w:name w:val="Body Text First Indent 2"/>
    <w:basedOn w:val="BodyTextIndent"/>
    <w:link w:val="BodyTextFirstIndent2Char"/>
    <w:semiHidden/>
    <w:rsid w:val="00215EC5"/>
    <w:pPr>
      <w:tabs>
        <w:tab w:val="clear" w:pos="-1056"/>
        <w:tab w:val="clear" w:pos="-720"/>
        <w:tab w:val="clear" w:pos="0"/>
        <w:tab w:val="clear" w:pos="348"/>
        <w:tab w:val="clear" w:pos="720"/>
        <w:tab w:val="clear" w:pos="1092"/>
        <w:tab w:val="clear" w:pos="1438"/>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s>
      <w:ind w:left="360" w:firstLine="360"/>
    </w:pPr>
  </w:style>
  <w:style w:type="character" w:customStyle="1" w:styleId="BodyTextIndentChar">
    <w:name w:val="Body Text Indent Char"/>
    <w:link w:val="BodyTextIndent"/>
    <w:semiHidden/>
    <w:rsid w:val="00215EC5"/>
    <w:rPr>
      <w:snapToGrid w:val="0"/>
      <w:color w:val="000000"/>
      <w:sz w:val="24"/>
      <w:szCs w:val="24"/>
    </w:rPr>
  </w:style>
  <w:style w:type="character" w:customStyle="1" w:styleId="BodyTextFirstIndent2Char">
    <w:name w:val="Body Text First Indent 2 Char"/>
    <w:link w:val="BodyTextFirstIndent2"/>
    <w:semiHidden/>
    <w:rsid w:val="00215EC5"/>
    <w:rPr>
      <w:snapToGrid w:val="0"/>
      <w:color w:val="000000"/>
      <w:sz w:val="24"/>
      <w:szCs w:val="24"/>
    </w:rPr>
  </w:style>
  <w:style w:type="paragraph" w:styleId="Closing">
    <w:name w:val="Closing"/>
    <w:basedOn w:val="Normal"/>
    <w:link w:val="ClosingChar"/>
    <w:semiHidden/>
    <w:rsid w:val="00215EC5"/>
    <w:pPr>
      <w:ind w:left="4320"/>
    </w:pPr>
  </w:style>
  <w:style w:type="character" w:customStyle="1" w:styleId="ClosingChar">
    <w:name w:val="Closing Char"/>
    <w:link w:val="Closing"/>
    <w:semiHidden/>
    <w:rsid w:val="00215EC5"/>
    <w:rPr>
      <w:snapToGrid w:val="0"/>
      <w:color w:val="000000"/>
      <w:sz w:val="24"/>
      <w:szCs w:val="24"/>
    </w:rPr>
  </w:style>
  <w:style w:type="paragraph" w:styleId="Date">
    <w:name w:val="Date"/>
    <w:basedOn w:val="Normal"/>
    <w:next w:val="Normal"/>
    <w:link w:val="DateChar"/>
    <w:semiHidden/>
    <w:rsid w:val="00215EC5"/>
  </w:style>
  <w:style w:type="character" w:customStyle="1" w:styleId="DateChar">
    <w:name w:val="Date Char"/>
    <w:link w:val="Date"/>
    <w:semiHidden/>
    <w:rsid w:val="00215EC5"/>
    <w:rPr>
      <w:snapToGrid w:val="0"/>
      <w:color w:val="000000"/>
      <w:sz w:val="24"/>
      <w:szCs w:val="24"/>
    </w:rPr>
  </w:style>
  <w:style w:type="paragraph" w:styleId="E-mailSignature">
    <w:name w:val="E-mail Signature"/>
    <w:basedOn w:val="Normal"/>
    <w:link w:val="E-mailSignatureChar"/>
    <w:semiHidden/>
    <w:rsid w:val="00215EC5"/>
  </w:style>
  <w:style w:type="character" w:customStyle="1" w:styleId="E-mailSignatureChar">
    <w:name w:val="E-mail Signature Char"/>
    <w:link w:val="E-mailSignature"/>
    <w:semiHidden/>
    <w:rsid w:val="00215EC5"/>
    <w:rPr>
      <w:snapToGrid w:val="0"/>
      <w:color w:val="000000"/>
      <w:sz w:val="24"/>
      <w:szCs w:val="24"/>
    </w:rPr>
  </w:style>
  <w:style w:type="paragraph" w:styleId="EnvelopeAddress">
    <w:name w:val="envelope address"/>
    <w:basedOn w:val="Normal"/>
    <w:semiHidden/>
    <w:rsid w:val="00215EC5"/>
    <w:pPr>
      <w:framePr w:w="7920" w:h="1980" w:hRule="exact" w:hSpace="180" w:wrap="auto" w:hAnchor="page" w:xAlign="center" w:yAlign="bottom"/>
      <w:ind w:left="2880"/>
    </w:pPr>
    <w:rPr>
      <w:rFonts w:ascii="Cambria" w:hAnsi="Cambria"/>
    </w:rPr>
  </w:style>
  <w:style w:type="paragraph" w:styleId="EnvelopeReturn">
    <w:name w:val="envelope return"/>
    <w:basedOn w:val="Normal"/>
    <w:semiHidden/>
    <w:rsid w:val="00215EC5"/>
    <w:rPr>
      <w:rFonts w:ascii="Cambria" w:hAnsi="Cambria"/>
      <w:sz w:val="20"/>
      <w:szCs w:val="20"/>
    </w:rPr>
  </w:style>
  <w:style w:type="paragraph" w:styleId="HTMLAddress">
    <w:name w:val="HTML Address"/>
    <w:basedOn w:val="Normal"/>
    <w:link w:val="HTMLAddressChar"/>
    <w:semiHidden/>
    <w:rsid w:val="00215EC5"/>
    <w:rPr>
      <w:i/>
      <w:iCs/>
      <w:color w:val="000000" w:themeColor="text1"/>
    </w:rPr>
  </w:style>
  <w:style w:type="character" w:customStyle="1" w:styleId="HTMLAddressChar">
    <w:name w:val="HTML Address Char"/>
    <w:link w:val="HTMLAddress"/>
    <w:semiHidden/>
    <w:rsid w:val="00215EC5"/>
    <w:rPr>
      <w:i/>
      <w:iCs/>
      <w:snapToGrid w:val="0"/>
      <w:color w:val="000000" w:themeColor="text1"/>
      <w:sz w:val="24"/>
      <w:szCs w:val="24"/>
    </w:rPr>
  </w:style>
  <w:style w:type="paragraph" w:styleId="HTMLPreformatted">
    <w:name w:val="HTML Preformatted"/>
    <w:basedOn w:val="Normal"/>
    <w:link w:val="HTMLPreformattedChar"/>
    <w:semiHidden/>
    <w:rsid w:val="00215EC5"/>
    <w:rPr>
      <w:rFonts w:ascii="Consolas" w:hAnsi="Consolas" w:cs="Consolas"/>
      <w:color w:val="000000" w:themeColor="text1"/>
      <w:sz w:val="20"/>
      <w:szCs w:val="20"/>
    </w:rPr>
  </w:style>
  <w:style w:type="character" w:customStyle="1" w:styleId="HTMLPreformattedChar">
    <w:name w:val="HTML Preformatted Char"/>
    <w:link w:val="HTMLPreformatted"/>
    <w:semiHidden/>
    <w:rsid w:val="00215EC5"/>
    <w:rPr>
      <w:rFonts w:ascii="Consolas" w:hAnsi="Consolas" w:cs="Consolas"/>
      <w:snapToGrid w:val="0"/>
      <w:color w:val="000000" w:themeColor="text1"/>
    </w:rPr>
  </w:style>
  <w:style w:type="paragraph" w:styleId="Index3">
    <w:name w:val="index 3"/>
    <w:basedOn w:val="Normal"/>
    <w:next w:val="Normal"/>
    <w:autoRedefine/>
    <w:semiHidden/>
    <w:rsid w:val="00215EC5"/>
    <w:pPr>
      <w:ind w:left="720" w:hanging="240"/>
    </w:pPr>
  </w:style>
  <w:style w:type="paragraph" w:styleId="Index4">
    <w:name w:val="index 4"/>
    <w:basedOn w:val="Normal"/>
    <w:next w:val="Normal"/>
    <w:autoRedefine/>
    <w:semiHidden/>
    <w:rsid w:val="00215EC5"/>
    <w:pPr>
      <w:ind w:left="960" w:hanging="240"/>
    </w:pPr>
  </w:style>
  <w:style w:type="paragraph" w:styleId="Index5">
    <w:name w:val="index 5"/>
    <w:basedOn w:val="Normal"/>
    <w:next w:val="Normal"/>
    <w:autoRedefine/>
    <w:semiHidden/>
    <w:rsid w:val="00215EC5"/>
    <w:pPr>
      <w:ind w:left="1200" w:hanging="240"/>
    </w:pPr>
  </w:style>
  <w:style w:type="paragraph" w:styleId="Index6">
    <w:name w:val="index 6"/>
    <w:basedOn w:val="Normal"/>
    <w:next w:val="Normal"/>
    <w:autoRedefine/>
    <w:semiHidden/>
    <w:rsid w:val="00215EC5"/>
    <w:pPr>
      <w:ind w:left="1440" w:hanging="240"/>
    </w:pPr>
  </w:style>
  <w:style w:type="paragraph" w:styleId="Index7">
    <w:name w:val="index 7"/>
    <w:basedOn w:val="Normal"/>
    <w:next w:val="Normal"/>
    <w:autoRedefine/>
    <w:semiHidden/>
    <w:rsid w:val="00215EC5"/>
    <w:pPr>
      <w:ind w:left="1680" w:hanging="240"/>
    </w:pPr>
  </w:style>
  <w:style w:type="paragraph" w:styleId="Index8">
    <w:name w:val="index 8"/>
    <w:basedOn w:val="Normal"/>
    <w:next w:val="Normal"/>
    <w:autoRedefine/>
    <w:semiHidden/>
    <w:rsid w:val="00215EC5"/>
    <w:pPr>
      <w:ind w:left="1920" w:hanging="240"/>
    </w:pPr>
  </w:style>
  <w:style w:type="paragraph" w:styleId="Index9">
    <w:name w:val="index 9"/>
    <w:basedOn w:val="Normal"/>
    <w:next w:val="Normal"/>
    <w:autoRedefine/>
    <w:semiHidden/>
    <w:rsid w:val="00215EC5"/>
    <w:pPr>
      <w:ind w:left="2160" w:hanging="240"/>
    </w:pPr>
  </w:style>
  <w:style w:type="paragraph" w:styleId="IndexHeading">
    <w:name w:val="index heading"/>
    <w:basedOn w:val="Normal"/>
    <w:next w:val="Index1"/>
    <w:semiHidden/>
    <w:rsid w:val="00215EC5"/>
    <w:rPr>
      <w:rFonts w:ascii="Cambria" w:hAnsi="Cambria"/>
      <w:b/>
      <w:bCs/>
    </w:rPr>
  </w:style>
  <w:style w:type="paragraph" w:styleId="IntenseQuote">
    <w:name w:val="Intense Quote"/>
    <w:basedOn w:val="Normal"/>
    <w:next w:val="Normal"/>
    <w:link w:val="IntenseQuoteChar"/>
    <w:semiHidden/>
    <w:rsid w:val="00215EC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semiHidden/>
    <w:rsid w:val="00215EC5"/>
    <w:rPr>
      <w:b/>
      <w:bCs/>
      <w:i/>
      <w:iCs/>
      <w:snapToGrid w:val="0"/>
      <w:color w:val="4F81BD"/>
      <w:sz w:val="24"/>
      <w:szCs w:val="24"/>
    </w:rPr>
  </w:style>
  <w:style w:type="paragraph" w:styleId="List">
    <w:name w:val="List"/>
    <w:basedOn w:val="Normal"/>
    <w:semiHidden/>
    <w:rsid w:val="00215EC5"/>
    <w:pPr>
      <w:ind w:left="360" w:hanging="360"/>
      <w:contextualSpacing/>
    </w:pPr>
  </w:style>
  <w:style w:type="paragraph" w:styleId="List2">
    <w:name w:val="List 2"/>
    <w:basedOn w:val="Normal"/>
    <w:semiHidden/>
    <w:rsid w:val="00215EC5"/>
    <w:pPr>
      <w:ind w:left="720" w:hanging="360"/>
      <w:contextualSpacing/>
    </w:pPr>
  </w:style>
  <w:style w:type="paragraph" w:styleId="List3">
    <w:name w:val="List 3"/>
    <w:basedOn w:val="Normal"/>
    <w:semiHidden/>
    <w:rsid w:val="00215EC5"/>
    <w:pPr>
      <w:ind w:left="1080" w:hanging="360"/>
      <w:contextualSpacing/>
    </w:pPr>
  </w:style>
  <w:style w:type="paragraph" w:styleId="List4">
    <w:name w:val="List 4"/>
    <w:basedOn w:val="Normal"/>
    <w:semiHidden/>
    <w:rsid w:val="00215EC5"/>
    <w:pPr>
      <w:ind w:left="1440" w:hanging="360"/>
      <w:contextualSpacing/>
    </w:pPr>
  </w:style>
  <w:style w:type="paragraph" w:styleId="List5">
    <w:name w:val="List 5"/>
    <w:basedOn w:val="Normal"/>
    <w:semiHidden/>
    <w:rsid w:val="00215EC5"/>
    <w:pPr>
      <w:ind w:left="1800" w:hanging="360"/>
      <w:contextualSpacing/>
    </w:pPr>
  </w:style>
  <w:style w:type="paragraph" w:styleId="Quote">
    <w:name w:val="Quote"/>
    <w:basedOn w:val="Normal"/>
    <w:next w:val="Normal"/>
    <w:link w:val="QuoteChar"/>
    <w:semiHidden/>
    <w:rsid w:val="00215EC5"/>
    <w:rPr>
      <w:i/>
      <w:iCs/>
      <w:color w:val="000000" w:themeColor="text1"/>
    </w:rPr>
  </w:style>
  <w:style w:type="character" w:customStyle="1" w:styleId="QuoteChar">
    <w:name w:val="Quote Char"/>
    <w:link w:val="Quote"/>
    <w:semiHidden/>
    <w:rsid w:val="00215EC5"/>
    <w:rPr>
      <w:i/>
      <w:iCs/>
      <w:snapToGrid w:val="0"/>
      <w:color w:val="000000" w:themeColor="text1"/>
      <w:sz w:val="24"/>
      <w:szCs w:val="24"/>
    </w:rPr>
  </w:style>
  <w:style w:type="paragraph" w:styleId="Salutation">
    <w:name w:val="Salutation"/>
    <w:basedOn w:val="Normal"/>
    <w:next w:val="Normal"/>
    <w:link w:val="SalutationChar"/>
    <w:semiHidden/>
    <w:rsid w:val="00215EC5"/>
  </w:style>
  <w:style w:type="character" w:customStyle="1" w:styleId="SalutationChar">
    <w:name w:val="Salutation Char"/>
    <w:link w:val="Salutation"/>
    <w:semiHidden/>
    <w:rsid w:val="00215EC5"/>
    <w:rPr>
      <w:snapToGrid w:val="0"/>
      <w:color w:val="000000"/>
      <w:sz w:val="24"/>
      <w:szCs w:val="24"/>
    </w:rPr>
  </w:style>
  <w:style w:type="paragraph" w:styleId="Signature">
    <w:name w:val="Signature"/>
    <w:basedOn w:val="Normal"/>
    <w:link w:val="SignatureChar"/>
    <w:semiHidden/>
    <w:rsid w:val="00215EC5"/>
    <w:pPr>
      <w:ind w:left="4320"/>
    </w:pPr>
  </w:style>
  <w:style w:type="character" w:customStyle="1" w:styleId="SignatureChar">
    <w:name w:val="Signature Char"/>
    <w:link w:val="Signature"/>
    <w:semiHidden/>
    <w:rsid w:val="00215EC5"/>
    <w:rPr>
      <w:snapToGrid w:val="0"/>
      <w:color w:val="000000"/>
      <w:sz w:val="24"/>
      <w:szCs w:val="24"/>
    </w:rPr>
  </w:style>
  <w:style w:type="paragraph" w:customStyle="1" w:styleId="Level3Heading">
    <w:name w:val="Level 3 Heading"/>
    <w:basedOn w:val="Heading2"/>
    <w:next w:val="Normal"/>
    <w:link w:val="Level3HeadingChar"/>
    <w:qFormat/>
    <w:rsid w:val="00215EC5"/>
    <w:pPr>
      <w:keepLines w:val="0"/>
      <w:numPr>
        <w:ilvl w:val="2"/>
      </w:numPr>
      <w:outlineLvl w:val="9"/>
    </w:pPr>
    <w:rPr>
      <w:rFonts w:ascii="Times New Roman" w:hAnsi="Times New Roman"/>
      <w:b w:val="0"/>
    </w:rPr>
  </w:style>
  <w:style w:type="paragraph" w:customStyle="1" w:styleId="Level4Heading">
    <w:name w:val="Level 4 Heading"/>
    <w:basedOn w:val="Level3Heading"/>
    <w:next w:val="Normal"/>
    <w:qFormat/>
    <w:rsid w:val="00215EC5"/>
    <w:pPr>
      <w:numPr>
        <w:ilvl w:val="3"/>
      </w:numPr>
    </w:pPr>
  </w:style>
  <w:style w:type="character" w:styleId="Hyperlink">
    <w:name w:val="Hyperlink"/>
    <w:aliases w:val="Avalere Hyperlink"/>
    <w:uiPriority w:val="99"/>
    <w:unhideWhenUsed/>
    <w:rsid w:val="00215EC5"/>
    <w:rPr>
      <w:color w:val="0000FF"/>
      <w:u w:val="single"/>
    </w:rPr>
  </w:style>
  <w:style w:type="character" w:customStyle="1" w:styleId="HeaderChar">
    <w:name w:val="Header Char"/>
    <w:link w:val="Header"/>
    <w:uiPriority w:val="99"/>
    <w:rsid w:val="00215EC5"/>
    <w:rPr>
      <w:i/>
      <w:snapToGrid w:val="0"/>
      <w:color w:val="000000" w:themeColor="text1"/>
      <w:sz w:val="24"/>
      <w:szCs w:val="24"/>
    </w:rPr>
  </w:style>
  <w:style w:type="paragraph" w:styleId="DocumentMap">
    <w:name w:val="Document Map"/>
    <w:basedOn w:val="Normal"/>
    <w:link w:val="DocumentMapChar"/>
    <w:rsid w:val="00215EC5"/>
    <w:rPr>
      <w:rFonts w:ascii="Tahoma" w:hAnsi="Tahoma" w:cs="Tahoma"/>
      <w:color w:val="000000" w:themeColor="text1"/>
      <w:sz w:val="16"/>
      <w:szCs w:val="16"/>
    </w:rPr>
  </w:style>
  <w:style w:type="character" w:customStyle="1" w:styleId="DocumentMapChar">
    <w:name w:val="Document Map Char"/>
    <w:link w:val="DocumentMap"/>
    <w:rsid w:val="00215EC5"/>
    <w:rPr>
      <w:rFonts w:ascii="Tahoma" w:hAnsi="Tahoma" w:cs="Tahoma"/>
      <w:snapToGrid w:val="0"/>
      <w:color w:val="000000" w:themeColor="text1"/>
      <w:sz w:val="16"/>
      <w:szCs w:val="16"/>
    </w:rPr>
  </w:style>
  <w:style w:type="paragraph" w:styleId="ListBullet">
    <w:name w:val="List Bullet"/>
    <w:basedOn w:val="Normal"/>
    <w:rsid w:val="00215EC5"/>
    <w:pPr>
      <w:numPr>
        <w:numId w:val="13"/>
      </w:numPr>
      <w:tabs>
        <w:tab w:val="clear" w:pos="360"/>
        <w:tab w:val="num" w:pos="1800"/>
      </w:tabs>
      <w:ind w:left="1800"/>
      <w:contextualSpacing/>
    </w:pPr>
  </w:style>
  <w:style w:type="paragraph" w:styleId="ListBullet2">
    <w:name w:val="List Bullet 2"/>
    <w:basedOn w:val="Normal"/>
    <w:rsid w:val="00215EC5"/>
    <w:pPr>
      <w:numPr>
        <w:numId w:val="14"/>
      </w:numPr>
      <w:tabs>
        <w:tab w:val="clear" w:pos="720"/>
        <w:tab w:val="num" w:pos="360"/>
      </w:tabs>
      <w:ind w:left="360"/>
      <w:contextualSpacing/>
    </w:pPr>
  </w:style>
  <w:style w:type="paragraph" w:styleId="ListBullet3">
    <w:name w:val="List Bullet 3"/>
    <w:basedOn w:val="Normal"/>
    <w:rsid w:val="00215EC5"/>
    <w:pPr>
      <w:numPr>
        <w:numId w:val="15"/>
      </w:numPr>
      <w:tabs>
        <w:tab w:val="clear" w:pos="1080"/>
        <w:tab w:val="num" w:pos="720"/>
      </w:tabs>
      <w:ind w:left="720"/>
      <w:contextualSpacing/>
    </w:pPr>
  </w:style>
  <w:style w:type="paragraph" w:styleId="ListBullet4">
    <w:name w:val="List Bullet 4"/>
    <w:basedOn w:val="Normal"/>
    <w:rsid w:val="00215EC5"/>
    <w:pPr>
      <w:numPr>
        <w:numId w:val="16"/>
      </w:numPr>
      <w:tabs>
        <w:tab w:val="clear" w:pos="1440"/>
        <w:tab w:val="num" w:pos="1080"/>
      </w:tabs>
      <w:ind w:left="1080"/>
      <w:contextualSpacing/>
    </w:pPr>
  </w:style>
  <w:style w:type="paragraph" w:styleId="ListBullet5">
    <w:name w:val="List Bullet 5"/>
    <w:basedOn w:val="Normal"/>
    <w:rsid w:val="00215EC5"/>
    <w:pPr>
      <w:numPr>
        <w:numId w:val="17"/>
      </w:numPr>
      <w:tabs>
        <w:tab w:val="clear" w:pos="1800"/>
        <w:tab w:val="num" w:pos="1440"/>
      </w:tabs>
      <w:ind w:left="1440"/>
      <w:contextualSpacing/>
    </w:pPr>
  </w:style>
  <w:style w:type="paragraph" w:styleId="ListContinue">
    <w:name w:val="List Continue"/>
    <w:basedOn w:val="Normal"/>
    <w:rsid w:val="00215EC5"/>
    <w:pPr>
      <w:spacing w:after="120"/>
      <w:ind w:left="360"/>
      <w:contextualSpacing/>
    </w:pPr>
  </w:style>
  <w:style w:type="paragraph" w:styleId="ListContinue2">
    <w:name w:val="List Continue 2"/>
    <w:basedOn w:val="Normal"/>
    <w:rsid w:val="00215EC5"/>
    <w:pPr>
      <w:spacing w:after="120"/>
      <w:ind w:left="720"/>
      <w:contextualSpacing/>
    </w:pPr>
  </w:style>
  <w:style w:type="paragraph" w:styleId="ListContinue3">
    <w:name w:val="List Continue 3"/>
    <w:basedOn w:val="Normal"/>
    <w:rsid w:val="00215EC5"/>
    <w:pPr>
      <w:spacing w:after="120"/>
      <w:ind w:left="1080"/>
      <w:contextualSpacing/>
    </w:pPr>
  </w:style>
  <w:style w:type="paragraph" w:styleId="ListContinue4">
    <w:name w:val="List Continue 4"/>
    <w:basedOn w:val="Normal"/>
    <w:rsid w:val="00215EC5"/>
    <w:pPr>
      <w:spacing w:after="120"/>
      <w:ind w:left="1440"/>
      <w:contextualSpacing/>
    </w:pPr>
  </w:style>
  <w:style w:type="paragraph" w:styleId="ListContinue5">
    <w:name w:val="List Continue 5"/>
    <w:basedOn w:val="Normal"/>
    <w:rsid w:val="00215EC5"/>
    <w:pPr>
      <w:spacing w:after="120"/>
      <w:ind w:left="1800"/>
      <w:contextualSpacing/>
    </w:pPr>
  </w:style>
  <w:style w:type="paragraph" w:styleId="ListNumber">
    <w:name w:val="List Number"/>
    <w:basedOn w:val="Normal"/>
    <w:rsid w:val="00215EC5"/>
    <w:pPr>
      <w:numPr>
        <w:numId w:val="18"/>
      </w:numPr>
      <w:tabs>
        <w:tab w:val="clear" w:pos="360"/>
        <w:tab w:val="num" w:pos="4320"/>
      </w:tabs>
      <w:ind w:left="4320"/>
      <w:contextualSpacing/>
    </w:pPr>
  </w:style>
  <w:style w:type="paragraph" w:styleId="ListNumber2">
    <w:name w:val="List Number 2"/>
    <w:basedOn w:val="Normal"/>
    <w:rsid w:val="00215EC5"/>
    <w:pPr>
      <w:numPr>
        <w:numId w:val="19"/>
      </w:numPr>
      <w:tabs>
        <w:tab w:val="clear" w:pos="720"/>
      </w:tabs>
      <w:contextualSpacing/>
    </w:pPr>
  </w:style>
  <w:style w:type="paragraph" w:styleId="ListNumber3">
    <w:name w:val="List Number 3"/>
    <w:basedOn w:val="Normal"/>
    <w:rsid w:val="00215EC5"/>
    <w:pPr>
      <w:numPr>
        <w:numId w:val="20"/>
      </w:numPr>
      <w:tabs>
        <w:tab w:val="clear" w:pos="1080"/>
      </w:tabs>
      <w:ind w:left="720"/>
      <w:contextualSpacing/>
    </w:pPr>
  </w:style>
  <w:style w:type="paragraph" w:styleId="ListNumber4">
    <w:name w:val="List Number 4"/>
    <w:basedOn w:val="Normal"/>
    <w:rsid w:val="00215EC5"/>
    <w:pPr>
      <w:numPr>
        <w:numId w:val="21"/>
      </w:numPr>
      <w:tabs>
        <w:tab w:val="clear" w:pos="1440"/>
      </w:tabs>
      <w:ind w:left="1800"/>
      <w:contextualSpacing/>
    </w:pPr>
  </w:style>
  <w:style w:type="paragraph" w:styleId="ListNumber5">
    <w:name w:val="List Number 5"/>
    <w:basedOn w:val="Normal"/>
    <w:rsid w:val="00215EC5"/>
    <w:pPr>
      <w:numPr>
        <w:numId w:val="22"/>
      </w:numPr>
      <w:tabs>
        <w:tab w:val="clear" w:pos="4320"/>
        <w:tab w:val="num" w:pos="2160"/>
      </w:tabs>
      <w:ind w:left="2088" w:hanging="288"/>
      <w:contextualSpacing/>
    </w:pPr>
  </w:style>
  <w:style w:type="paragraph" w:styleId="MacroText">
    <w:name w:val="macro"/>
    <w:link w:val="MacroTextChar"/>
    <w:rsid w:val="00215EC5"/>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napToGrid w:val="0"/>
      <w:color w:val="000000"/>
    </w:rPr>
  </w:style>
  <w:style w:type="character" w:customStyle="1" w:styleId="MacroTextChar">
    <w:name w:val="Macro Text Char"/>
    <w:link w:val="MacroText"/>
    <w:rsid w:val="00215EC5"/>
    <w:rPr>
      <w:rFonts w:ascii="Consolas" w:hAnsi="Consolas" w:cs="Consolas"/>
      <w:snapToGrid w:val="0"/>
      <w:color w:val="000000"/>
    </w:rPr>
  </w:style>
  <w:style w:type="paragraph" w:styleId="MessageHeader">
    <w:name w:val="Message Header"/>
    <w:basedOn w:val="Normal"/>
    <w:link w:val="MessageHeaderChar"/>
    <w:rsid w:val="00215EC5"/>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215EC5"/>
    <w:rPr>
      <w:rFonts w:ascii="Cambria" w:hAnsi="Cambria"/>
      <w:snapToGrid w:val="0"/>
      <w:color w:val="000000"/>
      <w:sz w:val="24"/>
      <w:szCs w:val="24"/>
      <w:shd w:val="pct20" w:color="auto" w:fill="auto"/>
    </w:rPr>
  </w:style>
  <w:style w:type="paragraph" w:styleId="NoSpacing">
    <w:name w:val="No Spacing"/>
    <w:uiPriority w:val="1"/>
    <w:rsid w:val="00215EC5"/>
    <w:pPr>
      <w:widowControl w:val="0"/>
    </w:pPr>
    <w:rPr>
      <w:snapToGrid w:val="0"/>
      <w:color w:val="000000"/>
      <w:sz w:val="24"/>
      <w:szCs w:val="24"/>
    </w:rPr>
  </w:style>
  <w:style w:type="paragraph" w:styleId="NoteHeading">
    <w:name w:val="Note Heading"/>
    <w:basedOn w:val="Normal"/>
    <w:next w:val="Normal"/>
    <w:link w:val="NoteHeadingChar"/>
    <w:rsid w:val="00215EC5"/>
  </w:style>
  <w:style w:type="character" w:customStyle="1" w:styleId="NoteHeadingChar">
    <w:name w:val="Note Heading Char"/>
    <w:link w:val="NoteHeading"/>
    <w:rsid w:val="00215EC5"/>
    <w:rPr>
      <w:snapToGrid w:val="0"/>
      <w:color w:val="000000"/>
      <w:sz w:val="24"/>
      <w:szCs w:val="24"/>
    </w:rPr>
  </w:style>
  <w:style w:type="paragraph" w:styleId="Subtitle">
    <w:name w:val="Subtitle"/>
    <w:basedOn w:val="Normal"/>
    <w:next w:val="Normal"/>
    <w:link w:val="SubtitleChar"/>
    <w:rsid w:val="00215EC5"/>
    <w:pPr>
      <w:numPr>
        <w:ilvl w:val="1"/>
      </w:numPr>
    </w:pPr>
    <w:rPr>
      <w:rFonts w:ascii="Cambria" w:hAnsi="Cambria"/>
      <w:i/>
      <w:iCs/>
      <w:color w:val="4F81BD"/>
      <w:spacing w:val="15"/>
    </w:rPr>
  </w:style>
  <w:style w:type="character" w:customStyle="1" w:styleId="SubtitleChar">
    <w:name w:val="Subtitle Char"/>
    <w:link w:val="Subtitle"/>
    <w:rsid w:val="00215EC5"/>
    <w:rPr>
      <w:rFonts w:ascii="Cambria" w:hAnsi="Cambria"/>
      <w:i/>
      <w:iCs/>
      <w:snapToGrid w:val="0"/>
      <w:color w:val="4F81BD"/>
      <w:spacing w:val="15"/>
      <w:sz w:val="24"/>
      <w:szCs w:val="24"/>
    </w:rPr>
  </w:style>
  <w:style w:type="paragraph" w:styleId="TableofAuthorities">
    <w:name w:val="table of authorities"/>
    <w:basedOn w:val="Normal"/>
    <w:next w:val="Normal"/>
    <w:rsid w:val="00215EC5"/>
    <w:pPr>
      <w:ind w:left="240" w:hanging="240"/>
    </w:pPr>
  </w:style>
  <w:style w:type="paragraph" w:styleId="TableofFigures">
    <w:name w:val="table of figures"/>
    <w:basedOn w:val="Normal"/>
    <w:next w:val="Normal"/>
    <w:rsid w:val="00215EC5"/>
  </w:style>
  <w:style w:type="paragraph" w:styleId="Title">
    <w:name w:val="Title"/>
    <w:basedOn w:val="Normal"/>
    <w:next w:val="Normal"/>
    <w:link w:val="TitleChar"/>
    <w:rsid w:val="00215EC5"/>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215EC5"/>
    <w:rPr>
      <w:rFonts w:ascii="Cambria" w:hAnsi="Cambria"/>
      <w:snapToGrid w:val="0"/>
      <w:color w:val="17365D"/>
      <w:spacing w:val="5"/>
      <w:kern w:val="28"/>
      <w:sz w:val="52"/>
      <w:szCs w:val="52"/>
    </w:rPr>
  </w:style>
  <w:style w:type="paragraph" w:styleId="TOCHeading">
    <w:name w:val="TOC Heading"/>
    <w:basedOn w:val="Heading1"/>
    <w:next w:val="Normal"/>
    <w:rsid w:val="00215EC5"/>
    <w:pPr>
      <w:numPr>
        <w:numId w:val="0"/>
      </w:numPr>
      <w:spacing w:before="480"/>
      <w:outlineLvl w:val="9"/>
    </w:pPr>
    <w:rPr>
      <w:rFonts w:ascii="Cambria" w:hAnsi="Cambria"/>
      <w:bCs/>
      <w:caps w:val="0"/>
      <w:color w:val="365F91"/>
      <w:sz w:val="28"/>
      <w:szCs w:val="28"/>
    </w:rPr>
  </w:style>
  <w:style w:type="paragraph" w:customStyle="1" w:styleId="Text">
    <w:name w:val="Text"/>
    <w:aliases w:val="t"/>
    <w:basedOn w:val="Normal"/>
    <w:rsid w:val="00215EC5"/>
    <w:pPr>
      <w:widowControl/>
      <w:spacing w:before="100" w:after="100" w:line="260" w:lineRule="atLeast"/>
    </w:pPr>
    <w:rPr>
      <w:rFonts w:asciiTheme="minorHAnsi" w:hAnsiTheme="minorHAnsi"/>
      <w:color w:val="auto"/>
      <w:sz w:val="22"/>
      <w:szCs w:val="20"/>
    </w:rPr>
  </w:style>
  <w:style w:type="paragraph" w:customStyle="1" w:styleId="TableHeading1">
    <w:name w:val="Table Heading 1"/>
    <w:basedOn w:val="NoSpacing"/>
    <w:rsid w:val="00215EC5"/>
    <w:pPr>
      <w:widowControl/>
      <w:jc w:val="center"/>
    </w:pPr>
    <w:rPr>
      <w:rFonts w:ascii="Arial" w:eastAsiaTheme="minorHAnsi" w:hAnsi="Arial" w:cs="Arial"/>
      <w:b/>
      <w:snapToGrid/>
      <w:color w:val="000000" w:themeColor="text1"/>
      <w:sz w:val="22"/>
      <w:szCs w:val="22"/>
    </w:rPr>
  </w:style>
  <w:style w:type="paragraph" w:customStyle="1" w:styleId="TableHeading2">
    <w:name w:val="Table Heading 2"/>
    <w:basedOn w:val="TableHeading1"/>
    <w:rsid w:val="00215EC5"/>
    <w:pPr>
      <w:jc w:val="left"/>
    </w:pPr>
  </w:style>
  <w:style w:type="paragraph" w:customStyle="1" w:styleId="TableHeading3">
    <w:name w:val="Table Heading 3"/>
    <w:basedOn w:val="TableHeading1"/>
    <w:rsid w:val="00215EC5"/>
    <w:rPr>
      <w:sz w:val="20"/>
    </w:rPr>
  </w:style>
  <w:style w:type="paragraph" w:customStyle="1" w:styleId="TableHeading4">
    <w:name w:val="Table Heading 4"/>
    <w:basedOn w:val="TableHeading3"/>
    <w:rsid w:val="00215EC5"/>
  </w:style>
  <w:style w:type="paragraph" w:customStyle="1" w:styleId="TableRowHeading">
    <w:name w:val="Table Row Heading"/>
    <w:basedOn w:val="NoSpacing"/>
    <w:rsid w:val="00215EC5"/>
    <w:pPr>
      <w:widowControl/>
    </w:pPr>
    <w:rPr>
      <w:rFonts w:ascii="Arial" w:eastAsiaTheme="minorHAnsi" w:hAnsi="Arial" w:cs="Arial"/>
      <w:snapToGrid/>
      <w:color w:val="000000" w:themeColor="text1"/>
      <w:sz w:val="20"/>
      <w:szCs w:val="22"/>
    </w:rPr>
  </w:style>
  <w:style w:type="paragraph" w:customStyle="1" w:styleId="DataField">
    <w:name w:val="Data Field"/>
    <w:basedOn w:val="NoSpacing"/>
    <w:rsid w:val="00215EC5"/>
    <w:pPr>
      <w:widowControl/>
      <w:ind w:right="14"/>
      <w:jc w:val="right"/>
    </w:pPr>
    <w:rPr>
      <w:rFonts w:ascii="Arial" w:eastAsiaTheme="minorHAnsi" w:hAnsi="Arial" w:cs="Arial"/>
      <w:snapToGrid/>
      <w:color w:val="000000" w:themeColor="text1"/>
      <w:sz w:val="20"/>
      <w:szCs w:val="20"/>
    </w:rPr>
  </w:style>
  <w:style w:type="paragraph" w:customStyle="1" w:styleId="TotalField">
    <w:name w:val="Total Field"/>
    <w:basedOn w:val="DataField"/>
    <w:rsid w:val="00215EC5"/>
    <w:rPr>
      <w:b/>
    </w:rPr>
  </w:style>
  <w:style w:type="character" w:customStyle="1" w:styleId="ListParagraphChar">
    <w:name w:val="List Paragraph Char"/>
    <w:aliases w:val="SOW Letter Heading Char,hyperlink Char,@ Bulleted List not indented List Paragraph Char,default subheading Char,Hyperlink1 Char"/>
    <w:basedOn w:val="DefaultParagraphFont"/>
    <w:link w:val="ListParagraph"/>
    <w:uiPriority w:val="34"/>
    <w:locked/>
    <w:rsid w:val="00215EC5"/>
    <w:rPr>
      <w:snapToGrid w:val="0"/>
      <w:color w:val="000000"/>
      <w:sz w:val="24"/>
      <w:szCs w:val="24"/>
    </w:rPr>
  </w:style>
  <w:style w:type="character" w:styleId="PlaceholderText">
    <w:name w:val="Placeholder Text"/>
    <w:basedOn w:val="DefaultParagraphFont"/>
    <w:uiPriority w:val="99"/>
    <w:semiHidden/>
    <w:rsid w:val="00215EC5"/>
    <w:rPr>
      <w:color w:val="808080"/>
    </w:rPr>
  </w:style>
  <w:style w:type="numbering" w:styleId="111111">
    <w:name w:val="Outline List 2"/>
    <w:basedOn w:val="NoList"/>
    <w:unhideWhenUsed/>
    <w:rsid w:val="00215EC5"/>
    <w:pPr>
      <w:numPr>
        <w:numId w:val="69"/>
      </w:numPr>
    </w:pPr>
  </w:style>
  <w:style w:type="paragraph" w:customStyle="1" w:styleId="ICDBodyText">
    <w:name w:val="ICD Body Text"/>
    <w:basedOn w:val="Normal"/>
    <w:link w:val="ICDBodyTextChar"/>
    <w:rsid w:val="00215EC5"/>
    <w:pPr>
      <w:widowControl/>
    </w:pPr>
    <w:rPr>
      <w:rFonts w:eastAsiaTheme="minorHAnsi" w:cstheme="minorBidi"/>
      <w:snapToGrid/>
      <w:szCs w:val="22"/>
    </w:rPr>
  </w:style>
  <w:style w:type="character" w:customStyle="1" w:styleId="ICDBodyTextChar">
    <w:name w:val="ICD Body Text Char"/>
    <w:basedOn w:val="DefaultParagraphFont"/>
    <w:link w:val="ICDBodyText"/>
    <w:rsid w:val="00215EC5"/>
    <w:rPr>
      <w:rFonts w:eastAsiaTheme="minorHAnsi" w:cstheme="minorBidi"/>
      <w:color w:val="000000"/>
      <w:sz w:val="24"/>
      <w:szCs w:val="22"/>
    </w:rPr>
  </w:style>
  <w:style w:type="paragraph" w:customStyle="1" w:styleId="Level5Heading">
    <w:name w:val="Level 5 Heading"/>
    <w:basedOn w:val="Level4Heading"/>
    <w:next w:val="Normal"/>
    <w:qFormat/>
    <w:rsid w:val="00215EC5"/>
    <w:pPr>
      <w:numPr>
        <w:ilvl w:val="4"/>
      </w:numPr>
    </w:pPr>
  </w:style>
  <w:style w:type="numbering" w:customStyle="1" w:styleId="NumberingList0">
    <w:name w:val="Numbering List0"/>
    <w:next w:val="NumberingList"/>
    <w:uiPriority w:val="99"/>
    <w:rsid w:val="00215EC5"/>
  </w:style>
  <w:style w:type="numbering" w:customStyle="1" w:styleId="Style1">
    <w:name w:val="Style1"/>
    <w:rsid w:val="00215EC5"/>
    <w:pPr>
      <w:numPr>
        <w:numId w:val="70"/>
      </w:numPr>
    </w:pPr>
  </w:style>
  <w:style w:type="character" w:customStyle="1" w:styleId="UnresolvedMention1">
    <w:name w:val="Unresolved Mention1"/>
    <w:basedOn w:val="DefaultParagraphFont"/>
    <w:uiPriority w:val="99"/>
    <w:semiHidden/>
    <w:unhideWhenUsed/>
    <w:rsid w:val="00215EC5"/>
    <w:rPr>
      <w:color w:val="808080"/>
      <w:shd w:val="clear" w:color="auto" w:fill="E6E6E6"/>
    </w:rPr>
  </w:style>
  <w:style w:type="character" w:customStyle="1" w:styleId="UnresolvedMention2">
    <w:name w:val="Unresolved Mention2"/>
    <w:basedOn w:val="DefaultParagraphFont"/>
    <w:uiPriority w:val="99"/>
    <w:semiHidden/>
    <w:unhideWhenUsed/>
    <w:rsid w:val="00215EC5"/>
    <w:rPr>
      <w:color w:val="808080"/>
      <w:shd w:val="clear" w:color="auto" w:fill="E6E6E6"/>
    </w:rPr>
  </w:style>
  <w:style w:type="character" w:customStyle="1" w:styleId="apple-converted-space">
    <w:name w:val="apple-converted-space"/>
    <w:basedOn w:val="DefaultParagraphFont"/>
    <w:rsid w:val="00215EC5"/>
  </w:style>
  <w:style w:type="character" w:styleId="Strong">
    <w:name w:val="Strong"/>
    <w:basedOn w:val="DefaultParagraphFont"/>
    <w:uiPriority w:val="22"/>
    <w:rsid w:val="00215EC5"/>
    <w:rPr>
      <w:b/>
      <w:bCs/>
    </w:rPr>
  </w:style>
  <w:style w:type="paragraph" w:customStyle="1" w:styleId="TableParagraph">
    <w:name w:val="Table Paragraph"/>
    <w:basedOn w:val="Normal"/>
    <w:uiPriority w:val="1"/>
    <w:qFormat/>
    <w:rsid w:val="00215EC5"/>
    <w:rPr>
      <w:rFonts w:asciiTheme="minorHAnsi" w:eastAsiaTheme="minorHAnsi" w:hAnsiTheme="minorHAnsi" w:cstheme="minorBidi"/>
      <w:snapToGrid/>
      <w:color w:val="auto"/>
      <w:sz w:val="22"/>
      <w:szCs w:val="22"/>
    </w:rPr>
  </w:style>
  <w:style w:type="character" w:customStyle="1" w:styleId="UnresolvedMention3">
    <w:name w:val="Unresolved Mention3"/>
    <w:basedOn w:val="DefaultParagraphFont"/>
    <w:uiPriority w:val="99"/>
    <w:unhideWhenUsed/>
    <w:rsid w:val="00215EC5"/>
    <w:rPr>
      <w:color w:val="605E5C"/>
      <w:shd w:val="clear" w:color="auto" w:fill="E1DFDD"/>
    </w:rPr>
  </w:style>
  <w:style w:type="paragraph" w:customStyle="1" w:styleId="Default">
    <w:name w:val="Default"/>
    <w:rsid w:val="00215EC5"/>
    <w:pPr>
      <w:autoSpaceDE w:val="0"/>
      <w:autoSpaceDN w:val="0"/>
      <w:adjustRightInd w:val="0"/>
    </w:pPr>
    <w:rPr>
      <w:color w:val="000000"/>
      <w:sz w:val="24"/>
      <w:szCs w:val="24"/>
    </w:rPr>
  </w:style>
  <w:style w:type="character" w:customStyle="1" w:styleId="Style14">
    <w:name w:val="Style14"/>
    <w:basedOn w:val="DefaultParagraphFont"/>
    <w:uiPriority w:val="1"/>
    <w:rsid w:val="00215EC5"/>
    <w:rPr>
      <w:rFonts w:ascii="Times New Roman" w:hAnsi="Times New Roman"/>
      <w:color w:val="FF0000"/>
      <w:sz w:val="22"/>
    </w:rPr>
  </w:style>
  <w:style w:type="character" w:customStyle="1" w:styleId="Style15">
    <w:name w:val="Style15"/>
    <w:basedOn w:val="DefaultParagraphFont"/>
    <w:uiPriority w:val="1"/>
    <w:rsid w:val="00215EC5"/>
    <w:rPr>
      <w:rFonts w:ascii="Times New Roman" w:hAnsi="Times New Roman"/>
      <w:color w:val="FF0000"/>
      <w:sz w:val="22"/>
    </w:rPr>
  </w:style>
  <w:style w:type="character" w:customStyle="1" w:styleId="Style17">
    <w:name w:val="Style17"/>
    <w:basedOn w:val="DefaultParagraphFont"/>
    <w:uiPriority w:val="1"/>
    <w:rsid w:val="00215EC5"/>
    <w:rPr>
      <w:rFonts w:ascii="Times New Roman" w:hAnsi="Times New Roman"/>
      <w:color w:val="FF0000"/>
      <w:sz w:val="22"/>
    </w:rPr>
  </w:style>
  <w:style w:type="character" w:customStyle="1" w:styleId="Style18">
    <w:name w:val="Style18"/>
    <w:basedOn w:val="DefaultParagraphFont"/>
    <w:uiPriority w:val="1"/>
    <w:rsid w:val="00215EC5"/>
    <w:rPr>
      <w:rFonts w:ascii="Times New Roman" w:hAnsi="Times New Roman"/>
      <w:color w:val="FF0000"/>
      <w:sz w:val="22"/>
    </w:rPr>
  </w:style>
  <w:style w:type="character" w:customStyle="1" w:styleId="Style19">
    <w:name w:val="Style19"/>
    <w:basedOn w:val="DefaultParagraphFont"/>
    <w:uiPriority w:val="1"/>
    <w:rsid w:val="00215EC5"/>
    <w:rPr>
      <w:rFonts w:ascii="Times New Roman" w:hAnsi="Times New Roman"/>
      <w:color w:val="FF0000"/>
      <w:sz w:val="22"/>
    </w:rPr>
  </w:style>
  <w:style w:type="character" w:customStyle="1" w:styleId="Style20">
    <w:name w:val="Style20"/>
    <w:basedOn w:val="DefaultParagraphFont"/>
    <w:uiPriority w:val="1"/>
    <w:rsid w:val="00215EC5"/>
    <w:rPr>
      <w:rFonts w:ascii="Times New Roman" w:hAnsi="Times New Roman"/>
      <w:color w:val="FF0000"/>
      <w:sz w:val="22"/>
    </w:rPr>
  </w:style>
  <w:style w:type="character" w:customStyle="1" w:styleId="Style22">
    <w:name w:val="Style22"/>
    <w:basedOn w:val="DefaultParagraphFont"/>
    <w:uiPriority w:val="1"/>
    <w:rsid w:val="00215EC5"/>
    <w:rPr>
      <w:rFonts w:ascii="Times New Roman" w:hAnsi="Times New Roman"/>
      <w:color w:val="FF0000"/>
      <w:sz w:val="22"/>
    </w:rPr>
  </w:style>
  <w:style w:type="character" w:customStyle="1" w:styleId="Style23">
    <w:name w:val="Style23"/>
    <w:basedOn w:val="DefaultParagraphFont"/>
    <w:uiPriority w:val="1"/>
    <w:rsid w:val="00215EC5"/>
    <w:rPr>
      <w:rFonts w:ascii="Times New Roman" w:hAnsi="Times New Roman"/>
      <w:color w:val="FF0000"/>
      <w:sz w:val="22"/>
    </w:rPr>
  </w:style>
  <w:style w:type="character" w:customStyle="1" w:styleId="Style24">
    <w:name w:val="Style24"/>
    <w:basedOn w:val="DefaultParagraphFont"/>
    <w:uiPriority w:val="1"/>
    <w:rsid w:val="00215EC5"/>
    <w:rPr>
      <w:rFonts w:ascii="Times New Roman" w:hAnsi="Times New Roman"/>
      <w:color w:val="FF0000"/>
      <w:sz w:val="22"/>
    </w:rPr>
  </w:style>
  <w:style w:type="character" w:customStyle="1" w:styleId="Style25">
    <w:name w:val="Style25"/>
    <w:basedOn w:val="DefaultParagraphFont"/>
    <w:uiPriority w:val="1"/>
    <w:rsid w:val="00215EC5"/>
    <w:rPr>
      <w:rFonts w:ascii="Times New Roman" w:hAnsi="Times New Roman"/>
      <w:b/>
      <w:color w:val="FF0000"/>
      <w:sz w:val="22"/>
    </w:rPr>
  </w:style>
  <w:style w:type="character" w:customStyle="1" w:styleId="Style26">
    <w:name w:val="Style26"/>
    <w:basedOn w:val="DefaultParagraphFont"/>
    <w:uiPriority w:val="1"/>
    <w:rsid w:val="00215EC5"/>
    <w:rPr>
      <w:rFonts w:ascii="Times New Roman" w:hAnsi="Times New Roman"/>
      <w:color w:val="FF0000"/>
      <w:sz w:val="22"/>
    </w:rPr>
  </w:style>
  <w:style w:type="character" w:customStyle="1" w:styleId="Style27">
    <w:name w:val="Style27"/>
    <w:basedOn w:val="DefaultParagraphFont"/>
    <w:uiPriority w:val="1"/>
    <w:rsid w:val="00215EC5"/>
    <w:rPr>
      <w:rFonts w:ascii="Times New Roman" w:hAnsi="Times New Roman"/>
      <w:color w:val="FF0000"/>
      <w:sz w:val="22"/>
    </w:rPr>
  </w:style>
  <w:style w:type="character" w:customStyle="1" w:styleId="Style28">
    <w:name w:val="Style28"/>
    <w:basedOn w:val="DefaultParagraphFont"/>
    <w:uiPriority w:val="1"/>
    <w:rsid w:val="00215EC5"/>
    <w:rPr>
      <w:rFonts w:ascii="Times New Roman" w:hAnsi="Times New Roman"/>
      <w:color w:val="FF0000"/>
      <w:sz w:val="22"/>
    </w:rPr>
  </w:style>
  <w:style w:type="character" w:customStyle="1" w:styleId="Style51">
    <w:name w:val="Style51"/>
    <w:basedOn w:val="DefaultParagraphFont"/>
    <w:uiPriority w:val="1"/>
    <w:rsid w:val="00215EC5"/>
    <w:rPr>
      <w:rFonts w:asciiTheme="minorHAnsi" w:hAnsiTheme="minorHAnsi"/>
      <w:color w:val="FF0000"/>
      <w:sz w:val="16"/>
    </w:rPr>
  </w:style>
  <w:style w:type="character" w:customStyle="1" w:styleId="Style52">
    <w:name w:val="Style52"/>
    <w:basedOn w:val="DefaultParagraphFont"/>
    <w:uiPriority w:val="1"/>
    <w:rsid w:val="00215EC5"/>
    <w:rPr>
      <w:rFonts w:asciiTheme="minorHAnsi" w:hAnsiTheme="minorHAnsi"/>
      <w:color w:val="FF0000"/>
      <w:sz w:val="16"/>
    </w:rPr>
  </w:style>
  <w:style w:type="character" w:customStyle="1" w:styleId="Style53">
    <w:name w:val="Style53"/>
    <w:basedOn w:val="DefaultParagraphFont"/>
    <w:uiPriority w:val="1"/>
    <w:rsid w:val="00215EC5"/>
    <w:rPr>
      <w:rFonts w:asciiTheme="minorHAnsi" w:hAnsiTheme="minorHAnsi"/>
      <w:color w:val="FF0000"/>
      <w:sz w:val="16"/>
    </w:rPr>
  </w:style>
  <w:style w:type="character" w:customStyle="1" w:styleId="Style54">
    <w:name w:val="Style54"/>
    <w:basedOn w:val="DefaultParagraphFont"/>
    <w:uiPriority w:val="1"/>
    <w:rsid w:val="00215EC5"/>
    <w:rPr>
      <w:rFonts w:asciiTheme="minorHAnsi" w:hAnsiTheme="minorHAnsi"/>
      <w:color w:val="FF0000"/>
      <w:sz w:val="16"/>
    </w:rPr>
  </w:style>
  <w:style w:type="character" w:customStyle="1" w:styleId="Style55">
    <w:name w:val="Style55"/>
    <w:basedOn w:val="DefaultParagraphFont"/>
    <w:uiPriority w:val="1"/>
    <w:rsid w:val="00215EC5"/>
    <w:rPr>
      <w:rFonts w:ascii="Times New Roman" w:hAnsi="Times New Roman"/>
      <w:color w:val="auto"/>
      <w:sz w:val="22"/>
    </w:rPr>
  </w:style>
  <w:style w:type="character" w:customStyle="1" w:styleId="Style57">
    <w:name w:val="Style57"/>
    <w:basedOn w:val="DefaultParagraphFont"/>
    <w:uiPriority w:val="1"/>
    <w:rsid w:val="00215EC5"/>
    <w:rPr>
      <w:rFonts w:ascii="Times New Roman" w:hAnsi="Times New Roman"/>
      <w:color w:val="auto"/>
      <w:sz w:val="22"/>
    </w:rPr>
  </w:style>
  <w:style w:type="character" w:customStyle="1" w:styleId="Style61">
    <w:name w:val="Style61"/>
    <w:basedOn w:val="DefaultParagraphFont"/>
    <w:uiPriority w:val="1"/>
    <w:rsid w:val="00215EC5"/>
    <w:rPr>
      <w:rFonts w:asciiTheme="minorHAnsi" w:hAnsiTheme="minorHAnsi"/>
      <w:color w:val="FF0000"/>
      <w:sz w:val="16"/>
    </w:rPr>
  </w:style>
  <w:style w:type="character" w:customStyle="1" w:styleId="Style62">
    <w:name w:val="Style62"/>
    <w:basedOn w:val="DefaultParagraphFont"/>
    <w:uiPriority w:val="1"/>
    <w:rsid w:val="00215EC5"/>
    <w:rPr>
      <w:rFonts w:asciiTheme="minorHAnsi" w:hAnsiTheme="minorHAnsi"/>
      <w:color w:val="FF0000"/>
      <w:sz w:val="16"/>
    </w:rPr>
  </w:style>
  <w:style w:type="numbering" w:customStyle="1" w:styleId="NoList1">
    <w:name w:val="No List1"/>
    <w:next w:val="NoList"/>
    <w:uiPriority w:val="99"/>
    <w:semiHidden/>
    <w:unhideWhenUsed/>
    <w:rsid w:val="00215EC5"/>
  </w:style>
  <w:style w:type="character" w:customStyle="1" w:styleId="BalloonTextChar">
    <w:name w:val="Balloon Text Char"/>
    <w:basedOn w:val="DefaultParagraphFont"/>
    <w:link w:val="BalloonText"/>
    <w:uiPriority w:val="99"/>
    <w:semiHidden/>
    <w:rsid w:val="00215EC5"/>
    <w:rPr>
      <w:rFonts w:ascii="Tahoma" w:hAnsi="Tahoma" w:cs="Tahoma"/>
      <w:snapToGrid w:val="0"/>
      <w:color w:val="000000" w:themeColor="text1"/>
      <w:sz w:val="16"/>
      <w:szCs w:val="16"/>
    </w:rPr>
  </w:style>
  <w:style w:type="table" w:customStyle="1" w:styleId="TableCTSU">
    <w:name w:val="TableCTSU"/>
    <w:aliases w:val="tc"/>
    <w:basedOn w:val="TableGrid"/>
    <w:uiPriority w:val="99"/>
    <w:rsid w:val="00215EC5"/>
    <w:pPr>
      <w:keepLines/>
      <w:spacing w:before="60" w:after="40"/>
      <w:contextualSpacing/>
    </w:pPr>
    <w:rPr>
      <w:rFonts w:asciiTheme="minorHAnsi" w:hAnsiTheme="minorHAnsi"/>
      <w:sz w:val="22"/>
    </w:rPr>
    <w:tblPr>
      <w:tblStyleRowBandSize w:val="1"/>
      <w:tblInd w:w="0" w:type="ni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FFFFF" w:themeFill="background1"/>
    </w:tcPr>
    <w:tblStylePr w:type="firstRow">
      <w:pPr>
        <w:wordWrap/>
        <w:jc w:val="center"/>
      </w:pPr>
      <w:rPr>
        <w:rFonts w:ascii="Arial" w:hAnsi="Arial" w:cs="Arial" w:hint="default"/>
        <w:b/>
        <w:sz w:val="18"/>
        <w:szCs w:val="18"/>
      </w:rPr>
      <w:tblPr/>
      <w:tcPr>
        <w:shd w:val="clear" w:color="auto" w:fill="F2F2F2" w:themeFill="background1" w:themeFillShade="F2"/>
      </w:tcPr>
    </w:tblStylePr>
    <w:tblStylePr w:type="band1Horz">
      <w:tblPr/>
      <w:tcPr>
        <w:shd w:val="clear" w:color="auto" w:fill="FFFFFF" w:themeFill="background1"/>
      </w:tcPr>
    </w:tblStylePr>
  </w:style>
  <w:style w:type="character" w:customStyle="1" w:styleId="Mention1">
    <w:name w:val="Mention1"/>
    <w:basedOn w:val="DefaultParagraphFont"/>
    <w:uiPriority w:val="99"/>
    <w:unhideWhenUsed/>
    <w:rsid w:val="00215EC5"/>
    <w:rPr>
      <w:color w:val="2B579A"/>
      <w:shd w:val="clear" w:color="auto" w:fill="E1DFDD"/>
    </w:rPr>
  </w:style>
  <w:style w:type="character" w:customStyle="1" w:styleId="UnresolvedMention4">
    <w:name w:val="Unresolved Mention4"/>
    <w:basedOn w:val="DefaultParagraphFont"/>
    <w:uiPriority w:val="99"/>
    <w:unhideWhenUsed/>
    <w:rsid w:val="00215EC5"/>
    <w:rPr>
      <w:color w:val="605E5C"/>
      <w:shd w:val="clear" w:color="auto" w:fill="E1DFDD"/>
    </w:rPr>
  </w:style>
  <w:style w:type="character" w:customStyle="1" w:styleId="Mention2">
    <w:name w:val="Mention2"/>
    <w:basedOn w:val="DefaultParagraphFont"/>
    <w:uiPriority w:val="99"/>
    <w:unhideWhenUsed/>
    <w:rsid w:val="00215EC5"/>
    <w:rPr>
      <w:color w:val="2B579A"/>
      <w:shd w:val="clear" w:color="auto" w:fill="E1DFDD"/>
    </w:rPr>
  </w:style>
  <w:style w:type="character" w:customStyle="1" w:styleId="UnresolvedMention5">
    <w:name w:val="Unresolved Mention5"/>
    <w:basedOn w:val="DefaultParagraphFont"/>
    <w:uiPriority w:val="99"/>
    <w:unhideWhenUsed/>
    <w:rsid w:val="00215EC5"/>
    <w:rPr>
      <w:color w:val="605E5C"/>
      <w:shd w:val="clear" w:color="auto" w:fill="E1DFDD"/>
    </w:rPr>
  </w:style>
  <w:style w:type="character" w:customStyle="1" w:styleId="Mention3">
    <w:name w:val="Mention3"/>
    <w:basedOn w:val="DefaultParagraphFont"/>
    <w:uiPriority w:val="99"/>
    <w:unhideWhenUsed/>
    <w:rsid w:val="00215EC5"/>
    <w:rPr>
      <w:color w:val="2B579A"/>
      <w:shd w:val="clear" w:color="auto" w:fill="E1DFDD"/>
    </w:rPr>
  </w:style>
  <w:style w:type="character" w:customStyle="1" w:styleId="Level3HeadingChar">
    <w:name w:val="Level 3 Heading Char"/>
    <w:basedOn w:val="DefaultParagraphFont"/>
    <w:link w:val="Level3Heading"/>
    <w:locked/>
    <w:rsid w:val="00215EC5"/>
    <w:rPr>
      <w:snapToGrid w:val="0"/>
      <w:color w:val="000000" w:themeColor="text1"/>
      <w:sz w:val="24"/>
      <w:szCs w:val="24"/>
    </w:rPr>
  </w:style>
  <w:style w:type="numbering" w:customStyle="1" w:styleId="NoList2">
    <w:name w:val="No List2"/>
    <w:next w:val="NoList"/>
    <w:uiPriority w:val="99"/>
    <w:semiHidden/>
    <w:unhideWhenUsed/>
    <w:rsid w:val="00215EC5"/>
  </w:style>
  <w:style w:type="paragraph" w:customStyle="1" w:styleId="Level6Heading">
    <w:name w:val="Level 6 Heading"/>
    <w:basedOn w:val="Normal"/>
    <w:rsid w:val="00215EC5"/>
    <w:pPr>
      <w:numPr>
        <w:ilvl w:val="5"/>
        <w:numId w:val="71"/>
      </w:numPr>
    </w:pPr>
  </w:style>
  <w:style w:type="character" w:styleId="UnresolvedMention">
    <w:name w:val="Unresolved Mention"/>
    <w:basedOn w:val="DefaultParagraphFont"/>
    <w:uiPriority w:val="99"/>
    <w:semiHidden/>
    <w:unhideWhenUsed/>
    <w:rsid w:val="00215EC5"/>
    <w:rPr>
      <w:color w:val="605E5C"/>
      <w:shd w:val="clear" w:color="auto" w:fill="E1DFDD"/>
    </w:rPr>
  </w:style>
  <w:style w:type="paragraph" w:customStyle="1" w:styleId="paragraph">
    <w:name w:val="paragraph"/>
    <w:basedOn w:val="Normal"/>
    <w:rsid w:val="0057092B"/>
    <w:pPr>
      <w:widowControl/>
      <w:spacing w:before="100" w:beforeAutospacing="1" w:after="100" w:afterAutospacing="1"/>
    </w:pPr>
    <w:rPr>
      <w:snapToGrid/>
      <w:color w:val="auto"/>
    </w:rPr>
  </w:style>
  <w:style w:type="character" w:customStyle="1" w:styleId="normaltextrun">
    <w:name w:val="normaltextrun"/>
    <w:basedOn w:val="DefaultParagraphFont"/>
    <w:rsid w:val="0057092B"/>
  </w:style>
  <w:style w:type="character" w:customStyle="1" w:styleId="eop">
    <w:name w:val="eop"/>
    <w:basedOn w:val="DefaultParagraphFont"/>
    <w:rsid w:val="0057092B"/>
  </w:style>
  <w:style w:type="table" w:customStyle="1" w:styleId="TableGrid12">
    <w:name w:val="Table Grid12"/>
    <w:basedOn w:val="TableNormal"/>
    <w:next w:val="TableGrid"/>
    <w:uiPriority w:val="39"/>
    <w:rsid w:val="00152FAF"/>
    <w:rPr>
      <w:rFonts w:asciiTheme="minorHAnsi" w:eastAsia="PMingLiU" w:hAnsiTheme="minorHAns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E36A5A"/>
    <w:rPr>
      <w:rFonts w:ascii="Segoe UI" w:hAnsi="Segoe UI" w:cs="Segoe UI" w:hint="default"/>
      <w:sz w:val="18"/>
      <w:szCs w:val="18"/>
    </w:rPr>
  </w:style>
  <w:style w:type="character" w:customStyle="1" w:styleId="identifier">
    <w:name w:val="identifier"/>
    <w:basedOn w:val="DefaultParagraphFont"/>
    <w:rsid w:val="004C0D89"/>
  </w:style>
  <w:style w:type="character" w:styleId="Mention">
    <w:name w:val="Mention"/>
    <w:basedOn w:val="DefaultParagraphFont"/>
    <w:uiPriority w:val="99"/>
    <w:unhideWhenUsed/>
    <w:rsid w:val="00E22101"/>
    <w:rPr>
      <w:color w:val="2B579A"/>
      <w:shd w:val="clear" w:color="auto" w:fill="E1DFDD"/>
    </w:rPr>
  </w:style>
  <w:style w:type="table" w:styleId="GridTable3">
    <w:name w:val="Grid Table 3"/>
    <w:basedOn w:val="TableNormal"/>
    <w:uiPriority w:val="48"/>
    <w:rsid w:val="0082245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1Light">
    <w:name w:val="List Table 1 Light"/>
    <w:basedOn w:val="TableNormal"/>
    <w:uiPriority w:val="46"/>
    <w:rsid w:val="0082245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60637">
      <w:bodyDiv w:val="1"/>
      <w:marLeft w:val="0"/>
      <w:marRight w:val="0"/>
      <w:marTop w:val="0"/>
      <w:marBottom w:val="0"/>
      <w:divBdr>
        <w:top w:val="none" w:sz="0" w:space="0" w:color="auto"/>
        <w:left w:val="none" w:sz="0" w:space="0" w:color="auto"/>
        <w:bottom w:val="none" w:sz="0" w:space="0" w:color="auto"/>
        <w:right w:val="none" w:sz="0" w:space="0" w:color="auto"/>
      </w:divBdr>
      <w:divsChild>
        <w:div w:id="579873618">
          <w:marLeft w:val="0"/>
          <w:marRight w:val="0"/>
          <w:marTop w:val="0"/>
          <w:marBottom w:val="0"/>
          <w:divBdr>
            <w:top w:val="none" w:sz="0" w:space="0" w:color="auto"/>
            <w:left w:val="none" w:sz="0" w:space="0" w:color="auto"/>
            <w:bottom w:val="none" w:sz="0" w:space="0" w:color="auto"/>
            <w:right w:val="none" w:sz="0" w:space="0" w:color="auto"/>
          </w:divBdr>
          <w:divsChild>
            <w:div w:id="1083838719">
              <w:marLeft w:val="0"/>
              <w:marRight w:val="0"/>
              <w:marTop w:val="30"/>
              <w:marBottom w:val="30"/>
              <w:divBdr>
                <w:top w:val="none" w:sz="0" w:space="0" w:color="auto"/>
                <w:left w:val="none" w:sz="0" w:space="0" w:color="auto"/>
                <w:bottom w:val="none" w:sz="0" w:space="0" w:color="auto"/>
                <w:right w:val="none" w:sz="0" w:space="0" w:color="auto"/>
              </w:divBdr>
              <w:divsChild>
                <w:div w:id="1551184392">
                  <w:marLeft w:val="0"/>
                  <w:marRight w:val="0"/>
                  <w:marTop w:val="0"/>
                  <w:marBottom w:val="0"/>
                  <w:divBdr>
                    <w:top w:val="none" w:sz="0" w:space="0" w:color="auto"/>
                    <w:left w:val="none" w:sz="0" w:space="0" w:color="auto"/>
                    <w:bottom w:val="none" w:sz="0" w:space="0" w:color="auto"/>
                    <w:right w:val="none" w:sz="0" w:space="0" w:color="auto"/>
                  </w:divBdr>
                  <w:divsChild>
                    <w:div w:id="230427818">
                      <w:marLeft w:val="0"/>
                      <w:marRight w:val="0"/>
                      <w:marTop w:val="0"/>
                      <w:marBottom w:val="0"/>
                      <w:divBdr>
                        <w:top w:val="none" w:sz="0" w:space="0" w:color="auto"/>
                        <w:left w:val="none" w:sz="0" w:space="0" w:color="auto"/>
                        <w:bottom w:val="none" w:sz="0" w:space="0" w:color="auto"/>
                        <w:right w:val="none" w:sz="0" w:space="0" w:color="auto"/>
                      </w:divBdr>
                    </w:div>
                    <w:div w:id="814378297">
                      <w:marLeft w:val="0"/>
                      <w:marRight w:val="0"/>
                      <w:marTop w:val="0"/>
                      <w:marBottom w:val="0"/>
                      <w:divBdr>
                        <w:top w:val="none" w:sz="0" w:space="0" w:color="auto"/>
                        <w:left w:val="none" w:sz="0" w:space="0" w:color="auto"/>
                        <w:bottom w:val="none" w:sz="0" w:space="0" w:color="auto"/>
                        <w:right w:val="none" w:sz="0" w:space="0" w:color="auto"/>
                      </w:divBdr>
                    </w:div>
                    <w:div w:id="1192959507">
                      <w:marLeft w:val="0"/>
                      <w:marRight w:val="0"/>
                      <w:marTop w:val="0"/>
                      <w:marBottom w:val="0"/>
                      <w:divBdr>
                        <w:top w:val="none" w:sz="0" w:space="0" w:color="auto"/>
                        <w:left w:val="none" w:sz="0" w:space="0" w:color="auto"/>
                        <w:bottom w:val="none" w:sz="0" w:space="0" w:color="auto"/>
                        <w:right w:val="none" w:sz="0" w:space="0" w:color="auto"/>
                      </w:divBdr>
                    </w:div>
                    <w:div w:id="1458839955">
                      <w:marLeft w:val="0"/>
                      <w:marRight w:val="0"/>
                      <w:marTop w:val="0"/>
                      <w:marBottom w:val="0"/>
                      <w:divBdr>
                        <w:top w:val="none" w:sz="0" w:space="0" w:color="auto"/>
                        <w:left w:val="none" w:sz="0" w:space="0" w:color="auto"/>
                        <w:bottom w:val="none" w:sz="0" w:space="0" w:color="auto"/>
                        <w:right w:val="none" w:sz="0" w:space="0" w:color="auto"/>
                      </w:divBdr>
                    </w:div>
                    <w:div w:id="1762875430">
                      <w:marLeft w:val="0"/>
                      <w:marRight w:val="0"/>
                      <w:marTop w:val="0"/>
                      <w:marBottom w:val="0"/>
                      <w:divBdr>
                        <w:top w:val="none" w:sz="0" w:space="0" w:color="auto"/>
                        <w:left w:val="none" w:sz="0" w:space="0" w:color="auto"/>
                        <w:bottom w:val="none" w:sz="0" w:space="0" w:color="auto"/>
                        <w:right w:val="none" w:sz="0" w:space="0" w:color="auto"/>
                      </w:divBdr>
                    </w:div>
                  </w:divsChild>
                </w:div>
                <w:div w:id="1739088641">
                  <w:marLeft w:val="0"/>
                  <w:marRight w:val="0"/>
                  <w:marTop w:val="0"/>
                  <w:marBottom w:val="0"/>
                  <w:divBdr>
                    <w:top w:val="none" w:sz="0" w:space="0" w:color="auto"/>
                    <w:left w:val="none" w:sz="0" w:space="0" w:color="auto"/>
                    <w:bottom w:val="none" w:sz="0" w:space="0" w:color="auto"/>
                    <w:right w:val="none" w:sz="0" w:space="0" w:color="auto"/>
                  </w:divBdr>
                  <w:divsChild>
                    <w:div w:id="149952648">
                      <w:marLeft w:val="0"/>
                      <w:marRight w:val="0"/>
                      <w:marTop w:val="0"/>
                      <w:marBottom w:val="0"/>
                      <w:divBdr>
                        <w:top w:val="none" w:sz="0" w:space="0" w:color="auto"/>
                        <w:left w:val="none" w:sz="0" w:space="0" w:color="auto"/>
                        <w:bottom w:val="none" w:sz="0" w:space="0" w:color="auto"/>
                        <w:right w:val="none" w:sz="0" w:space="0" w:color="auto"/>
                      </w:divBdr>
                    </w:div>
                    <w:div w:id="186798066">
                      <w:marLeft w:val="0"/>
                      <w:marRight w:val="0"/>
                      <w:marTop w:val="0"/>
                      <w:marBottom w:val="0"/>
                      <w:divBdr>
                        <w:top w:val="none" w:sz="0" w:space="0" w:color="auto"/>
                        <w:left w:val="none" w:sz="0" w:space="0" w:color="auto"/>
                        <w:bottom w:val="none" w:sz="0" w:space="0" w:color="auto"/>
                        <w:right w:val="none" w:sz="0" w:space="0" w:color="auto"/>
                      </w:divBdr>
                    </w:div>
                    <w:div w:id="223955892">
                      <w:marLeft w:val="0"/>
                      <w:marRight w:val="0"/>
                      <w:marTop w:val="0"/>
                      <w:marBottom w:val="0"/>
                      <w:divBdr>
                        <w:top w:val="none" w:sz="0" w:space="0" w:color="auto"/>
                        <w:left w:val="none" w:sz="0" w:space="0" w:color="auto"/>
                        <w:bottom w:val="none" w:sz="0" w:space="0" w:color="auto"/>
                        <w:right w:val="none" w:sz="0" w:space="0" w:color="auto"/>
                      </w:divBdr>
                    </w:div>
                    <w:div w:id="265116123">
                      <w:marLeft w:val="0"/>
                      <w:marRight w:val="0"/>
                      <w:marTop w:val="0"/>
                      <w:marBottom w:val="0"/>
                      <w:divBdr>
                        <w:top w:val="none" w:sz="0" w:space="0" w:color="auto"/>
                        <w:left w:val="none" w:sz="0" w:space="0" w:color="auto"/>
                        <w:bottom w:val="none" w:sz="0" w:space="0" w:color="auto"/>
                        <w:right w:val="none" w:sz="0" w:space="0" w:color="auto"/>
                      </w:divBdr>
                    </w:div>
                    <w:div w:id="387071947">
                      <w:marLeft w:val="0"/>
                      <w:marRight w:val="0"/>
                      <w:marTop w:val="0"/>
                      <w:marBottom w:val="0"/>
                      <w:divBdr>
                        <w:top w:val="none" w:sz="0" w:space="0" w:color="auto"/>
                        <w:left w:val="none" w:sz="0" w:space="0" w:color="auto"/>
                        <w:bottom w:val="none" w:sz="0" w:space="0" w:color="auto"/>
                        <w:right w:val="none" w:sz="0" w:space="0" w:color="auto"/>
                      </w:divBdr>
                    </w:div>
                    <w:div w:id="440998991">
                      <w:marLeft w:val="0"/>
                      <w:marRight w:val="0"/>
                      <w:marTop w:val="0"/>
                      <w:marBottom w:val="0"/>
                      <w:divBdr>
                        <w:top w:val="none" w:sz="0" w:space="0" w:color="auto"/>
                        <w:left w:val="none" w:sz="0" w:space="0" w:color="auto"/>
                        <w:bottom w:val="none" w:sz="0" w:space="0" w:color="auto"/>
                        <w:right w:val="none" w:sz="0" w:space="0" w:color="auto"/>
                      </w:divBdr>
                    </w:div>
                    <w:div w:id="526673791">
                      <w:marLeft w:val="0"/>
                      <w:marRight w:val="0"/>
                      <w:marTop w:val="0"/>
                      <w:marBottom w:val="0"/>
                      <w:divBdr>
                        <w:top w:val="none" w:sz="0" w:space="0" w:color="auto"/>
                        <w:left w:val="none" w:sz="0" w:space="0" w:color="auto"/>
                        <w:bottom w:val="none" w:sz="0" w:space="0" w:color="auto"/>
                        <w:right w:val="none" w:sz="0" w:space="0" w:color="auto"/>
                      </w:divBdr>
                    </w:div>
                    <w:div w:id="562257363">
                      <w:marLeft w:val="0"/>
                      <w:marRight w:val="0"/>
                      <w:marTop w:val="0"/>
                      <w:marBottom w:val="0"/>
                      <w:divBdr>
                        <w:top w:val="none" w:sz="0" w:space="0" w:color="auto"/>
                        <w:left w:val="none" w:sz="0" w:space="0" w:color="auto"/>
                        <w:bottom w:val="none" w:sz="0" w:space="0" w:color="auto"/>
                        <w:right w:val="none" w:sz="0" w:space="0" w:color="auto"/>
                      </w:divBdr>
                    </w:div>
                    <w:div w:id="590744472">
                      <w:marLeft w:val="0"/>
                      <w:marRight w:val="0"/>
                      <w:marTop w:val="0"/>
                      <w:marBottom w:val="0"/>
                      <w:divBdr>
                        <w:top w:val="none" w:sz="0" w:space="0" w:color="auto"/>
                        <w:left w:val="none" w:sz="0" w:space="0" w:color="auto"/>
                        <w:bottom w:val="none" w:sz="0" w:space="0" w:color="auto"/>
                        <w:right w:val="none" w:sz="0" w:space="0" w:color="auto"/>
                      </w:divBdr>
                    </w:div>
                    <w:div w:id="740718414">
                      <w:marLeft w:val="0"/>
                      <w:marRight w:val="0"/>
                      <w:marTop w:val="0"/>
                      <w:marBottom w:val="0"/>
                      <w:divBdr>
                        <w:top w:val="none" w:sz="0" w:space="0" w:color="auto"/>
                        <w:left w:val="none" w:sz="0" w:space="0" w:color="auto"/>
                        <w:bottom w:val="none" w:sz="0" w:space="0" w:color="auto"/>
                        <w:right w:val="none" w:sz="0" w:space="0" w:color="auto"/>
                      </w:divBdr>
                    </w:div>
                    <w:div w:id="905262254">
                      <w:marLeft w:val="0"/>
                      <w:marRight w:val="0"/>
                      <w:marTop w:val="0"/>
                      <w:marBottom w:val="0"/>
                      <w:divBdr>
                        <w:top w:val="none" w:sz="0" w:space="0" w:color="auto"/>
                        <w:left w:val="none" w:sz="0" w:space="0" w:color="auto"/>
                        <w:bottom w:val="none" w:sz="0" w:space="0" w:color="auto"/>
                        <w:right w:val="none" w:sz="0" w:space="0" w:color="auto"/>
                      </w:divBdr>
                    </w:div>
                    <w:div w:id="1088382342">
                      <w:marLeft w:val="0"/>
                      <w:marRight w:val="0"/>
                      <w:marTop w:val="0"/>
                      <w:marBottom w:val="0"/>
                      <w:divBdr>
                        <w:top w:val="none" w:sz="0" w:space="0" w:color="auto"/>
                        <w:left w:val="none" w:sz="0" w:space="0" w:color="auto"/>
                        <w:bottom w:val="none" w:sz="0" w:space="0" w:color="auto"/>
                        <w:right w:val="none" w:sz="0" w:space="0" w:color="auto"/>
                      </w:divBdr>
                    </w:div>
                    <w:div w:id="1112018607">
                      <w:marLeft w:val="0"/>
                      <w:marRight w:val="0"/>
                      <w:marTop w:val="0"/>
                      <w:marBottom w:val="0"/>
                      <w:divBdr>
                        <w:top w:val="none" w:sz="0" w:space="0" w:color="auto"/>
                        <w:left w:val="none" w:sz="0" w:space="0" w:color="auto"/>
                        <w:bottom w:val="none" w:sz="0" w:space="0" w:color="auto"/>
                        <w:right w:val="none" w:sz="0" w:space="0" w:color="auto"/>
                      </w:divBdr>
                    </w:div>
                    <w:div w:id="1443720587">
                      <w:marLeft w:val="0"/>
                      <w:marRight w:val="0"/>
                      <w:marTop w:val="0"/>
                      <w:marBottom w:val="0"/>
                      <w:divBdr>
                        <w:top w:val="none" w:sz="0" w:space="0" w:color="auto"/>
                        <w:left w:val="none" w:sz="0" w:space="0" w:color="auto"/>
                        <w:bottom w:val="none" w:sz="0" w:space="0" w:color="auto"/>
                        <w:right w:val="none" w:sz="0" w:space="0" w:color="auto"/>
                      </w:divBdr>
                    </w:div>
                    <w:div w:id="1834224645">
                      <w:marLeft w:val="0"/>
                      <w:marRight w:val="0"/>
                      <w:marTop w:val="0"/>
                      <w:marBottom w:val="0"/>
                      <w:divBdr>
                        <w:top w:val="none" w:sz="0" w:space="0" w:color="auto"/>
                        <w:left w:val="none" w:sz="0" w:space="0" w:color="auto"/>
                        <w:bottom w:val="none" w:sz="0" w:space="0" w:color="auto"/>
                        <w:right w:val="none" w:sz="0" w:space="0" w:color="auto"/>
                      </w:divBdr>
                    </w:div>
                    <w:div w:id="1979989671">
                      <w:marLeft w:val="0"/>
                      <w:marRight w:val="0"/>
                      <w:marTop w:val="0"/>
                      <w:marBottom w:val="0"/>
                      <w:divBdr>
                        <w:top w:val="none" w:sz="0" w:space="0" w:color="auto"/>
                        <w:left w:val="none" w:sz="0" w:space="0" w:color="auto"/>
                        <w:bottom w:val="none" w:sz="0" w:space="0" w:color="auto"/>
                        <w:right w:val="none" w:sz="0" w:space="0" w:color="auto"/>
                      </w:divBdr>
                    </w:div>
                    <w:div w:id="204786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2748">
          <w:marLeft w:val="0"/>
          <w:marRight w:val="0"/>
          <w:marTop w:val="0"/>
          <w:marBottom w:val="0"/>
          <w:divBdr>
            <w:top w:val="none" w:sz="0" w:space="0" w:color="auto"/>
            <w:left w:val="none" w:sz="0" w:space="0" w:color="auto"/>
            <w:bottom w:val="none" w:sz="0" w:space="0" w:color="auto"/>
            <w:right w:val="none" w:sz="0" w:space="0" w:color="auto"/>
          </w:divBdr>
        </w:div>
      </w:divsChild>
    </w:div>
    <w:div w:id="81882288">
      <w:bodyDiv w:val="1"/>
      <w:marLeft w:val="0"/>
      <w:marRight w:val="0"/>
      <w:marTop w:val="0"/>
      <w:marBottom w:val="0"/>
      <w:divBdr>
        <w:top w:val="none" w:sz="0" w:space="0" w:color="auto"/>
        <w:left w:val="none" w:sz="0" w:space="0" w:color="auto"/>
        <w:bottom w:val="none" w:sz="0" w:space="0" w:color="auto"/>
        <w:right w:val="none" w:sz="0" w:space="0" w:color="auto"/>
      </w:divBdr>
    </w:div>
    <w:div w:id="85616339">
      <w:bodyDiv w:val="1"/>
      <w:marLeft w:val="0"/>
      <w:marRight w:val="0"/>
      <w:marTop w:val="0"/>
      <w:marBottom w:val="0"/>
      <w:divBdr>
        <w:top w:val="none" w:sz="0" w:space="0" w:color="auto"/>
        <w:left w:val="none" w:sz="0" w:space="0" w:color="auto"/>
        <w:bottom w:val="none" w:sz="0" w:space="0" w:color="auto"/>
        <w:right w:val="none" w:sz="0" w:space="0" w:color="auto"/>
      </w:divBdr>
    </w:div>
    <w:div w:id="122895301">
      <w:bodyDiv w:val="1"/>
      <w:marLeft w:val="0"/>
      <w:marRight w:val="0"/>
      <w:marTop w:val="0"/>
      <w:marBottom w:val="0"/>
      <w:divBdr>
        <w:top w:val="none" w:sz="0" w:space="0" w:color="auto"/>
        <w:left w:val="none" w:sz="0" w:space="0" w:color="auto"/>
        <w:bottom w:val="none" w:sz="0" w:space="0" w:color="auto"/>
        <w:right w:val="none" w:sz="0" w:space="0" w:color="auto"/>
      </w:divBdr>
    </w:div>
    <w:div w:id="133106110">
      <w:bodyDiv w:val="1"/>
      <w:marLeft w:val="0"/>
      <w:marRight w:val="0"/>
      <w:marTop w:val="0"/>
      <w:marBottom w:val="0"/>
      <w:divBdr>
        <w:top w:val="none" w:sz="0" w:space="0" w:color="auto"/>
        <w:left w:val="none" w:sz="0" w:space="0" w:color="auto"/>
        <w:bottom w:val="none" w:sz="0" w:space="0" w:color="auto"/>
        <w:right w:val="none" w:sz="0" w:space="0" w:color="auto"/>
      </w:divBdr>
    </w:div>
    <w:div w:id="205265851">
      <w:bodyDiv w:val="1"/>
      <w:marLeft w:val="0"/>
      <w:marRight w:val="0"/>
      <w:marTop w:val="0"/>
      <w:marBottom w:val="0"/>
      <w:divBdr>
        <w:top w:val="none" w:sz="0" w:space="0" w:color="auto"/>
        <w:left w:val="none" w:sz="0" w:space="0" w:color="auto"/>
        <w:bottom w:val="none" w:sz="0" w:space="0" w:color="auto"/>
        <w:right w:val="none" w:sz="0" w:space="0" w:color="auto"/>
      </w:divBdr>
    </w:div>
    <w:div w:id="224488540">
      <w:bodyDiv w:val="1"/>
      <w:marLeft w:val="0"/>
      <w:marRight w:val="0"/>
      <w:marTop w:val="0"/>
      <w:marBottom w:val="0"/>
      <w:divBdr>
        <w:top w:val="none" w:sz="0" w:space="0" w:color="auto"/>
        <w:left w:val="none" w:sz="0" w:space="0" w:color="auto"/>
        <w:bottom w:val="none" w:sz="0" w:space="0" w:color="auto"/>
        <w:right w:val="none" w:sz="0" w:space="0" w:color="auto"/>
      </w:divBdr>
    </w:div>
    <w:div w:id="231625883">
      <w:bodyDiv w:val="1"/>
      <w:marLeft w:val="0"/>
      <w:marRight w:val="0"/>
      <w:marTop w:val="0"/>
      <w:marBottom w:val="0"/>
      <w:divBdr>
        <w:top w:val="none" w:sz="0" w:space="0" w:color="auto"/>
        <w:left w:val="none" w:sz="0" w:space="0" w:color="auto"/>
        <w:bottom w:val="none" w:sz="0" w:space="0" w:color="auto"/>
        <w:right w:val="none" w:sz="0" w:space="0" w:color="auto"/>
      </w:divBdr>
    </w:div>
    <w:div w:id="233051284">
      <w:bodyDiv w:val="1"/>
      <w:marLeft w:val="0"/>
      <w:marRight w:val="0"/>
      <w:marTop w:val="0"/>
      <w:marBottom w:val="0"/>
      <w:divBdr>
        <w:top w:val="none" w:sz="0" w:space="0" w:color="auto"/>
        <w:left w:val="none" w:sz="0" w:space="0" w:color="auto"/>
        <w:bottom w:val="none" w:sz="0" w:space="0" w:color="auto"/>
        <w:right w:val="none" w:sz="0" w:space="0" w:color="auto"/>
      </w:divBdr>
    </w:div>
    <w:div w:id="276300322">
      <w:bodyDiv w:val="1"/>
      <w:marLeft w:val="0"/>
      <w:marRight w:val="0"/>
      <w:marTop w:val="0"/>
      <w:marBottom w:val="0"/>
      <w:divBdr>
        <w:top w:val="none" w:sz="0" w:space="0" w:color="auto"/>
        <w:left w:val="none" w:sz="0" w:space="0" w:color="auto"/>
        <w:bottom w:val="none" w:sz="0" w:space="0" w:color="auto"/>
        <w:right w:val="none" w:sz="0" w:space="0" w:color="auto"/>
      </w:divBdr>
    </w:div>
    <w:div w:id="314652408">
      <w:bodyDiv w:val="1"/>
      <w:marLeft w:val="0"/>
      <w:marRight w:val="0"/>
      <w:marTop w:val="0"/>
      <w:marBottom w:val="0"/>
      <w:divBdr>
        <w:top w:val="none" w:sz="0" w:space="0" w:color="auto"/>
        <w:left w:val="none" w:sz="0" w:space="0" w:color="auto"/>
        <w:bottom w:val="none" w:sz="0" w:space="0" w:color="auto"/>
        <w:right w:val="none" w:sz="0" w:space="0" w:color="auto"/>
      </w:divBdr>
    </w:div>
    <w:div w:id="498546921">
      <w:bodyDiv w:val="1"/>
      <w:marLeft w:val="0"/>
      <w:marRight w:val="0"/>
      <w:marTop w:val="0"/>
      <w:marBottom w:val="0"/>
      <w:divBdr>
        <w:top w:val="none" w:sz="0" w:space="0" w:color="auto"/>
        <w:left w:val="none" w:sz="0" w:space="0" w:color="auto"/>
        <w:bottom w:val="none" w:sz="0" w:space="0" w:color="auto"/>
        <w:right w:val="none" w:sz="0" w:space="0" w:color="auto"/>
      </w:divBdr>
    </w:div>
    <w:div w:id="580137802">
      <w:bodyDiv w:val="1"/>
      <w:marLeft w:val="0"/>
      <w:marRight w:val="0"/>
      <w:marTop w:val="0"/>
      <w:marBottom w:val="0"/>
      <w:divBdr>
        <w:top w:val="none" w:sz="0" w:space="0" w:color="auto"/>
        <w:left w:val="none" w:sz="0" w:space="0" w:color="auto"/>
        <w:bottom w:val="none" w:sz="0" w:space="0" w:color="auto"/>
        <w:right w:val="none" w:sz="0" w:space="0" w:color="auto"/>
      </w:divBdr>
    </w:div>
    <w:div w:id="625965472">
      <w:bodyDiv w:val="1"/>
      <w:marLeft w:val="0"/>
      <w:marRight w:val="0"/>
      <w:marTop w:val="0"/>
      <w:marBottom w:val="0"/>
      <w:divBdr>
        <w:top w:val="none" w:sz="0" w:space="0" w:color="auto"/>
        <w:left w:val="none" w:sz="0" w:space="0" w:color="auto"/>
        <w:bottom w:val="none" w:sz="0" w:space="0" w:color="auto"/>
        <w:right w:val="none" w:sz="0" w:space="0" w:color="auto"/>
      </w:divBdr>
    </w:div>
    <w:div w:id="636179985">
      <w:bodyDiv w:val="1"/>
      <w:marLeft w:val="0"/>
      <w:marRight w:val="0"/>
      <w:marTop w:val="0"/>
      <w:marBottom w:val="0"/>
      <w:divBdr>
        <w:top w:val="none" w:sz="0" w:space="0" w:color="auto"/>
        <w:left w:val="none" w:sz="0" w:space="0" w:color="auto"/>
        <w:bottom w:val="none" w:sz="0" w:space="0" w:color="auto"/>
        <w:right w:val="none" w:sz="0" w:space="0" w:color="auto"/>
      </w:divBdr>
    </w:div>
    <w:div w:id="673991815">
      <w:bodyDiv w:val="1"/>
      <w:marLeft w:val="0"/>
      <w:marRight w:val="0"/>
      <w:marTop w:val="0"/>
      <w:marBottom w:val="0"/>
      <w:divBdr>
        <w:top w:val="none" w:sz="0" w:space="0" w:color="auto"/>
        <w:left w:val="none" w:sz="0" w:space="0" w:color="auto"/>
        <w:bottom w:val="none" w:sz="0" w:space="0" w:color="auto"/>
        <w:right w:val="none" w:sz="0" w:space="0" w:color="auto"/>
      </w:divBdr>
    </w:div>
    <w:div w:id="698627132">
      <w:bodyDiv w:val="1"/>
      <w:marLeft w:val="0"/>
      <w:marRight w:val="0"/>
      <w:marTop w:val="0"/>
      <w:marBottom w:val="0"/>
      <w:divBdr>
        <w:top w:val="none" w:sz="0" w:space="0" w:color="auto"/>
        <w:left w:val="none" w:sz="0" w:space="0" w:color="auto"/>
        <w:bottom w:val="none" w:sz="0" w:space="0" w:color="auto"/>
        <w:right w:val="none" w:sz="0" w:space="0" w:color="auto"/>
      </w:divBdr>
    </w:div>
    <w:div w:id="703678092">
      <w:bodyDiv w:val="1"/>
      <w:marLeft w:val="0"/>
      <w:marRight w:val="0"/>
      <w:marTop w:val="0"/>
      <w:marBottom w:val="0"/>
      <w:divBdr>
        <w:top w:val="none" w:sz="0" w:space="0" w:color="auto"/>
        <w:left w:val="none" w:sz="0" w:space="0" w:color="auto"/>
        <w:bottom w:val="none" w:sz="0" w:space="0" w:color="auto"/>
        <w:right w:val="none" w:sz="0" w:space="0" w:color="auto"/>
      </w:divBdr>
    </w:div>
    <w:div w:id="827330280">
      <w:bodyDiv w:val="1"/>
      <w:marLeft w:val="0"/>
      <w:marRight w:val="0"/>
      <w:marTop w:val="0"/>
      <w:marBottom w:val="0"/>
      <w:divBdr>
        <w:top w:val="none" w:sz="0" w:space="0" w:color="auto"/>
        <w:left w:val="none" w:sz="0" w:space="0" w:color="auto"/>
        <w:bottom w:val="none" w:sz="0" w:space="0" w:color="auto"/>
        <w:right w:val="none" w:sz="0" w:space="0" w:color="auto"/>
      </w:divBdr>
    </w:div>
    <w:div w:id="839463235">
      <w:bodyDiv w:val="1"/>
      <w:marLeft w:val="0"/>
      <w:marRight w:val="0"/>
      <w:marTop w:val="0"/>
      <w:marBottom w:val="0"/>
      <w:divBdr>
        <w:top w:val="none" w:sz="0" w:space="0" w:color="auto"/>
        <w:left w:val="none" w:sz="0" w:space="0" w:color="auto"/>
        <w:bottom w:val="none" w:sz="0" w:space="0" w:color="auto"/>
        <w:right w:val="none" w:sz="0" w:space="0" w:color="auto"/>
      </w:divBdr>
    </w:div>
    <w:div w:id="865215377">
      <w:bodyDiv w:val="1"/>
      <w:marLeft w:val="0"/>
      <w:marRight w:val="0"/>
      <w:marTop w:val="0"/>
      <w:marBottom w:val="0"/>
      <w:divBdr>
        <w:top w:val="none" w:sz="0" w:space="0" w:color="auto"/>
        <w:left w:val="none" w:sz="0" w:space="0" w:color="auto"/>
        <w:bottom w:val="none" w:sz="0" w:space="0" w:color="auto"/>
        <w:right w:val="none" w:sz="0" w:space="0" w:color="auto"/>
      </w:divBdr>
    </w:div>
    <w:div w:id="906722640">
      <w:bodyDiv w:val="1"/>
      <w:marLeft w:val="0"/>
      <w:marRight w:val="0"/>
      <w:marTop w:val="0"/>
      <w:marBottom w:val="0"/>
      <w:divBdr>
        <w:top w:val="none" w:sz="0" w:space="0" w:color="auto"/>
        <w:left w:val="none" w:sz="0" w:space="0" w:color="auto"/>
        <w:bottom w:val="none" w:sz="0" w:space="0" w:color="auto"/>
        <w:right w:val="none" w:sz="0" w:space="0" w:color="auto"/>
      </w:divBdr>
    </w:div>
    <w:div w:id="913509733">
      <w:bodyDiv w:val="1"/>
      <w:marLeft w:val="0"/>
      <w:marRight w:val="0"/>
      <w:marTop w:val="0"/>
      <w:marBottom w:val="0"/>
      <w:divBdr>
        <w:top w:val="none" w:sz="0" w:space="0" w:color="auto"/>
        <w:left w:val="none" w:sz="0" w:space="0" w:color="auto"/>
        <w:bottom w:val="none" w:sz="0" w:space="0" w:color="auto"/>
        <w:right w:val="none" w:sz="0" w:space="0" w:color="auto"/>
      </w:divBdr>
    </w:div>
    <w:div w:id="984243555">
      <w:bodyDiv w:val="1"/>
      <w:marLeft w:val="0"/>
      <w:marRight w:val="0"/>
      <w:marTop w:val="0"/>
      <w:marBottom w:val="0"/>
      <w:divBdr>
        <w:top w:val="none" w:sz="0" w:space="0" w:color="auto"/>
        <w:left w:val="none" w:sz="0" w:space="0" w:color="auto"/>
        <w:bottom w:val="none" w:sz="0" w:space="0" w:color="auto"/>
        <w:right w:val="none" w:sz="0" w:space="0" w:color="auto"/>
      </w:divBdr>
    </w:div>
    <w:div w:id="1027290742">
      <w:bodyDiv w:val="1"/>
      <w:marLeft w:val="0"/>
      <w:marRight w:val="0"/>
      <w:marTop w:val="0"/>
      <w:marBottom w:val="0"/>
      <w:divBdr>
        <w:top w:val="none" w:sz="0" w:space="0" w:color="auto"/>
        <w:left w:val="none" w:sz="0" w:space="0" w:color="auto"/>
        <w:bottom w:val="none" w:sz="0" w:space="0" w:color="auto"/>
        <w:right w:val="none" w:sz="0" w:space="0" w:color="auto"/>
      </w:divBdr>
    </w:div>
    <w:div w:id="1063328615">
      <w:bodyDiv w:val="1"/>
      <w:marLeft w:val="0"/>
      <w:marRight w:val="0"/>
      <w:marTop w:val="0"/>
      <w:marBottom w:val="0"/>
      <w:divBdr>
        <w:top w:val="none" w:sz="0" w:space="0" w:color="auto"/>
        <w:left w:val="none" w:sz="0" w:space="0" w:color="auto"/>
        <w:bottom w:val="none" w:sz="0" w:space="0" w:color="auto"/>
        <w:right w:val="none" w:sz="0" w:space="0" w:color="auto"/>
      </w:divBdr>
    </w:div>
    <w:div w:id="1093235508">
      <w:bodyDiv w:val="1"/>
      <w:marLeft w:val="0"/>
      <w:marRight w:val="0"/>
      <w:marTop w:val="0"/>
      <w:marBottom w:val="0"/>
      <w:divBdr>
        <w:top w:val="none" w:sz="0" w:space="0" w:color="auto"/>
        <w:left w:val="none" w:sz="0" w:space="0" w:color="auto"/>
        <w:bottom w:val="none" w:sz="0" w:space="0" w:color="auto"/>
        <w:right w:val="none" w:sz="0" w:space="0" w:color="auto"/>
      </w:divBdr>
    </w:div>
    <w:div w:id="1111438512">
      <w:bodyDiv w:val="1"/>
      <w:marLeft w:val="0"/>
      <w:marRight w:val="0"/>
      <w:marTop w:val="0"/>
      <w:marBottom w:val="0"/>
      <w:divBdr>
        <w:top w:val="none" w:sz="0" w:space="0" w:color="auto"/>
        <w:left w:val="none" w:sz="0" w:space="0" w:color="auto"/>
        <w:bottom w:val="none" w:sz="0" w:space="0" w:color="auto"/>
        <w:right w:val="none" w:sz="0" w:space="0" w:color="auto"/>
      </w:divBdr>
    </w:div>
    <w:div w:id="1111705575">
      <w:bodyDiv w:val="1"/>
      <w:marLeft w:val="0"/>
      <w:marRight w:val="0"/>
      <w:marTop w:val="0"/>
      <w:marBottom w:val="0"/>
      <w:divBdr>
        <w:top w:val="none" w:sz="0" w:space="0" w:color="auto"/>
        <w:left w:val="none" w:sz="0" w:space="0" w:color="auto"/>
        <w:bottom w:val="none" w:sz="0" w:space="0" w:color="auto"/>
        <w:right w:val="none" w:sz="0" w:space="0" w:color="auto"/>
      </w:divBdr>
    </w:div>
    <w:div w:id="1139375015">
      <w:bodyDiv w:val="1"/>
      <w:marLeft w:val="0"/>
      <w:marRight w:val="0"/>
      <w:marTop w:val="0"/>
      <w:marBottom w:val="0"/>
      <w:divBdr>
        <w:top w:val="none" w:sz="0" w:space="0" w:color="auto"/>
        <w:left w:val="none" w:sz="0" w:space="0" w:color="auto"/>
        <w:bottom w:val="none" w:sz="0" w:space="0" w:color="auto"/>
        <w:right w:val="none" w:sz="0" w:space="0" w:color="auto"/>
      </w:divBdr>
    </w:div>
    <w:div w:id="1230572995">
      <w:bodyDiv w:val="1"/>
      <w:marLeft w:val="0"/>
      <w:marRight w:val="0"/>
      <w:marTop w:val="0"/>
      <w:marBottom w:val="0"/>
      <w:divBdr>
        <w:top w:val="none" w:sz="0" w:space="0" w:color="auto"/>
        <w:left w:val="none" w:sz="0" w:space="0" w:color="auto"/>
        <w:bottom w:val="none" w:sz="0" w:space="0" w:color="auto"/>
        <w:right w:val="none" w:sz="0" w:space="0" w:color="auto"/>
      </w:divBdr>
    </w:div>
    <w:div w:id="1310938885">
      <w:bodyDiv w:val="1"/>
      <w:marLeft w:val="0"/>
      <w:marRight w:val="0"/>
      <w:marTop w:val="0"/>
      <w:marBottom w:val="0"/>
      <w:divBdr>
        <w:top w:val="none" w:sz="0" w:space="0" w:color="auto"/>
        <w:left w:val="none" w:sz="0" w:space="0" w:color="auto"/>
        <w:bottom w:val="none" w:sz="0" w:space="0" w:color="auto"/>
        <w:right w:val="none" w:sz="0" w:space="0" w:color="auto"/>
      </w:divBdr>
    </w:div>
    <w:div w:id="1327587293">
      <w:bodyDiv w:val="1"/>
      <w:marLeft w:val="0"/>
      <w:marRight w:val="0"/>
      <w:marTop w:val="0"/>
      <w:marBottom w:val="0"/>
      <w:divBdr>
        <w:top w:val="none" w:sz="0" w:space="0" w:color="auto"/>
        <w:left w:val="none" w:sz="0" w:space="0" w:color="auto"/>
        <w:bottom w:val="none" w:sz="0" w:space="0" w:color="auto"/>
        <w:right w:val="none" w:sz="0" w:space="0" w:color="auto"/>
      </w:divBdr>
    </w:div>
    <w:div w:id="1346203236">
      <w:bodyDiv w:val="1"/>
      <w:marLeft w:val="0"/>
      <w:marRight w:val="0"/>
      <w:marTop w:val="0"/>
      <w:marBottom w:val="0"/>
      <w:divBdr>
        <w:top w:val="none" w:sz="0" w:space="0" w:color="auto"/>
        <w:left w:val="none" w:sz="0" w:space="0" w:color="auto"/>
        <w:bottom w:val="none" w:sz="0" w:space="0" w:color="auto"/>
        <w:right w:val="none" w:sz="0" w:space="0" w:color="auto"/>
      </w:divBdr>
    </w:div>
    <w:div w:id="1376352349">
      <w:bodyDiv w:val="1"/>
      <w:marLeft w:val="0"/>
      <w:marRight w:val="0"/>
      <w:marTop w:val="0"/>
      <w:marBottom w:val="0"/>
      <w:divBdr>
        <w:top w:val="none" w:sz="0" w:space="0" w:color="auto"/>
        <w:left w:val="none" w:sz="0" w:space="0" w:color="auto"/>
        <w:bottom w:val="none" w:sz="0" w:space="0" w:color="auto"/>
        <w:right w:val="none" w:sz="0" w:space="0" w:color="auto"/>
      </w:divBdr>
    </w:div>
    <w:div w:id="1466002209">
      <w:bodyDiv w:val="1"/>
      <w:marLeft w:val="0"/>
      <w:marRight w:val="0"/>
      <w:marTop w:val="0"/>
      <w:marBottom w:val="0"/>
      <w:divBdr>
        <w:top w:val="none" w:sz="0" w:space="0" w:color="auto"/>
        <w:left w:val="none" w:sz="0" w:space="0" w:color="auto"/>
        <w:bottom w:val="none" w:sz="0" w:space="0" w:color="auto"/>
        <w:right w:val="none" w:sz="0" w:space="0" w:color="auto"/>
      </w:divBdr>
    </w:div>
    <w:div w:id="1483157629">
      <w:bodyDiv w:val="1"/>
      <w:marLeft w:val="0"/>
      <w:marRight w:val="0"/>
      <w:marTop w:val="0"/>
      <w:marBottom w:val="0"/>
      <w:divBdr>
        <w:top w:val="none" w:sz="0" w:space="0" w:color="auto"/>
        <w:left w:val="none" w:sz="0" w:space="0" w:color="auto"/>
        <w:bottom w:val="none" w:sz="0" w:space="0" w:color="auto"/>
        <w:right w:val="none" w:sz="0" w:space="0" w:color="auto"/>
      </w:divBdr>
    </w:div>
    <w:div w:id="1489782491">
      <w:bodyDiv w:val="1"/>
      <w:marLeft w:val="0"/>
      <w:marRight w:val="0"/>
      <w:marTop w:val="0"/>
      <w:marBottom w:val="0"/>
      <w:divBdr>
        <w:top w:val="none" w:sz="0" w:space="0" w:color="auto"/>
        <w:left w:val="none" w:sz="0" w:space="0" w:color="auto"/>
        <w:bottom w:val="none" w:sz="0" w:space="0" w:color="auto"/>
        <w:right w:val="none" w:sz="0" w:space="0" w:color="auto"/>
      </w:divBdr>
    </w:div>
    <w:div w:id="1688555876">
      <w:bodyDiv w:val="1"/>
      <w:marLeft w:val="0"/>
      <w:marRight w:val="0"/>
      <w:marTop w:val="0"/>
      <w:marBottom w:val="0"/>
      <w:divBdr>
        <w:top w:val="none" w:sz="0" w:space="0" w:color="auto"/>
        <w:left w:val="none" w:sz="0" w:space="0" w:color="auto"/>
        <w:bottom w:val="none" w:sz="0" w:space="0" w:color="auto"/>
        <w:right w:val="none" w:sz="0" w:space="0" w:color="auto"/>
      </w:divBdr>
    </w:div>
    <w:div w:id="1729914145">
      <w:bodyDiv w:val="1"/>
      <w:marLeft w:val="0"/>
      <w:marRight w:val="0"/>
      <w:marTop w:val="0"/>
      <w:marBottom w:val="0"/>
      <w:divBdr>
        <w:top w:val="none" w:sz="0" w:space="0" w:color="auto"/>
        <w:left w:val="none" w:sz="0" w:space="0" w:color="auto"/>
        <w:bottom w:val="none" w:sz="0" w:space="0" w:color="auto"/>
        <w:right w:val="none" w:sz="0" w:space="0" w:color="auto"/>
      </w:divBdr>
    </w:div>
    <w:div w:id="1731612091">
      <w:bodyDiv w:val="1"/>
      <w:marLeft w:val="0"/>
      <w:marRight w:val="0"/>
      <w:marTop w:val="0"/>
      <w:marBottom w:val="0"/>
      <w:divBdr>
        <w:top w:val="none" w:sz="0" w:space="0" w:color="auto"/>
        <w:left w:val="none" w:sz="0" w:space="0" w:color="auto"/>
        <w:bottom w:val="none" w:sz="0" w:space="0" w:color="auto"/>
        <w:right w:val="none" w:sz="0" w:space="0" w:color="auto"/>
      </w:divBdr>
    </w:div>
    <w:div w:id="1816292745">
      <w:bodyDiv w:val="1"/>
      <w:marLeft w:val="0"/>
      <w:marRight w:val="0"/>
      <w:marTop w:val="0"/>
      <w:marBottom w:val="0"/>
      <w:divBdr>
        <w:top w:val="none" w:sz="0" w:space="0" w:color="auto"/>
        <w:left w:val="none" w:sz="0" w:space="0" w:color="auto"/>
        <w:bottom w:val="none" w:sz="0" w:space="0" w:color="auto"/>
        <w:right w:val="none" w:sz="0" w:space="0" w:color="auto"/>
      </w:divBdr>
    </w:div>
    <w:div w:id="1824617572">
      <w:bodyDiv w:val="1"/>
      <w:marLeft w:val="0"/>
      <w:marRight w:val="0"/>
      <w:marTop w:val="0"/>
      <w:marBottom w:val="0"/>
      <w:divBdr>
        <w:top w:val="none" w:sz="0" w:space="0" w:color="auto"/>
        <w:left w:val="none" w:sz="0" w:space="0" w:color="auto"/>
        <w:bottom w:val="none" w:sz="0" w:space="0" w:color="auto"/>
        <w:right w:val="none" w:sz="0" w:space="0" w:color="auto"/>
      </w:divBdr>
    </w:div>
    <w:div w:id="1855486341">
      <w:bodyDiv w:val="1"/>
      <w:marLeft w:val="0"/>
      <w:marRight w:val="0"/>
      <w:marTop w:val="0"/>
      <w:marBottom w:val="0"/>
      <w:divBdr>
        <w:top w:val="none" w:sz="0" w:space="0" w:color="auto"/>
        <w:left w:val="none" w:sz="0" w:space="0" w:color="auto"/>
        <w:bottom w:val="none" w:sz="0" w:space="0" w:color="auto"/>
        <w:right w:val="none" w:sz="0" w:space="0" w:color="auto"/>
      </w:divBdr>
    </w:div>
    <w:div w:id="1946839291">
      <w:bodyDiv w:val="1"/>
      <w:marLeft w:val="0"/>
      <w:marRight w:val="0"/>
      <w:marTop w:val="0"/>
      <w:marBottom w:val="0"/>
      <w:divBdr>
        <w:top w:val="none" w:sz="0" w:space="0" w:color="auto"/>
        <w:left w:val="none" w:sz="0" w:space="0" w:color="auto"/>
        <w:bottom w:val="none" w:sz="0" w:space="0" w:color="auto"/>
        <w:right w:val="none" w:sz="0" w:space="0" w:color="auto"/>
      </w:divBdr>
    </w:div>
    <w:div w:id="2007322528">
      <w:bodyDiv w:val="1"/>
      <w:marLeft w:val="0"/>
      <w:marRight w:val="0"/>
      <w:marTop w:val="0"/>
      <w:marBottom w:val="0"/>
      <w:divBdr>
        <w:top w:val="none" w:sz="0" w:space="0" w:color="auto"/>
        <w:left w:val="none" w:sz="0" w:space="0" w:color="auto"/>
        <w:bottom w:val="none" w:sz="0" w:space="0" w:color="auto"/>
        <w:right w:val="none" w:sz="0" w:space="0" w:color="auto"/>
      </w:divBdr>
    </w:div>
    <w:div w:id="2013213838">
      <w:bodyDiv w:val="1"/>
      <w:marLeft w:val="0"/>
      <w:marRight w:val="0"/>
      <w:marTop w:val="0"/>
      <w:marBottom w:val="0"/>
      <w:divBdr>
        <w:top w:val="none" w:sz="0" w:space="0" w:color="auto"/>
        <w:left w:val="none" w:sz="0" w:space="0" w:color="auto"/>
        <w:bottom w:val="none" w:sz="0" w:space="0" w:color="auto"/>
        <w:right w:val="none" w:sz="0" w:space="0" w:color="auto"/>
      </w:divBdr>
    </w:div>
    <w:div w:id="203916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tep.cancer.gov" TargetMode="External"/><Relationship Id="rId21" Type="http://schemas.openxmlformats.org/officeDocument/2006/relationships/image" Target="media/image5.jpeg"/><Relationship Id="rId42" Type="http://schemas.openxmlformats.org/officeDocument/2006/relationships/hyperlink" Target="https://open.ctsu.org" TargetMode="External"/><Relationship Id="rId47" Type="http://schemas.openxmlformats.org/officeDocument/2006/relationships/hyperlink" Target="mailto:STS.Support@theradex.com" TargetMode="External"/><Relationship Id="rId63" Type="http://schemas.openxmlformats.org/officeDocument/2006/relationships/hyperlink" Target="http://ctep.cancer.gov/branches/pmb/agent_management.htm" TargetMode="External"/><Relationship Id="rId68" Type="http://schemas.openxmlformats.org/officeDocument/2006/relationships/hyperlink" Target="mailto:PMBAfterHours@mail.nih.gov" TargetMode="External"/><Relationship Id="rId84" Type="http://schemas.openxmlformats.org/officeDocument/2006/relationships/hyperlink" Target="http://www.theradex.com/clinicalTechnologies/?National-Cancer-Institute-NCI-11" TargetMode="External"/><Relationship Id="rId89" Type="http://schemas.openxmlformats.org/officeDocument/2006/relationships/hyperlink" Target="http://ctep.cancer.gov/protocolDevelopment/electronic_applications/adverse_events.htm" TargetMode="External"/><Relationship Id="rId16" Type="http://schemas.openxmlformats.org/officeDocument/2006/relationships/hyperlink" Target="mailto:ccc@coh.org" TargetMode="External"/><Relationship Id="rId11" Type="http://schemas.openxmlformats.org/officeDocument/2006/relationships/footnotes" Target="footnotes.xml"/><Relationship Id="rId32" Type="http://schemas.openxmlformats.org/officeDocument/2006/relationships/hyperlink" Target="https://dtl.ctsu.org" TargetMode="External"/><Relationship Id="rId37" Type="http://schemas.openxmlformats.org/officeDocument/2006/relationships/hyperlink" Target="https://open.ctsu.org" TargetMode="External"/><Relationship Id="rId53" Type="http://schemas.openxmlformats.org/officeDocument/2006/relationships/footer" Target="footer1.xml"/><Relationship Id="rId58" Type="http://schemas.openxmlformats.org/officeDocument/2006/relationships/hyperlink" Target="mailto:PMBAfterHours@mail.nih.gov" TargetMode="External"/><Relationship Id="rId74" Type="http://schemas.openxmlformats.org/officeDocument/2006/relationships/hyperlink" Target="http://ctep.cancer.gov/protocolDevelopment/adverse_effects.htm" TargetMode="External"/><Relationship Id="rId79" Type="http://schemas.openxmlformats.org/officeDocument/2006/relationships/hyperlink" Target="mailto:STS.Support@theradex.com" TargetMode="External"/><Relationship Id="rId102"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hyperlink" Target="http://ctep.cancer.gov/industryCollaborations2/intellectual_property.htm" TargetMode="External"/><Relationship Id="rId95" Type="http://schemas.openxmlformats.org/officeDocument/2006/relationships/image" Target="media/image9.png"/><Relationship Id="rId22" Type="http://schemas.openxmlformats.org/officeDocument/2006/relationships/hyperlink" Target="https://doi.org/10.1200%2FJCO.2013.49.6968" TargetMode="External"/><Relationship Id="rId27" Type="http://schemas.openxmlformats.org/officeDocument/2006/relationships/hyperlink" Target="mailto:RCRHelpDesk@nih.gov" TargetMode="External"/><Relationship Id="rId43" Type="http://schemas.openxmlformats.org/officeDocument/2006/relationships/hyperlink" Target="mailto:ctsucontact@westat.com" TargetMode="External"/><Relationship Id="rId48" Type="http://schemas.openxmlformats.org/officeDocument/2006/relationships/image" Target="media/image6.png"/><Relationship Id="rId64" Type="http://schemas.openxmlformats.org/officeDocument/2006/relationships/hyperlink" Target="https://ctepcore.nci.nih.gov/aurora/login" TargetMode="External"/><Relationship Id="rId69" Type="http://schemas.openxmlformats.org/officeDocument/2006/relationships/image" Target="media/image7.png"/><Relationship Id="rId80" Type="http://schemas.openxmlformats.org/officeDocument/2006/relationships/hyperlink" Target="mailto:CLASSHelpDesk@westat.com" TargetMode="External"/><Relationship Id="rId85" Type="http://schemas.openxmlformats.org/officeDocument/2006/relationships/hyperlink" Target="mailto:CTMSSupport@theradex.com" TargetMode="Externa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hyperlink" Target="https://ctep.cancer.gov/investigatorResources/default.htm" TargetMode="External"/><Relationship Id="rId33" Type="http://schemas.openxmlformats.org/officeDocument/2006/relationships/hyperlink" Target="https://classlms.org" TargetMode="External"/><Relationship Id="rId38" Type="http://schemas.openxmlformats.org/officeDocument/2006/relationships/hyperlink" Target="mailto:ctsucontact@westat.com" TargetMode="External"/><Relationship Id="rId46" Type="http://schemas.openxmlformats.org/officeDocument/2006/relationships/hyperlink" Target="https://kits.bpc-apps.nchri.org" TargetMode="External"/><Relationship Id="rId59" Type="http://schemas.openxmlformats.org/officeDocument/2006/relationships/hyperlink" Target="mailto:PMBAfterHours@mail.nih.gov" TargetMode="External"/><Relationship Id="rId67" Type="http://schemas.openxmlformats.org/officeDocument/2006/relationships/hyperlink" Target="mailto:IBCoordinator@mail.nih.gov" TargetMode="External"/><Relationship Id="rId103" Type="http://schemas.openxmlformats.org/officeDocument/2006/relationships/theme" Target="theme/theme1.xml"/><Relationship Id="rId20" Type="http://schemas.openxmlformats.org/officeDocument/2006/relationships/image" Target="media/image4.jpeg"/><Relationship Id="rId41" Type="http://schemas.openxmlformats.org/officeDocument/2006/relationships/hyperlink" Target="https://www.ctsu.org" TargetMode="External"/><Relationship Id="rId54" Type="http://schemas.openxmlformats.org/officeDocument/2006/relationships/header" Target="header2.xml"/><Relationship Id="rId62" Type="http://schemas.openxmlformats.org/officeDocument/2006/relationships/hyperlink" Target="mailto:RCRHelpDesk@nih.gov" TargetMode="External"/><Relationship Id="rId70" Type="http://schemas.openxmlformats.org/officeDocument/2006/relationships/hyperlink" Target="http://www.trialdesign.org" TargetMode="External"/><Relationship Id="rId75" Type="http://schemas.openxmlformats.org/officeDocument/2006/relationships/footer" Target="footer3.xml"/><Relationship Id="rId83" Type="http://schemas.openxmlformats.org/officeDocument/2006/relationships/hyperlink" Target="mailto:ctsucontact@westat.com" TargetMode="External"/><Relationship Id="rId88" Type="http://schemas.openxmlformats.org/officeDocument/2006/relationships/hyperlink" Target="http://ctep.cancer.gov/protocolDevelopment/electronic_applications/adverse_events.htm" TargetMode="External"/><Relationship Id="rId91" Type="http://schemas.openxmlformats.org/officeDocument/2006/relationships/hyperlink" Target="http://ctep.cancer.gov" TargetMode="External"/><Relationship Id="rId9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jmpalmer@coh.org" TargetMode="External"/><Relationship Id="rId23" Type="http://schemas.openxmlformats.org/officeDocument/2006/relationships/hyperlink" Target="http://grants.nih.gov/grants/funding/phs398/phs398.pdf" TargetMode="External"/><Relationship Id="rId28" Type="http://schemas.openxmlformats.org/officeDocument/2006/relationships/hyperlink" Target="mailto:CTSURegPref@ctsu.coccg.org" TargetMode="External"/><Relationship Id="rId36" Type="http://schemas.openxmlformats.org/officeDocument/2006/relationships/hyperlink" Target="https://www.ctsu.org" TargetMode="External"/><Relationship Id="rId49" Type="http://schemas.openxmlformats.org/officeDocument/2006/relationships/hyperlink" Target="https://www.labtag.com/shop/product/cryo-laser-labels-1-28-x-0-5-cl-23-colors-available/" TargetMode="External"/><Relationship Id="rId57" Type="http://schemas.openxmlformats.org/officeDocument/2006/relationships/hyperlink" Target="mailto:mochasamplereceiving@nih.gov" TargetMode="External"/><Relationship Id="rId10" Type="http://schemas.openxmlformats.org/officeDocument/2006/relationships/webSettings" Target="webSettings.xml"/><Relationship Id="rId31" Type="http://schemas.openxmlformats.org/officeDocument/2006/relationships/hyperlink" Target="mailto:CTSURegHelp@coccg.org" TargetMode="External"/><Relationship Id="rId44" Type="http://schemas.openxmlformats.org/officeDocument/2006/relationships/hyperlink" Target="http://www.theradex.com/clinicalTechnologies/?National-Cancer-Institute-NCI-11" TargetMode="External"/><Relationship Id="rId52" Type="http://schemas.openxmlformats.org/officeDocument/2006/relationships/header" Target="header1.xml"/><Relationship Id="rId60" Type="http://schemas.openxmlformats.org/officeDocument/2006/relationships/hyperlink" Target="mailto:PMBAfterHours@mail.nih.gov" TargetMode="External"/><Relationship Id="rId65" Type="http://schemas.openxmlformats.org/officeDocument/2006/relationships/hyperlink" Target="https://ctepcore.nci.nih.gov/iam/" TargetMode="External"/><Relationship Id="rId73" Type="http://schemas.openxmlformats.org/officeDocument/2006/relationships/hyperlink" Target="https://ctep.cancer.gov/protocolDevelopment/electronic_applications/docs/aeguidelines.pdf" TargetMode="External"/><Relationship Id="rId78" Type="http://schemas.openxmlformats.org/officeDocument/2006/relationships/hyperlink" Target="https://ctep.cancer.gov/investigatorResources/default.htm" TargetMode="External"/><Relationship Id="rId81" Type="http://schemas.openxmlformats.org/officeDocument/2006/relationships/hyperlink" Target="https://www.ctsu.org/master/simplepage.aspx?ckey=HELP-DQP" TargetMode="External"/><Relationship Id="rId86" Type="http://schemas.openxmlformats.org/officeDocument/2006/relationships/hyperlink" Target="http://www.theradex.com/clinicalTechnologies/?National-Cancer-Institute-NCI-11" TargetMode="External"/><Relationship Id="rId94" Type="http://schemas.openxmlformats.org/officeDocument/2006/relationships/image" Target="media/image8.emf"/><Relationship Id="rId99" Type="http://schemas.openxmlformats.org/officeDocument/2006/relationships/header" Target="header5.xml"/><Relationship Id="rId101" Type="http://schemas.openxmlformats.org/officeDocument/2006/relationships/image" Target="media/image12.emf"/><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mailto:styoon@coh.org" TargetMode="External"/><Relationship Id="rId18" Type="http://schemas.openxmlformats.org/officeDocument/2006/relationships/image" Target="media/image2.png"/><Relationship Id="rId39" Type="http://schemas.openxmlformats.org/officeDocument/2006/relationships/hyperlink" Target="https://open.ctsu.org/" TargetMode="External"/><Relationship Id="rId34" Type="http://schemas.openxmlformats.org/officeDocument/2006/relationships/hyperlink" Target="mailto:CLASSHelpDesk@westat.com" TargetMode="External"/><Relationship Id="rId50" Type="http://schemas.openxmlformats.org/officeDocument/2006/relationships/hyperlink" Target="mailto:BPCBank@nationwidechildrens.org" TargetMode="External"/><Relationship Id="rId55" Type="http://schemas.openxmlformats.org/officeDocument/2006/relationships/footer" Target="footer2.xml"/><Relationship Id="rId76" Type="http://schemas.openxmlformats.org/officeDocument/2006/relationships/header" Target="header3.xml"/><Relationship Id="rId97" Type="http://schemas.openxmlformats.org/officeDocument/2006/relationships/header" Target="header4.xml"/><Relationship Id="rId7" Type="http://schemas.openxmlformats.org/officeDocument/2006/relationships/numbering" Target="numbering.xml"/><Relationship Id="rId71" Type="http://schemas.openxmlformats.org/officeDocument/2006/relationships/hyperlink" Target="http://www.trialdesign.org" TargetMode="External"/><Relationship Id="rId92" Type="http://schemas.openxmlformats.org/officeDocument/2006/relationships/hyperlink" Target="http://ctep.cancer.gov/industryCollaborations2/intellectual_property.htm" TargetMode="External"/><Relationship Id="rId2" Type="http://schemas.openxmlformats.org/officeDocument/2006/relationships/customXml" Target="../customXml/item2.xml"/><Relationship Id="rId29" Type="http://schemas.openxmlformats.org/officeDocument/2006/relationships/hyperlink" Target="mailto:CTSURegPref@ctsu.coccg.org" TargetMode="External"/><Relationship Id="rId24" Type="http://schemas.openxmlformats.org/officeDocument/2006/relationships/hyperlink" Target="https://ctepcore.nci.nih.gov/rcr/" TargetMode="External"/><Relationship Id="rId40" Type="http://schemas.openxmlformats.org/officeDocument/2006/relationships/hyperlink" Target="mailto:ccc@coh.org" TargetMode="External"/><Relationship Id="rId45" Type="http://schemas.openxmlformats.org/officeDocument/2006/relationships/hyperlink" Target="mailto:CTMSSupport@theradex.com" TargetMode="External"/><Relationship Id="rId66" Type="http://schemas.openxmlformats.org/officeDocument/2006/relationships/hyperlink" Target="mailto:ctepreghelp@ctep.nci.nih.gov" TargetMode="External"/><Relationship Id="rId87" Type="http://schemas.openxmlformats.org/officeDocument/2006/relationships/hyperlink" Target="mailto:CTMSSupport@theradex.com" TargetMode="External"/><Relationship Id="rId61" Type="http://schemas.openxmlformats.org/officeDocument/2006/relationships/hyperlink" Target="http://ctep.cancer.gov/forms/" TargetMode="External"/><Relationship Id="rId82" Type="http://schemas.openxmlformats.org/officeDocument/2006/relationships/hyperlink" Target="https://www.ctsu.org/master/simplepage.aspx?ckey=HELP-DQP" TargetMode="External"/><Relationship Id="rId19" Type="http://schemas.openxmlformats.org/officeDocument/2006/relationships/image" Target="media/image3.png"/><Relationship Id="rId14" Type="http://schemas.openxmlformats.org/officeDocument/2006/relationships/hyperlink" Target="mailto:terwilliams@coh.org" TargetMode="External"/><Relationship Id="rId30" Type="http://schemas.openxmlformats.org/officeDocument/2006/relationships/hyperlink" Target="https://www.ctsu.org/" TargetMode="External"/><Relationship Id="rId35" Type="http://schemas.openxmlformats.org/officeDocument/2006/relationships/hyperlink" Target="https://open.ctsu.org" TargetMode="External"/><Relationship Id="rId56" Type="http://schemas.openxmlformats.org/officeDocument/2006/relationships/hyperlink" Target="mailto:mochasamplereceiving@nih.gov" TargetMode="External"/><Relationship Id="rId77" Type="http://schemas.openxmlformats.org/officeDocument/2006/relationships/footer" Target="footer4.xml"/><Relationship Id="rId100" Type="http://schemas.openxmlformats.org/officeDocument/2006/relationships/image" Target="media/image11.emf"/><Relationship Id="rId8" Type="http://schemas.openxmlformats.org/officeDocument/2006/relationships/styles" Target="styles.xml"/><Relationship Id="rId51" Type="http://schemas.openxmlformats.org/officeDocument/2006/relationships/hyperlink" Target="mailto:BPCBank@nationwidechildrens.org" TargetMode="External"/><Relationship Id="rId72" Type="http://schemas.openxmlformats.org/officeDocument/2006/relationships/hyperlink" Target="http://ctep.cancer.gov/protocolDevelopment/electronic_applications/ctc.htm" TargetMode="External"/><Relationship Id="rId93" Type="http://schemas.openxmlformats.org/officeDocument/2006/relationships/hyperlink" Target="mailto:ncicteppubs@mail.nih.gov" TargetMode="External"/><Relationship Id="rId98" Type="http://schemas.openxmlformats.org/officeDocument/2006/relationships/footer" Target="footer5.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1F3FF0119BD64C8989F2727A0B8CB9" ma:contentTypeVersion="15" ma:contentTypeDescription="Create a new document." ma:contentTypeScope="" ma:versionID="0755c940ffb45db766a72614c96c8a73">
  <xsd:schema xmlns:xsd="http://www.w3.org/2001/XMLSchema" xmlns:xs="http://www.w3.org/2001/XMLSchema" xmlns:p="http://schemas.microsoft.com/office/2006/metadata/properties" xmlns:ns2="b8d48779-2c1f-4240-8af6-296fdff5af28" xmlns:ns3="39055c42-7823-44bc-bce6-784307df9c2f" targetNamespace="http://schemas.microsoft.com/office/2006/metadata/properties" ma:root="true" ma:fieldsID="3ded8f466bd31383492054c768af3661" ns2:_="" ns3:_="">
    <xsd:import namespace="b8d48779-2c1f-4240-8af6-296fdff5af28"/>
    <xsd:import namespace="39055c42-7823-44bc-bce6-784307df9c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Comme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48779-2c1f-4240-8af6-296fdff5a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4de2e25-e1f8-4780-bc6e-bc3e062397c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20" nillable="true" ma:displayName="Comments" ma:description="Add any questions you have to this running list " ma:format="Dropdown" ma:internalName="Comments">
      <xsd:simpleType>
        <xsd:restriction base="dms:Text">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055c42-7823-44bc-bce6-784307df9c2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006248-fb79-4ca1-a2a8-3acf082fd9cd}" ma:internalName="TaxCatchAll" ma:showField="CatchAllData" ma:web="39055c42-7823-44bc-bce6-784307df9c2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d48779-2c1f-4240-8af6-296fdff5af28">
      <Terms xmlns="http://schemas.microsoft.com/office/infopath/2007/PartnerControls"/>
    </lcf76f155ced4ddcb4097134ff3c332f>
    <TaxCatchAll xmlns="39055c42-7823-44bc-bce6-784307df9c2f" xsi:nil="true"/>
    <Comments xmlns="b8d48779-2c1f-4240-8af6-296fdff5af2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2F46EE-FFB3-463E-8B62-04806DEA5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48779-2c1f-4240-8af6-296fdff5af28"/>
    <ds:schemaRef ds:uri="39055c42-7823-44bc-bce6-784307df9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4FE9FD-EC8C-4B56-988A-688D2B6B5ED9}">
  <ds:schemaRefs>
    <ds:schemaRef ds:uri="http://schemas.openxmlformats.org/officeDocument/2006/bibliography"/>
  </ds:schemaRefs>
</ds:datastoreItem>
</file>

<file path=customXml/itemProps3.xml><?xml version="1.0" encoding="utf-8"?>
<ds:datastoreItem xmlns:ds="http://schemas.openxmlformats.org/officeDocument/2006/customXml" ds:itemID="{09732398-043A-436C-8794-7C724A42E316}">
  <ds:schemaRefs>
    <ds:schemaRef ds:uri="http://purl.org/dc/dcmitype/"/>
    <ds:schemaRef ds:uri="b8d48779-2c1f-4240-8af6-296fdff5af28"/>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39055c42-7823-44bc-bce6-784307df9c2f"/>
  </ds:schemaRefs>
</ds:datastoreItem>
</file>

<file path=customXml/itemProps4.xml><?xml version="1.0" encoding="utf-8"?>
<ds:datastoreItem xmlns:ds="http://schemas.openxmlformats.org/officeDocument/2006/customXml" ds:itemID="{4FCBD582-16AF-4BFE-BD4E-3661C17A1565}">
  <ds:schemaRefs>
    <ds:schemaRef ds:uri="http://schemas.microsoft.com/sharepoint/v3/contenttype/forms"/>
  </ds:schemaRefs>
</ds:datastoreItem>
</file>

<file path=customXml/itemProps5.xml><?xml version="1.0" encoding="utf-8"?>
<ds:datastoreItem xmlns:ds="http://schemas.openxmlformats.org/officeDocument/2006/customXml" ds:itemID="{856A1653-4F73-4AA6-972A-28E7C3BA475C}">
  <ds:schemaRefs>
    <ds:schemaRef ds:uri="http://schemas.microsoft.com/sharepoint/v3/contenttype/forms"/>
  </ds:schemaRefs>
</ds:datastoreItem>
</file>

<file path=customXml/itemProps6.xml><?xml version="1.0" encoding="utf-8"?>
<ds:datastoreItem xmlns:ds="http://schemas.openxmlformats.org/officeDocument/2006/customXml" ds:itemID="{4BCA3EED-5D38-4EB7-80CA-889D96134A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103</Pages>
  <Words>33745</Words>
  <Characters>192353</Characters>
  <Application>Microsoft Office Word</Application>
  <DocSecurity>0</DocSecurity>
  <Lines>1602</Lines>
  <Paragraphs>451</Paragraphs>
  <ScaleCrop>false</ScaleCrop>
  <HeadingPairs>
    <vt:vector size="2" baseType="variant">
      <vt:variant>
        <vt:lpstr>Title</vt:lpstr>
      </vt:variant>
      <vt:variant>
        <vt:i4>1</vt:i4>
      </vt:variant>
    </vt:vector>
  </HeadingPairs>
  <TitlesOfParts>
    <vt:vector size="1" baseType="lpstr">
      <vt:lpstr/>
    </vt:vector>
  </TitlesOfParts>
  <Company>CTEP</Company>
  <LinksUpToDate>false</LinksUpToDate>
  <CharactersWithSpaces>225647</CharactersWithSpaces>
  <SharedDoc>false</SharedDoc>
  <HLinks>
    <vt:vector size="858" baseType="variant">
      <vt:variant>
        <vt:i4>6619153</vt:i4>
      </vt:variant>
      <vt:variant>
        <vt:i4>696</vt:i4>
      </vt:variant>
      <vt:variant>
        <vt:i4>0</vt:i4>
      </vt:variant>
      <vt:variant>
        <vt:i4>5</vt:i4>
      </vt:variant>
      <vt:variant>
        <vt:lpwstr>mailto:ncicteppubs@mail.nih.gov</vt:lpwstr>
      </vt:variant>
      <vt:variant>
        <vt:lpwstr/>
      </vt:variant>
      <vt:variant>
        <vt:i4>6881280</vt:i4>
      </vt:variant>
      <vt:variant>
        <vt:i4>693</vt:i4>
      </vt:variant>
      <vt:variant>
        <vt:i4>0</vt:i4>
      </vt:variant>
      <vt:variant>
        <vt:i4>5</vt:i4>
      </vt:variant>
      <vt:variant>
        <vt:lpwstr>http://ctep.cancer.gov/industryCollaborations2/intellectual_property.htm</vt:lpwstr>
      </vt:variant>
      <vt:variant>
        <vt:lpwstr/>
      </vt:variant>
      <vt:variant>
        <vt:i4>6422564</vt:i4>
      </vt:variant>
      <vt:variant>
        <vt:i4>690</vt:i4>
      </vt:variant>
      <vt:variant>
        <vt:i4>0</vt:i4>
      </vt:variant>
      <vt:variant>
        <vt:i4>5</vt:i4>
      </vt:variant>
      <vt:variant>
        <vt:lpwstr>http://ctep.cancer.gov/</vt:lpwstr>
      </vt:variant>
      <vt:variant>
        <vt:lpwstr/>
      </vt:variant>
      <vt:variant>
        <vt:i4>6881280</vt:i4>
      </vt:variant>
      <vt:variant>
        <vt:i4>687</vt:i4>
      </vt:variant>
      <vt:variant>
        <vt:i4>0</vt:i4>
      </vt:variant>
      <vt:variant>
        <vt:i4>5</vt:i4>
      </vt:variant>
      <vt:variant>
        <vt:lpwstr>http://ctep.cancer.gov/industryCollaborations2/intellectual_property.htm</vt:lpwstr>
      </vt:variant>
      <vt:variant>
        <vt:lpwstr/>
      </vt:variant>
      <vt:variant>
        <vt:i4>7733294</vt:i4>
      </vt:variant>
      <vt:variant>
        <vt:i4>684</vt:i4>
      </vt:variant>
      <vt:variant>
        <vt:i4>0</vt:i4>
      </vt:variant>
      <vt:variant>
        <vt:i4>5</vt:i4>
      </vt:variant>
      <vt:variant>
        <vt:lpwstr>http://ctep.cancer.gov/protocolDevelopment/electronic_applications/adverse_events.htm</vt:lpwstr>
      </vt:variant>
      <vt:variant>
        <vt:lpwstr/>
      </vt:variant>
      <vt:variant>
        <vt:i4>5636112</vt:i4>
      </vt:variant>
      <vt:variant>
        <vt:i4>678</vt:i4>
      </vt:variant>
      <vt:variant>
        <vt:i4>0</vt:i4>
      </vt:variant>
      <vt:variant>
        <vt:i4>5</vt:i4>
      </vt:variant>
      <vt:variant>
        <vt:lpwstr>https://datascience.cancer.gov/resources/metadata</vt:lpwstr>
      </vt:variant>
      <vt:variant>
        <vt:lpwstr/>
      </vt:variant>
      <vt:variant>
        <vt:i4>7733294</vt:i4>
      </vt:variant>
      <vt:variant>
        <vt:i4>675</vt:i4>
      </vt:variant>
      <vt:variant>
        <vt:i4>0</vt:i4>
      </vt:variant>
      <vt:variant>
        <vt:i4>5</vt:i4>
      </vt:variant>
      <vt:variant>
        <vt:lpwstr>http://ctep.cancer.gov/protocolDevelopment/electronic_applications/adverse_events.htm</vt:lpwstr>
      </vt:variant>
      <vt:variant>
        <vt:lpwstr/>
      </vt:variant>
      <vt:variant>
        <vt:i4>2097183</vt:i4>
      </vt:variant>
      <vt:variant>
        <vt:i4>672</vt:i4>
      </vt:variant>
      <vt:variant>
        <vt:i4>0</vt:i4>
      </vt:variant>
      <vt:variant>
        <vt:i4>5</vt:i4>
      </vt:variant>
      <vt:variant>
        <vt:lpwstr>mailto:CTMSSupport@theradex.com</vt:lpwstr>
      </vt:variant>
      <vt:variant>
        <vt:lpwstr/>
      </vt:variant>
      <vt:variant>
        <vt:i4>7471230</vt:i4>
      </vt:variant>
      <vt:variant>
        <vt:i4>669</vt:i4>
      </vt:variant>
      <vt:variant>
        <vt:i4>0</vt:i4>
      </vt:variant>
      <vt:variant>
        <vt:i4>5</vt:i4>
      </vt:variant>
      <vt:variant>
        <vt:lpwstr>http://www.theradex.com/clinicalTechnologies/?National-Cancer-Institute-NCI-11</vt:lpwstr>
      </vt:variant>
      <vt:variant>
        <vt:lpwstr/>
      </vt:variant>
      <vt:variant>
        <vt:i4>2097183</vt:i4>
      </vt:variant>
      <vt:variant>
        <vt:i4>666</vt:i4>
      </vt:variant>
      <vt:variant>
        <vt:i4>0</vt:i4>
      </vt:variant>
      <vt:variant>
        <vt:i4>5</vt:i4>
      </vt:variant>
      <vt:variant>
        <vt:lpwstr>mailto:CTMSSupport@theradex.com</vt:lpwstr>
      </vt:variant>
      <vt:variant>
        <vt:lpwstr/>
      </vt:variant>
      <vt:variant>
        <vt:i4>7471230</vt:i4>
      </vt:variant>
      <vt:variant>
        <vt:i4>663</vt:i4>
      </vt:variant>
      <vt:variant>
        <vt:i4>0</vt:i4>
      </vt:variant>
      <vt:variant>
        <vt:i4>5</vt:i4>
      </vt:variant>
      <vt:variant>
        <vt:lpwstr>http://www.theradex.com/clinicalTechnologies/?National-Cancer-Institute-NCI-11</vt:lpwstr>
      </vt:variant>
      <vt:variant>
        <vt:lpwstr/>
      </vt:variant>
      <vt:variant>
        <vt:i4>5111925</vt:i4>
      </vt:variant>
      <vt:variant>
        <vt:i4>657</vt:i4>
      </vt:variant>
      <vt:variant>
        <vt:i4>0</vt:i4>
      </vt:variant>
      <vt:variant>
        <vt:i4>5</vt:i4>
      </vt:variant>
      <vt:variant>
        <vt:lpwstr>mailto:ctsucontact@westat.com</vt:lpwstr>
      </vt:variant>
      <vt:variant>
        <vt:lpwstr/>
      </vt:variant>
      <vt:variant>
        <vt:i4>1048669</vt:i4>
      </vt:variant>
      <vt:variant>
        <vt:i4>654</vt:i4>
      </vt:variant>
      <vt:variant>
        <vt:i4>0</vt:i4>
      </vt:variant>
      <vt:variant>
        <vt:i4>5</vt:i4>
      </vt:variant>
      <vt:variant>
        <vt:lpwstr>https://www.ctsu.org/master/simplepage.aspx?ckey=HELP-DQP</vt:lpwstr>
      </vt:variant>
      <vt:variant>
        <vt:lpwstr>RaveResources</vt:lpwstr>
      </vt:variant>
      <vt:variant>
        <vt:i4>1048669</vt:i4>
      </vt:variant>
      <vt:variant>
        <vt:i4>651</vt:i4>
      </vt:variant>
      <vt:variant>
        <vt:i4>0</vt:i4>
      </vt:variant>
      <vt:variant>
        <vt:i4>5</vt:i4>
      </vt:variant>
      <vt:variant>
        <vt:lpwstr>https://www.ctsu.org/master/simplepage.aspx?ckey=HELP-DQP</vt:lpwstr>
      </vt:variant>
      <vt:variant>
        <vt:lpwstr>RaveResources</vt:lpwstr>
      </vt:variant>
      <vt:variant>
        <vt:i4>2883584</vt:i4>
      </vt:variant>
      <vt:variant>
        <vt:i4>648</vt:i4>
      </vt:variant>
      <vt:variant>
        <vt:i4>0</vt:i4>
      </vt:variant>
      <vt:variant>
        <vt:i4>5</vt:i4>
      </vt:variant>
      <vt:variant>
        <vt:lpwstr>mailto:CLASSHelpDesk@westat.com</vt:lpwstr>
      </vt:variant>
      <vt:variant>
        <vt:lpwstr/>
      </vt:variant>
      <vt:variant>
        <vt:i4>3014722</vt:i4>
      </vt:variant>
      <vt:variant>
        <vt:i4>645</vt:i4>
      </vt:variant>
      <vt:variant>
        <vt:i4>0</vt:i4>
      </vt:variant>
      <vt:variant>
        <vt:i4>5</vt:i4>
      </vt:variant>
      <vt:variant>
        <vt:lpwstr>mailto:STS.Support@theradex.com</vt:lpwstr>
      </vt:variant>
      <vt:variant>
        <vt:lpwstr/>
      </vt:variant>
      <vt:variant>
        <vt:i4>851981</vt:i4>
      </vt:variant>
      <vt:variant>
        <vt:i4>639</vt:i4>
      </vt:variant>
      <vt:variant>
        <vt:i4>0</vt:i4>
      </vt:variant>
      <vt:variant>
        <vt:i4>5</vt:i4>
      </vt:variant>
      <vt:variant>
        <vt:lpwstr>https://ctep.cancer.gov/investigatorResources/default.htm</vt:lpwstr>
      </vt:variant>
      <vt:variant>
        <vt:lpwstr/>
      </vt:variant>
      <vt:variant>
        <vt:i4>1572911</vt:i4>
      </vt:variant>
      <vt:variant>
        <vt:i4>636</vt:i4>
      </vt:variant>
      <vt:variant>
        <vt:i4>0</vt:i4>
      </vt:variant>
      <vt:variant>
        <vt:i4>5</vt:i4>
      </vt:variant>
      <vt:variant>
        <vt:lpwstr/>
      </vt:variant>
      <vt:variant>
        <vt:lpwstr>_APPENDIX_E_RANO</vt:lpwstr>
      </vt:variant>
      <vt:variant>
        <vt:i4>8257573</vt:i4>
      </vt:variant>
      <vt:variant>
        <vt:i4>633</vt:i4>
      </vt:variant>
      <vt:variant>
        <vt:i4>0</vt:i4>
      </vt:variant>
      <vt:variant>
        <vt:i4>5</vt:i4>
      </vt:variant>
      <vt:variant>
        <vt:lpwstr/>
      </vt:variant>
      <vt:variant>
        <vt:lpwstr>Section_5_5_2_3</vt:lpwstr>
      </vt:variant>
      <vt:variant>
        <vt:i4>7602241</vt:i4>
      </vt:variant>
      <vt:variant>
        <vt:i4>630</vt:i4>
      </vt:variant>
      <vt:variant>
        <vt:i4>0</vt:i4>
      </vt:variant>
      <vt:variant>
        <vt:i4>5</vt:i4>
      </vt:variant>
      <vt:variant>
        <vt:lpwstr>http://ctep.cancer.gov/protocolDevelopment/adverse_effects.htm</vt:lpwstr>
      </vt:variant>
      <vt:variant>
        <vt:lpwstr/>
      </vt:variant>
      <vt:variant>
        <vt:i4>4718702</vt:i4>
      </vt:variant>
      <vt:variant>
        <vt:i4>627</vt:i4>
      </vt:variant>
      <vt:variant>
        <vt:i4>0</vt:i4>
      </vt:variant>
      <vt:variant>
        <vt:i4>5</vt:i4>
      </vt:variant>
      <vt:variant>
        <vt:lpwstr>https://ctep.cancer.gov/protocolDevelopment/electronic_applications/docs/aeguidelines.pdf</vt:lpwstr>
      </vt:variant>
      <vt:variant>
        <vt:lpwstr/>
      </vt:variant>
      <vt:variant>
        <vt:i4>6094894</vt:i4>
      </vt:variant>
      <vt:variant>
        <vt:i4>624</vt:i4>
      </vt:variant>
      <vt:variant>
        <vt:i4>0</vt:i4>
      </vt:variant>
      <vt:variant>
        <vt:i4>5</vt:i4>
      </vt:variant>
      <vt:variant>
        <vt:lpwstr>http://ctep.cancer.gov/protocolDevelopment/electronic_applications/ctc.htm</vt:lpwstr>
      </vt:variant>
      <vt:variant>
        <vt:lpwstr/>
      </vt:variant>
      <vt:variant>
        <vt:i4>4194315</vt:i4>
      </vt:variant>
      <vt:variant>
        <vt:i4>618</vt:i4>
      </vt:variant>
      <vt:variant>
        <vt:i4>0</vt:i4>
      </vt:variant>
      <vt:variant>
        <vt:i4>5</vt:i4>
      </vt:variant>
      <vt:variant>
        <vt:lpwstr/>
      </vt:variant>
      <vt:variant>
        <vt:lpwstr>_ENREF_1</vt:lpwstr>
      </vt:variant>
      <vt:variant>
        <vt:i4>3145839</vt:i4>
      </vt:variant>
      <vt:variant>
        <vt:i4>612</vt:i4>
      </vt:variant>
      <vt:variant>
        <vt:i4>0</vt:i4>
      </vt:variant>
      <vt:variant>
        <vt:i4>5</vt:i4>
      </vt:variant>
      <vt:variant>
        <vt:lpwstr>http://www.trialdesign.org/</vt:lpwstr>
      </vt:variant>
      <vt:variant>
        <vt:lpwstr/>
      </vt:variant>
      <vt:variant>
        <vt:i4>3145839</vt:i4>
      </vt:variant>
      <vt:variant>
        <vt:i4>603</vt:i4>
      </vt:variant>
      <vt:variant>
        <vt:i4>0</vt:i4>
      </vt:variant>
      <vt:variant>
        <vt:i4>5</vt:i4>
      </vt:variant>
      <vt:variant>
        <vt:lpwstr>http://www.trialdesign.org/</vt:lpwstr>
      </vt:variant>
      <vt:variant>
        <vt:lpwstr/>
      </vt:variant>
      <vt:variant>
        <vt:i4>2031729</vt:i4>
      </vt:variant>
      <vt:variant>
        <vt:i4>582</vt:i4>
      </vt:variant>
      <vt:variant>
        <vt:i4>0</vt:i4>
      </vt:variant>
      <vt:variant>
        <vt:i4>5</vt:i4>
      </vt:variant>
      <vt:variant>
        <vt:lpwstr>mailto:PMBAfterHours@mail.nih.gov</vt:lpwstr>
      </vt:variant>
      <vt:variant>
        <vt:lpwstr/>
      </vt:variant>
      <vt:variant>
        <vt:i4>589950</vt:i4>
      </vt:variant>
      <vt:variant>
        <vt:i4>579</vt:i4>
      </vt:variant>
      <vt:variant>
        <vt:i4>0</vt:i4>
      </vt:variant>
      <vt:variant>
        <vt:i4>5</vt:i4>
      </vt:variant>
      <vt:variant>
        <vt:lpwstr>mailto:IBCoordinator@mail.nih.gov</vt:lpwstr>
      </vt:variant>
      <vt:variant>
        <vt:lpwstr/>
      </vt:variant>
      <vt:variant>
        <vt:i4>2686989</vt:i4>
      </vt:variant>
      <vt:variant>
        <vt:i4>576</vt:i4>
      </vt:variant>
      <vt:variant>
        <vt:i4>0</vt:i4>
      </vt:variant>
      <vt:variant>
        <vt:i4>5</vt:i4>
      </vt:variant>
      <vt:variant>
        <vt:lpwstr>mailto:ctepreghelp@ctep.nci.nih.gov</vt:lpwstr>
      </vt:variant>
      <vt:variant>
        <vt:lpwstr/>
      </vt:variant>
      <vt:variant>
        <vt:i4>720978</vt:i4>
      </vt:variant>
      <vt:variant>
        <vt:i4>573</vt:i4>
      </vt:variant>
      <vt:variant>
        <vt:i4>0</vt:i4>
      </vt:variant>
      <vt:variant>
        <vt:i4>5</vt:i4>
      </vt:variant>
      <vt:variant>
        <vt:lpwstr>https://ctepcore.nci.nih.gov/iam/</vt:lpwstr>
      </vt:variant>
      <vt:variant>
        <vt:lpwstr/>
      </vt:variant>
      <vt:variant>
        <vt:i4>4653123</vt:i4>
      </vt:variant>
      <vt:variant>
        <vt:i4>570</vt:i4>
      </vt:variant>
      <vt:variant>
        <vt:i4>0</vt:i4>
      </vt:variant>
      <vt:variant>
        <vt:i4>5</vt:i4>
      </vt:variant>
      <vt:variant>
        <vt:lpwstr>https://ctepcore.nci.nih.gov/aurora/login</vt:lpwstr>
      </vt:variant>
      <vt:variant>
        <vt:lpwstr/>
      </vt:variant>
      <vt:variant>
        <vt:i4>2949203</vt:i4>
      </vt:variant>
      <vt:variant>
        <vt:i4>567</vt:i4>
      </vt:variant>
      <vt:variant>
        <vt:i4>0</vt:i4>
      </vt:variant>
      <vt:variant>
        <vt:i4>5</vt:i4>
      </vt:variant>
      <vt:variant>
        <vt:lpwstr>http://ctep.cancer.gov/branches/pmb/agent_management.htm</vt:lpwstr>
      </vt:variant>
      <vt:variant>
        <vt:lpwstr/>
      </vt:variant>
      <vt:variant>
        <vt:i4>7209042</vt:i4>
      </vt:variant>
      <vt:variant>
        <vt:i4>564</vt:i4>
      </vt:variant>
      <vt:variant>
        <vt:i4>0</vt:i4>
      </vt:variant>
      <vt:variant>
        <vt:i4>5</vt:i4>
      </vt:variant>
      <vt:variant>
        <vt:lpwstr>mailto:RCRHelpDesk@nih.gov</vt:lpwstr>
      </vt:variant>
      <vt:variant>
        <vt:lpwstr/>
      </vt:variant>
      <vt:variant>
        <vt:i4>327689</vt:i4>
      </vt:variant>
      <vt:variant>
        <vt:i4>561</vt:i4>
      </vt:variant>
      <vt:variant>
        <vt:i4>0</vt:i4>
      </vt:variant>
      <vt:variant>
        <vt:i4>5</vt:i4>
      </vt:variant>
      <vt:variant>
        <vt:lpwstr>http://ctep.cancer.gov/forms/</vt:lpwstr>
      </vt:variant>
      <vt:variant>
        <vt:lpwstr/>
      </vt:variant>
      <vt:variant>
        <vt:i4>2031729</vt:i4>
      </vt:variant>
      <vt:variant>
        <vt:i4>558</vt:i4>
      </vt:variant>
      <vt:variant>
        <vt:i4>0</vt:i4>
      </vt:variant>
      <vt:variant>
        <vt:i4>5</vt:i4>
      </vt:variant>
      <vt:variant>
        <vt:lpwstr>mailto:PMBAfterHours@mail.nih.gov</vt:lpwstr>
      </vt:variant>
      <vt:variant>
        <vt:lpwstr/>
      </vt:variant>
      <vt:variant>
        <vt:i4>2031729</vt:i4>
      </vt:variant>
      <vt:variant>
        <vt:i4>555</vt:i4>
      </vt:variant>
      <vt:variant>
        <vt:i4>0</vt:i4>
      </vt:variant>
      <vt:variant>
        <vt:i4>5</vt:i4>
      </vt:variant>
      <vt:variant>
        <vt:lpwstr>mailto:PMBAfterHours@mail.nih.gov</vt:lpwstr>
      </vt:variant>
      <vt:variant>
        <vt:lpwstr/>
      </vt:variant>
      <vt:variant>
        <vt:i4>2031729</vt:i4>
      </vt:variant>
      <vt:variant>
        <vt:i4>552</vt:i4>
      </vt:variant>
      <vt:variant>
        <vt:i4>0</vt:i4>
      </vt:variant>
      <vt:variant>
        <vt:i4>5</vt:i4>
      </vt:variant>
      <vt:variant>
        <vt:lpwstr>mailto:PMBAfterHours@mail.nih.gov</vt:lpwstr>
      </vt:variant>
      <vt:variant>
        <vt:lpwstr/>
      </vt:variant>
      <vt:variant>
        <vt:i4>7340116</vt:i4>
      </vt:variant>
      <vt:variant>
        <vt:i4>549</vt:i4>
      </vt:variant>
      <vt:variant>
        <vt:i4>0</vt:i4>
      </vt:variant>
      <vt:variant>
        <vt:i4>5</vt:i4>
      </vt:variant>
      <vt:variant>
        <vt:lpwstr/>
      </vt:variant>
      <vt:variant>
        <vt:lpwstr>_APPENDIX_C_PATIENT</vt:lpwstr>
      </vt:variant>
      <vt:variant>
        <vt:i4>589864</vt:i4>
      </vt:variant>
      <vt:variant>
        <vt:i4>546</vt:i4>
      </vt:variant>
      <vt:variant>
        <vt:i4>0</vt:i4>
      </vt:variant>
      <vt:variant>
        <vt:i4>5</vt:i4>
      </vt:variant>
      <vt:variant>
        <vt:lpwstr>mailto:mochasamplereceiving@nih.gov</vt:lpwstr>
      </vt:variant>
      <vt:variant>
        <vt:lpwstr/>
      </vt:variant>
      <vt:variant>
        <vt:i4>589864</vt:i4>
      </vt:variant>
      <vt:variant>
        <vt:i4>543</vt:i4>
      </vt:variant>
      <vt:variant>
        <vt:i4>0</vt:i4>
      </vt:variant>
      <vt:variant>
        <vt:i4>5</vt:i4>
      </vt:variant>
      <vt:variant>
        <vt:lpwstr>mailto:mochasamplereceiving@nih.gov</vt:lpwstr>
      </vt:variant>
      <vt:variant>
        <vt:lpwstr/>
      </vt:variant>
      <vt:variant>
        <vt:i4>8323160</vt:i4>
      </vt:variant>
      <vt:variant>
        <vt:i4>540</vt:i4>
      </vt:variant>
      <vt:variant>
        <vt:i4>0</vt:i4>
      </vt:variant>
      <vt:variant>
        <vt:i4>5</vt:i4>
      </vt:variant>
      <vt:variant>
        <vt:lpwstr>mailto:BPCBank@nationwidechildrens.org</vt:lpwstr>
      </vt:variant>
      <vt:variant>
        <vt:lpwstr/>
      </vt:variant>
      <vt:variant>
        <vt:i4>8323160</vt:i4>
      </vt:variant>
      <vt:variant>
        <vt:i4>537</vt:i4>
      </vt:variant>
      <vt:variant>
        <vt:i4>0</vt:i4>
      </vt:variant>
      <vt:variant>
        <vt:i4>5</vt:i4>
      </vt:variant>
      <vt:variant>
        <vt:lpwstr>mailto:BPCBank@nationwidechildrens.org</vt:lpwstr>
      </vt:variant>
      <vt:variant>
        <vt:lpwstr/>
      </vt:variant>
      <vt:variant>
        <vt:i4>1704006</vt:i4>
      </vt:variant>
      <vt:variant>
        <vt:i4>534</vt:i4>
      </vt:variant>
      <vt:variant>
        <vt:i4>0</vt:i4>
      </vt:variant>
      <vt:variant>
        <vt:i4>5</vt:i4>
      </vt:variant>
      <vt:variant>
        <vt:lpwstr>https://www.labtag.com/shop/product/cryo-laser-labels-1-28-x-0-5-cl-23-colors-available/</vt:lpwstr>
      </vt:variant>
      <vt:variant>
        <vt:lpwstr/>
      </vt:variant>
      <vt:variant>
        <vt:i4>3014722</vt:i4>
      </vt:variant>
      <vt:variant>
        <vt:i4>531</vt:i4>
      </vt:variant>
      <vt:variant>
        <vt:i4>0</vt:i4>
      </vt:variant>
      <vt:variant>
        <vt:i4>5</vt:i4>
      </vt:variant>
      <vt:variant>
        <vt:lpwstr>mailto:STS.Support@theradex.com</vt:lpwstr>
      </vt:variant>
      <vt:variant>
        <vt:lpwstr/>
      </vt:variant>
      <vt:variant>
        <vt:i4>5701704</vt:i4>
      </vt:variant>
      <vt:variant>
        <vt:i4>525</vt:i4>
      </vt:variant>
      <vt:variant>
        <vt:i4>0</vt:i4>
      </vt:variant>
      <vt:variant>
        <vt:i4>5</vt:i4>
      </vt:variant>
      <vt:variant>
        <vt:lpwstr>https://kits.bpc-apps.nchri.org/</vt:lpwstr>
      </vt:variant>
      <vt:variant>
        <vt:lpwstr/>
      </vt:variant>
      <vt:variant>
        <vt:i4>2097183</vt:i4>
      </vt:variant>
      <vt:variant>
        <vt:i4>522</vt:i4>
      </vt:variant>
      <vt:variant>
        <vt:i4>0</vt:i4>
      </vt:variant>
      <vt:variant>
        <vt:i4>5</vt:i4>
      </vt:variant>
      <vt:variant>
        <vt:lpwstr>mailto:CTMSSupport@theradex.com</vt:lpwstr>
      </vt:variant>
      <vt:variant>
        <vt:lpwstr/>
      </vt:variant>
      <vt:variant>
        <vt:i4>7471230</vt:i4>
      </vt:variant>
      <vt:variant>
        <vt:i4>519</vt:i4>
      </vt:variant>
      <vt:variant>
        <vt:i4>0</vt:i4>
      </vt:variant>
      <vt:variant>
        <vt:i4>5</vt:i4>
      </vt:variant>
      <vt:variant>
        <vt:lpwstr>http://www.theradex.com/clinicalTechnologies/?National-Cancer-Institute-NCI-11</vt:lpwstr>
      </vt:variant>
      <vt:variant>
        <vt:lpwstr/>
      </vt:variant>
      <vt:variant>
        <vt:i4>5111925</vt:i4>
      </vt:variant>
      <vt:variant>
        <vt:i4>516</vt:i4>
      </vt:variant>
      <vt:variant>
        <vt:i4>0</vt:i4>
      </vt:variant>
      <vt:variant>
        <vt:i4>5</vt:i4>
      </vt:variant>
      <vt:variant>
        <vt:lpwstr>mailto:ctsucontact@westat.com</vt:lpwstr>
      </vt:variant>
      <vt:variant>
        <vt:lpwstr/>
      </vt:variant>
      <vt:variant>
        <vt:i4>7077997</vt:i4>
      </vt:variant>
      <vt:variant>
        <vt:i4>513</vt:i4>
      </vt:variant>
      <vt:variant>
        <vt:i4>0</vt:i4>
      </vt:variant>
      <vt:variant>
        <vt:i4>5</vt:i4>
      </vt:variant>
      <vt:variant>
        <vt:lpwstr>https://open.ctsu.org/</vt:lpwstr>
      </vt:variant>
      <vt:variant>
        <vt:lpwstr/>
      </vt:variant>
      <vt:variant>
        <vt:i4>4259852</vt:i4>
      </vt:variant>
      <vt:variant>
        <vt:i4>510</vt:i4>
      </vt:variant>
      <vt:variant>
        <vt:i4>0</vt:i4>
      </vt:variant>
      <vt:variant>
        <vt:i4>5</vt:i4>
      </vt:variant>
      <vt:variant>
        <vt:lpwstr>https://www.ctsu.org/</vt:lpwstr>
      </vt:variant>
      <vt:variant>
        <vt:lpwstr/>
      </vt:variant>
      <vt:variant>
        <vt:i4>6357082</vt:i4>
      </vt:variant>
      <vt:variant>
        <vt:i4>507</vt:i4>
      </vt:variant>
      <vt:variant>
        <vt:i4>0</vt:i4>
      </vt:variant>
      <vt:variant>
        <vt:i4>5</vt:i4>
      </vt:variant>
      <vt:variant>
        <vt:lpwstr>mailto:ccc@coh.org</vt:lpwstr>
      </vt:variant>
      <vt:variant>
        <vt:lpwstr/>
      </vt:variant>
      <vt:variant>
        <vt:i4>7077997</vt:i4>
      </vt:variant>
      <vt:variant>
        <vt:i4>504</vt:i4>
      </vt:variant>
      <vt:variant>
        <vt:i4>0</vt:i4>
      </vt:variant>
      <vt:variant>
        <vt:i4>5</vt:i4>
      </vt:variant>
      <vt:variant>
        <vt:lpwstr>https://open.ctsu.org/</vt:lpwstr>
      </vt:variant>
      <vt:variant>
        <vt:lpwstr/>
      </vt:variant>
      <vt:variant>
        <vt:i4>5111925</vt:i4>
      </vt:variant>
      <vt:variant>
        <vt:i4>501</vt:i4>
      </vt:variant>
      <vt:variant>
        <vt:i4>0</vt:i4>
      </vt:variant>
      <vt:variant>
        <vt:i4>5</vt:i4>
      </vt:variant>
      <vt:variant>
        <vt:lpwstr>mailto:ctsucontact@westat.com</vt:lpwstr>
      </vt:variant>
      <vt:variant>
        <vt:lpwstr/>
      </vt:variant>
      <vt:variant>
        <vt:i4>7077997</vt:i4>
      </vt:variant>
      <vt:variant>
        <vt:i4>498</vt:i4>
      </vt:variant>
      <vt:variant>
        <vt:i4>0</vt:i4>
      </vt:variant>
      <vt:variant>
        <vt:i4>5</vt:i4>
      </vt:variant>
      <vt:variant>
        <vt:lpwstr>https://open.ctsu.org/</vt:lpwstr>
      </vt:variant>
      <vt:variant>
        <vt:lpwstr/>
      </vt:variant>
      <vt:variant>
        <vt:i4>4259852</vt:i4>
      </vt:variant>
      <vt:variant>
        <vt:i4>495</vt:i4>
      </vt:variant>
      <vt:variant>
        <vt:i4>0</vt:i4>
      </vt:variant>
      <vt:variant>
        <vt:i4>5</vt:i4>
      </vt:variant>
      <vt:variant>
        <vt:lpwstr>https://www.ctsu.org/</vt:lpwstr>
      </vt:variant>
      <vt:variant>
        <vt:lpwstr/>
      </vt:variant>
      <vt:variant>
        <vt:i4>7077997</vt:i4>
      </vt:variant>
      <vt:variant>
        <vt:i4>492</vt:i4>
      </vt:variant>
      <vt:variant>
        <vt:i4>0</vt:i4>
      </vt:variant>
      <vt:variant>
        <vt:i4>5</vt:i4>
      </vt:variant>
      <vt:variant>
        <vt:lpwstr>https://open.ctsu.org/</vt:lpwstr>
      </vt:variant>
      <vt:variant>
        <vt:lpwstr/>
      </vt:variant>
      <vt:variant>
        <vt:i4>2883584</vt:i4>
      </vt:variant>
      <vt:variant>
        <vt:i4>489</vt:i4>
      </vt:variant>
      <vt:variant>
        <vt:i4>0</vt:i4>
      </vt:variant>
      <vt:variant>
        <vt:i4>5</vt:i4>
      </vt:variant>
      <vt:variant>
        <vt:lpwstr>mailto:CLASSHelpDesk@westat.com</vt:lpwstr>
      </vt:variant>
      <vt:variant>
        <vt:lpwstr/>
      </vt:variant>
      <vt:variant>
        <vt:i4>1638400</vt:i4>
      </vt:variant>
      <vt:variant>
        <vt:i4>486</vt:i4>
      </vt:variant>
      <vt:variant>
        <vt:i4>0</vt:i4>
      </vt:variant>
      <vt:variant>
        <vt:i4>5</vt:i4>
      </vt:variant>
      <vt:variant>
        <vt:lpwstr>https://classlms.org/</vt:lpwstr>
      </vt:variant>
      <vt:variant>
        <vt:lpwstr/>
      </vt:variant>
      <vt:variant>
        <vt:i4>4325380</vt:i4>
      </vt:variant>
      <vt:variant>
        <vt:i4>483</vt:i4>
      </vt:variant>
      <vt:variant>
        <vt:i4>0</vt:i4>
      </vt:variant>
      <vt:variant>
        <vt:i4>5</vt:i4>
      </vt:variant>
      <vt:variant>
        <vt:lpwstr>https://dtl.ctsu.org/</vt:lpwstr>
      </vt:variant>
      <vt:variant>
        <vt:lpwstr/>
      </vt:variant>
      <vt:variant>
        <vt:i4>1900602</vt:i4>
      </vt:variant>
      <vt:variant>
        <vt:i4>480</vt:i4>
      </vt:variant>
      <vt:variant>
        <vt:i4>0</vt:i4>
      </vt:variant>
      <vt:variant>
        <vt:i4>5</vt:i4>
      </vt:variant>
      <vt:variant>
        <vt:lpwstr>mailto:CTSURegHelp@coccg.org</vt:lpwstr>
      </vt:variant>
      <vt:variant>
        <vt:lpwstr/>
      </vt:variant>
      <vt:variant>
        <vt:i4>4259852</vt:i4>
      </vt:variant>
      <vt:variant>
        <vt:i4>477</vt:i4>
      </vt:variant>
      <vt:variant>
        <vt:i4>0</vt:i4>
      </vt:variant>
      <vt:variant>
        <vt:i4>5</vt:i4>
      </vt:variant>
      <vt:variant>
        <vt:lpwstr>https://www.ctsu.org/</vt:lpwstr>
      </vt:variant>
      <vt:variant>
        <vt:lpwstr/>
      </vt:variant>
      <vt:variant>
        <vt:i4>1900658</vt:i4>
      </vt:variant>
      <vt:variant>
        <vt:i4>474</vt:i4>
      </vt:variant>
      <vt:variant>
        <vt:i4>0</vt:i4>
      </vt:variant>
      <vt:variant>
        <vt:i4>5</vt:i4>
      </vt:variant>
      <vt:variant>
        <vt:lpwstr>mailto:CTSURegPref@ctsu.coccg.org</vt:lpwstr>
      </vt:variant>
      <vt:variant>
        <vt:lpwstr/>
      </vt:variant>
      <vt:variant>
        <vt:i4>1900658</vt:i4>
      </vt:variant>
      <vt:variant>
        <vt:i4>471</vt:i4>
      </vt:variant>
      <vt:variant>
        <vt:i4>0</vt:i4>
      </vt:variant>
      <vt:variant>
        <vt:i4>5</vt:i4>
      </vt:variant>
      <vt:variant>
        <vt:lpwstr>mailto:CTSURegPref@ctsu.coccg.org</vt:lpwstr>
      </vt:variant>
      <vt:variant>
        <vt:lpwstr/>
      </vt:variant>
      <vt:variant>
        <vt:i4>7209042</vt:i4>
      </vt:variant>
      <vt:variant>
        <vt:i4>468</vt:i4>
      </vt:variant>
      <vt:variant>
        <vt:i4>0</vt:i4>
      </vt:variant>
      <vt:variant>
        <vt:i4>5</vt:i4>
      </vt:variant>
      <vt:variant>
        <vt:lpwstr>mailto:RCRHelpDesk@nih.gov</vt:lpwstr>
      </vt:variant>
      <vt:variant>
        <vt:lpwstr/>
      </vt:variant>
      <vt:variant>
        <vt:i4>1245193</vt:i4>
      </vt:variant>
      <vt:variant>
        <vt:i4>465</vt:i4>
      </vt:variant>
      <vt:variant>
        <vt:i4>0</vt:i4>
      </vt:variant>
      <vt:variant>
        <vt:i4>5</vt:i4>
      </vt:variant>
      <vt:variant>
        <vt:lpwstr>https://ctep.cancer.gov/</vt:lpwstr>
      </vt:variant>
      <vt:variant>
        <vt:lpwstr/>
      </vt:variant>
      <vt:variant>
        <vt:i4>851981</vt:i4>
      </vt:variant>
      <vt:variant>
        <vt:i4>462</vt:i4>
      </vt:variant>
      <vt:variant>
        <vt:i4>0</vt:i4>
      </vt:variant>
      <vt:variant>
        <vt:i4>5</vt:i4>
      </vt:variant>
      <vt:variant>
        <vt:lpwstr>https://ctep.cancer.gov/investigatorResources/default.htm</vt:lpwstr>
      </vt:variant>
      <vt:variant>
        <vt:lpwstr/>
      </vt:variant>
      <vt:variant>
        <vt:i4>983120</vt:i4>
      </vt:variant>
      <vt:variant>
        <vt:i4>459</vt:i4>
      </vt:variant>
      <vt:variant>
        <vt:i4>0</vt:i4>
      </vt:variant>
      <vt:variant>
        <vt:i4>5</vt:i4>
      </vt:variant>
      <vt:variant>
        <vt:lpwstr>https://ctepcore.nci.nih.gov/rcr/</vt:lpwstr>
      </vt:variant>
      <vt:variant>
        <vt:lpwstr/>
      </vt:variant>
      <vt:variant>
        <vt:i4>7929967</vt:i4>
      </vt:variant>
      <vt:variant>
        <vt:i4>456</vt:i4>
      </vt:variant>
      <vt:variant>
        <vt:i4>0</vt:i4>
      </vt:variant>
      <vt:variant>
        <vt:i4>5</vt:i4>
      </vt:variant>
      <vt:variant>
        <vt:lpwstr>http://grants.nih.gov/grants/funding/phs398/phs398.pdf</vt:lpwstr>
      </vt:variant>
      <vt:variant>
        <vt:lpwstr/>
      </vt:variant>
      <vt:variant>
        <vt:i4>7864405</vt:i4>
      </vt:variant>
      <vt:variant>
        <vt:i4>453</vt:i4>
      </vt:variant>
      <vt:variant>
        <vt:i4>0</vt:i4>
      </vt:variant>
      <vt:variant>
        <vt:i4>5</vt:i4>
      </vt:variant>
      <vt:variant>
        <vt:lpwstr/>
      </vt:variant>
      <vt:variant>
        <vt:lpwstr>_APPENDIX_B_FORMULA</vt:lpwstr>
      </vt:variant>
      <vt:variant>
        <vt:i4>6619225</vt:i4>
      </vt:variant>
      <vt:variant>
        <vt:i4>450</vt:i4>
      </vt:variant>
      <vt:variant>
        <vt:i4>0</vt:i4>
      </vt:variant>
      <vt:variant>
        <vt:i4>5</vt:i4>
      </vt:variant>
      <vt:variant>
        <vt:lpwstr/>
      </vt:variant>
      <vt:variant>
        <vt:lpwstr>_APPENDIX_A_PERFORMANCE</vt:lpwstr>
      </vt:variant>
      <vt:variant>
        <vt:i4>2752635</vt:i4>
      </vt:variant>
      <vt:variant>
        <vt:i4>447</vt:i4>
      </vt:variant>
      <vt:variant>
        <vt:i4>0</vt:i4>
      </vt:variant>
      <vt:variant>
        <vt:i4>5</vt:i4>
      </vt:variant>
      <vt:variant>
        <vt:lpwstr>https://doi.org/10.1200%2FJCO.2013.49.6968</vt:lpwstr>
      </vt:variant>
      <vt:variant>
        <vt:lpwstr/>
      </vt:variant>
      <vt:variant>
        <vt:i4>1638448</vt:i4>
      </vt:variant>
      <vt:variant>
        <vt:i4>404</vt:i4>
      </vt:variant>
      <vt:variant>
        <vt:i4>0</vt:i4>
      </vt:variant>
      <vt:variant>
        <vt:i4>5</vt:i4>
      </vt:variant>
      <vt:variant>
        <vt:lpwstr/>
      </vt:variant>
      <vt:variant>
        <vt:lpwstr>_Toc176278035</vt:lpwstr>
      </vt:variant>
      <vt:variant>
        <vt:i4>1638448</vt:i4>
      </vt:variant>
      <vt:variant>
        <vt:i4>398</vt:i4>
      </vt:variant>
      <vt:variant>
        <vt:i4>0</vt:i4>
      </vt:variant>
      <vt:variant>
        <vt:i4>5</vt:i4>
      </vt:variant>
      <vt:variant>
        <vt:lpwstr/>
      </vt:variant>
      <vt:variant>
        <vt:lpwstr>_Toc176278034</vt:lpwstr>
      </vt:variant>
      <vt:variant>
        <vt:i4>1638448</vt:i4>
      </vt:variant>
      <vt:variant>
        <vt:i4>392</vt:i4>
      </vt:variant>
      <vt:variant>
        <vt:i4>0</vt:i4>
      </vt:variant>
      <vt:variant>
        <vt:i4>5</vt:i4>
      </vt:variant>
      <vt:variant>
        <vt:lpwstr/>
      </vt:variant>
      <vt:variant>
        <vt:lpwstr>_Toc176278033</vt:lpwstr>
      </vt:variant>
      <vt:variant>
        <vt:i4>1638448</vt:i4>
      </vt:variant>
      <vt:variant>
        <vt:i4>386</vt:i4>
      </vt:variant>
      <vt:variant>
        <vt:i4>0</vt:i4>
      </vt:variant>
      <vt:variant>
        <vt:i4>5</vt:i4>
      </vt:variant>
      <vt:variant>
        <vt:lpwstr/>
      </vt:variant>
      <vt:variant>
        <vt:lpwstr>_Toc176278032</vt:lpwstr>
      </vt:variant>
      <vt:variant>
        <vt:i4>1638448</vt:i4>
      </vt:variant>
      <vt:variant>
        <vt:i4>380</vt:i4>
      </vt:variant>
      <vt:variant>
        <vt:i4>0</vt:i4>
      </vt:variant>
      <vt:variant>
        <vt:i4>5</vt:i4>
      </vt:variant>
      <vt:variant>
        <vt:lpwstr/>
      </vt:variant>
      <vt:variant>
        <vt:lpwstr>_Toc176278031</vt:lpwstr>
      </vt:variant>
      <vt:variant>
        <vt:i4>1638448</vt:i4>
      </vt:variant>
      <vt:variant>
        <vt:i4>374</vt:i4>
      </vt:variant>
      <vt:variant>
        <vt:i4>0</vt:i4>
      </vt:variant>
      <vt:variant>
        <vt:i4>5</vt:i4>
      </vt:variant>
      <vt:variant>
        <vt:lpwstr/>
      </vt:variant>
      <vt:variant>
        <vt:lpwstr>_Toc176278030</vt:lpwstr>
      </vt:variant>
      <vt:variant>
        <vt:i4>1572912</vt:i4>
      </vt:variant>
      <vt:variant>
        <vt:i4>368</vt:i4>
      </vt:variant>
      <vt:variant>
        <vt:i4>0</vt:i4>
      </vt:variant>
      <vt:variant>
        <vt:i4>5</vt:i4>
      </vt:variant>
      <vt:variant>
        <vt:lpwstr/>
      </vt:variant>
      <vt:variant>
        <vt:lpwstr>_Toc176278029</vt:lpwstr>
      </vt:variant>
      <vt:variant>
        <vt:i4>1572912</vt:i4>
      </vt:variant>
      <vt:variant>
        <vt:i4>362</vt:i4>
      </vt:variant>
      <vt:variant>
        <vt:i4>0</vt:i4>
      </vt:variant>
      <vt:variant>
        <vt:i4>5</vt:i4>
      </vt:variant>
      <vt:variant>
        <vt:lpwstr/>
      </vt:variant>
      <vt:variant>
        <vt:lpwstr>_Toc176278028</vt:lpwstr>
      </vt:variant>
      <vt:variant>
        <vt:i4>1572912</vt:i4>
      </vt:variant>
      <vt:variant>
        <vt:i4>356</vt:i4>
      </vt:variant>
      <vt:variant>
        <vt:i4>0</vt:i4>
      </vt:variant>
      <vt:variant>
        <vt:i4>5</vt:i4>
      </vt:variant>
      <vt:variant>
        <vt:lpwstr/>
      </vt:variant>
      <vt:variant>
        <vt:lpwstr>_Toc176278027</vt:lpwstr>
      </vt:variant>
      <vt:variant>
        <vt:i4>1572912</vt:i4>
      </vt:variant>
      <vt:variant>
        <vt:i4>350</vt:i4>
      </vt:variant>
      <vt:variant>
        <vt:i4>0</vt:i4>
      </vt:variant>
      <vt:variant>
        <vt:i4>5</vt:i4>
      </vt:variant>
      <vt:variant>
        <vt:lpwstr/>
      </vt:variant>
      <vt:variant>
        <vt:lpwstr>_Toc176278026</vt:lpwstr>
      </vt:variant>
      <vt:variant>
        <vt:i4>1572912</vt:i4>
      </vt:variant>
      <vt:variant>
        <vt:i4>344</vt:i4>
      </vt:variant>
      <vt:variant>
        <vt:i4>0</vt:i4>
      </vt:variant>
      <vt:variant>
        <vt:i4>5</vt:i4>
      </vt:variant>
      <vt:variant>
        <vt:lpwstr/>
      </vt:variant>
      <vt:variant>
        <vt:lpwstr>_Toc176278025</vt:lpwstr>
      </vt:variant>
      <vt:variant>
        <vt:i4>1572912</vt:i4>
      </vt:variant>
      <vt:variant>
        <vt:i4>338</vt:i4>
      </vt:variant>
      <vt:variant>
        <vt:i4>0</vt:i4>
      </vt:variant>
      <vt:variant>
        <vt:i4>5</vt:i4>
      </vt:variant>
      <vt:variant>
        <vt:lpwstr/>
      </vt:variant>
      <vt:variant>
        <vt:lpwstr>_Toc176278024</vt:lpwstr>
      </vt:variant>
      <vt:variant>
        <vt:i4>1572912</vt:i4>
      </vt:variant>
      <vt:variant>
        <vt:i4>332</vt:i4>
      </vt:variant>
      <vt:variant>
        <vt:i4>0</vt:i4>
      </vt:variant>
      <vt:variant>
        <vt:i4>5</vt:i4>
      </vt:variant>
      <vt:variant>
        <vt:lpwstr/>
      </vt:variant>
      <vt:variant>
        <vt:lpwstr>_Toc176278023</vt:lpwstr>
      </vt:variant>
      <vt:variant>
        <vt:i4>1572912</vt:i4>
      </vt:variant>
      <vt:variant>
        <vt:i4>326</vt:i4>
      </vt:variant>
      <vt:variant>
        <vt:i4>0</vt:i4>
      </vt:variant>
      <vt:variant>
        <vt:i4>5</vt:i4>
      </vt:variant>
      <vt:variant>
        <vt:lpwstr/>
      </vt:variant>
      <vt:variant>
        <vt:lpwstr>_Toc176278022</vt:lpwstr>
      </vt:variant>
      <vt:variant>
        <vt:i4>1572912</vt:i4>
      </vt:variant>
      <vt:variant>
        <vt:i4>320</vt:i4>
      </vt:variant>
      <vt:variant>
        <vt:i4>0</vt:i4>
      </vt:variant>
      <vt:variant>
        <vt:i4>5</vt:i4>
      </vt:variant>
      <vt:variant>
        <vt:lpwstr/>
      </vt:variant>
      <vt:variant>
        <vt:lpwstr>_Toc176278021</vt:lpwstr>
      </vt:variant>
      <vt:variant>
        <vt:i4>1572912</vt:i4>
      </vt:variant>
      <vt:variant>
        <vt:i4>314</vt:i4>
      </vt:variant>
      <vt:variant>
        <vt:i4>0</vt:i4>
      </vt:variant>
      <vt:variant>
        <vt:i4>5</vt:i4>
      </vt:variant>
      <vt:variant>
        <vt:lpwstr/>
      </vt:variant>
      <vt:variant>
        <vt:lpwstr>_Toc176278020</vt:lpwstr>
      </vt:variant>
      <vt:variant>
        <vt:i4>1769520</vt:i4>
      </vt:variant>
      <vt:variant>
        <vt:i4>308</vt:i4>
      </vt:variant>
      <vt:variant>
        <vt:i4>0</vt:i4>
      </vt:variant>
      <vt:variant>
        <vt:i4>5</vt:i4>
      </vt:variant>
      <vt:variant>
        <vt:lpwstr/>
      </vt:variant>
      <vt:variant>
        <vt:lpwstr>_Toc176278019</vt:lpwstr>
      </vt:variant>
      <vt:variant>
        <vt:i4>1769520</vt:i4>
      </vt:variant>
      <vt:variant>
        <vt:i4>302</vt:i4>
      </vt:variant>
      <vt:variant>
        <vt:i4>0</vt:i4>
      </vt:variant>
      <vt:variant>
        <vt:i4>5</vt:i4>
      </vt:variant>
      <vt:variant>
        <vt:lpwstr/>
      </vt:variant>
      <vt:variant>
        <vt:lpwstr>_Toc176278018</vt:lpwstr>
      </vt:variant>
      <vt:variant>
        <vt:i4>1769520</vt:i4>
      </vt:variant>
      <vt:variant>
        <vt:i4>296</vt:i4>
      </vt:variant>
      <vt:variant>
        <vt:i4>0</vt:i4>
      </vt:variant>
      <vt:variant>
        <vt:i4>5</vt:i4>
      </vt:variant>
      <vt:variant>
        <vt:lpwstr/>
      </vt:variant>
      <vt:variant>
        <vt:lpwstr>_Toc176278017</vt:lpwstr>
      </vt:variant>
      <vt:variant>
        <vt:i4>1769520</vt:i4>
      </vt:variant>
      <vt:variant>
        <vt:i4>290</vt:i4>
      </vt:variant>
      <vt:variant>
        <vt:i4>0</vt:i4>
      </vt:variant>
      <vt:variant>
        <vt:i4>5</vt:i4>
      </vt:variant>
      <vt:variant>
        <vt:lpwstr/>
      </vt:variant>
      <vt:variant>
        <vt:lpwstr>_Toc176278016</vt:lpwstr>
      </vt:variant>
      <vt:variant>
        <vt:i4>1769520</vt:i4>
      </vt:variant>
      <vt:variant>
        <vt:i4>284</vt:i4>
      </vt:variant>
      <vt:variant>
        <vt:i4>0</vt:i4>
      </vt:variant>
      <vt:variant>
        <vt:i4>5</vt:i4>
      </vt:variant>
      <vt:variant>
        <vt:lpwstr/>
      </vt:variant>
      <vt:variant>
        <vt:lpwstr>_Toc176278015</vt:lpwstr>
      </vt:variant>
      <vt:variant>
        <vt:i4>1769520</vt:i4>
      </vt:variant>
      <vt:variant>
        <vt:i4>278</vt:i4>
      </vt:variant>
      <vt:variant>
        <vt:i4>0</vt:i4>
      </vt:variant>
      <vt:variant>
        <vt:i4>5</vt:i4>
      </vt:variant>
      <vt:variant>
        <vt:lpwstr/>
      </vt:variant>
      <vt:variant>
        <vt:lpwstr>_Toc176278014</vt:lpwstr>
      </vt:variant>
      <vt:variant>
        <vt:i4>1769520</vt:i4>
      </vt:variant>
      <vt:variant>
        <vt:i4>272</vt:i4>
      </vt:variant>
      <vt:variant>
        <vt:i4>0</vt:i4>
      </vt:variant>
      <vt:variant>
        <vt:i4>5</vt:i4>
      </vt:variant>
      <vt:variant>
        <vt:lpwstr/>
      </vt:variant>
      <vt:variant>
        <vt:lpwstr>_Toc176278013</vt:lpwstr>
      </vt:variant>
      <vt:variant>
        <vt:i4>1769520</vt:i4>
      </vt:variant>
      <vt:variant>
        <vt:i4>266</vt:i4>
      </vt:variant>
      <vt:variant>
        <vt:i4>0</vt:i4>
      </vt:variant>
      <vt:variant>
        <vt:i4>5</vt:i4>
      </vt:variant>
      <vt:variant>
        <vt:lpwstr/>
      </vt:variant>
      <vt:variant>
        <vt:lpwstr>_Toc176278012</vt:lpwstr>
      </vt:variant>
      <vt:variant>
        <vt:i4>1769520</vt:i4>
      </vt:variant>
      <vt:variant>
        <vt:i4>260</vt:i4>
      </vt:variant>
      <vt:variant>
        <vt:i4>0</vt:i4>
      </vt:variant>
      <vt:variant>
        <vt:i4>5</vt:i4>
      </vt:variant>
      <vt:variant>
        <vt:lpwstr/>
      </vt:variant>
      <vt:variant>
        <vt:lpwstr>_Toc176278011</vt:lpwstr>
      </vt:variant>
      <vt:variant>
        <vt:i4>1769520</vt:i4>
      </vt:variant>
      <vt:variant>
        <vt:i4>254</vt:i4>
      </vt:variant>
      <vt:variant>
        <vt:i4>0</vt:i4>
      </vt:variant>
      <vt:variant>
        <vt:i4>5</vt:i4>
      </vt:variant>
      <vt:variant>
        <vt:lpwstr/>
      </vt:variant>
      <vt:variant>
        <vt:lpwstr>_Toc176278010</vt:lpwstr>
      </vt:variant>
      <vt:variant>
        <vt:i4>1703984</vt:i4>
      </vt:variant>
      <vt:variant>
        <vt:i4>248</vt:i4>
      </vt:variant>
      <vt:variant>
        <vt:i4>0</vt:i4>
      </vt:variant>
      <vt:variant>
        <vt:i4>5</vt:i4>
      </vt:variant>
      <vt:variant>
        <vt:lpwstr/>
      </vt:variant>
      <vt:variant>
        <vt:lpwstr>_Toc176278009</vt:lpwstr>
      </vt:variant>
      <vt:variant>
        <vt:i4>1703984</vt:i4>
      </vt:variant>
      <vt:variant>
        <vt:i4>242</vt:i4>
      </vt:variant>
      <vt:variant>
        <vt:i4>0</vt:i4>
      </vt:variant>
      <vt:variant>
        <vt:i4>5</vt:i4>
      </vt:variant>
      <vt:variant>
        <vt:lpwstr/>
      </vt:variant>
      <vt:variant>
        <vt:lpwstr>_Toc176278008</vt:lpwstr>
      </vt:variant>
      <vt:variant>
        <vt:i4>1703984</vt:i4>
      </vt:variant>
      <vt:variant>
        <vt:i4>236</vt:i4>
      </vt:variant>
      <vt:variant>
        <vt:i4>0</vt:i4>
      </vt:variant>
      <vt:variant>
        <vt:i4>5</vt:i4>
      </vt:variant>
      <vt:variant>
        <vt:lpwstr/>
      </vt:variant>
      <vt:variant>
        <vt:lpwstr>_Toc176278007</vt:lpwstr>
      </vt:variant>
      <vt:variant>
        <vt:i4>1703984</vt:i4>
      </vt:variant>
      <vt:variant>
        <vt:i4>230</vt:i4>
      </vt:variant>
      <vt:variant>
        <vt:i4>0</vt:i4>
      </vt:variant>
      <vt:variant>
        <vt:i4>5</vt:i4>
      </vt:variant>
      <vt:variant>
        <vt:lpwstr/>
      </vt:variant>
      <vt:variant>
        <vt:lpwstr>_Toc176278006</vt:lpwstr>
      </vt:variant>
      <vt:variant>
        <vt:i4>1703984</vt:i4>
      </vt:variant>
      <vt:variant>
        <vt:i4>224</vt:i4>
      </vt:variant>
      <vt:variant>
        <vt:i4>0</vt:i4>
      </vt:variant>
      <vt:variant>
        <vt:i4>5</vt:i4>
      </vt:variant>
      <vt:variant>
        <vt:lpwstr/>
      </vt:variant>
      <vt:variant>
        <vt:lpwstr>_Toc176278005</vt:lpwstr>
      </vt:variant>
      <vt:variant>
        <vt:i4>1703984</vt:i4>
      </vt:variant>
      <vt:variant>
        <vt:i4>218</vt:i4>
      </vt:variant>
      <vt:variant>
        <vt:i4>0</vt:i4>
      </vt:variant>
      <vt:variant>
        <vt:i4>5</vt:i4>
      </vt:variant>
      <vt:variant>
        <vt:lpwstr/>
      </vt:variant>
      <vt:variant>
        <vt:lpwstr>_Toc176278004</vt:lpwstr>
      </vt:variant>
      <vt:variant>
        <vt:i4>1703984</vt:i4>
      </vt:variant>
      <vt:variant>
        <vt:i4>212</vt:i4>
      </vt:variant>
      <vt:variant>
        <vt:i4>0</vt:i4>
      </vt:variant>
      <vt:variant>
        <vt:i4>5</vt:i4>
      </vt:variant>
      <vt:variant>
        <vt:lpwstr/>
      </vt:variant>
      <vt:variant>
        <vt:lpwstr>_Toc176278003</vt:lpwstr>
      </vt:variant>
      <vt:variant>
        <vt:i4>1703984</vt:i4>
      </vt:variant>
      <vt:variant>
        <vt:i4>206</vt:i4>
      </vt:variant>
      <vt:variant>
        <vt:i4>0</vt:i4>
      </vt:variant>
      <vt:variant>
        <vt:i4>5</vt:i4>
      </vt:variant>
      <vt:variant>
        <vt:lpwstr/>
      </vt:variant>
      <vt:variant>
        <vt:lpwstr>_Toc176278002</vt:lpwstr>
      </vt:variant>
      <vt:variant>
        <vt:i4>1703984</vt:i4>
      </vt:variant>
      <vt:variant>
        <vt:i4>200</vt:i4>
      </vt:variant>
      <vt:variant>
        <vt:i4>0</vt:i4>
      </vt:variant>
      <vt:variant>
        <vt:i4>5</vt:i4>
      </vt:variant>
      <vt:variant>
        <vt:lpwstr/>
      </vt:variant>
      <vt:variant>
        <vt:lpwstr>_Toc176278001</vt:lpwstr>
      </vt:variant>
      <vt:variant>
        <vt:i4>1703984</vt:i4>
      </vt:variant>
      <vt:variant>
        <vt:i4>194</vt:i4>
      </vt:variant>
      <vt:variant>
        <vt:i4>0</vt:i4>
      </vt:variant>
      <vt:variant>
        <vt:i4>5</vt:i4>
      </vt:variant>
      <vt:variant>
        <vt:lpwstr/>
      </vt:variant>
      <vt:variant>
        <vt:lpwstr>_Toc176278000</vt:lpwstr>
      </vt:variant>
      <vt:variant>
        <vt:i4>1835065</vt:i4>
      </vt:variant>
      <vt:variant>
        <vt:i4>188</vt:i4>
      </vt:variant>
      <vt:variant>
        <vt:i4>0</vt:i4>
      </vt:variant>
      <vt:variant>
        <vt:i4>5</vt:i4>
      </vt:variant>
      <vt:variant>
        <vt:lpwstr/>
      </vt:variant>
      <vt:variant>
        <vt:lpwstr>_Toc176277999</vt:lpwstr>
      </vt:variant>
      <vt:variant>
        <vt:i4>1835065</vt:i4>
      </vt:variant>
      <vt:variant>
        <vt:i4>182</vt:i4>
      </vt:variant>
      <vt:variant>
        <vt:i4>0</vt:i4>
      </vt:variant>
      <vt:variant>
        <vt:i4>5</vt:i4>
      </vt:variant>
      <vt:variant>
        <vt:lpwstr/>
      </vt:variant>
      <vt:variant>
        <vt:lpwstr>_Toc176277998</vt:lpwstr>
      </vt:variant>
      <vt:variant>
        <vt:i4>1835065</vt:i4>
      </vt:variant>
      <vt:variant>
        <vt:i4>176</vt:i4>
      </vt:variant>
      <vt:variant>
        <vt:i4>0</vt:i4>
      </vt:variant>
      <vt:variant>
        <vt:i4>5</vt:i4>
      </vt:variant>
      <vt:variant>
        <vt:lpwstr/>
      </vt:variant>
      <vt:variant>
        <vt:lpwstr>_Toc176277997</vt:lpwstr>
      </vt:variant>
      <vt:variant>
        <vt:i4>1835065</vt:i4>
      </vt:variant>
      <vt:variant>
        <vt:i4>170</vt:i4>
      </vt:variant>
      <vt:variant>
        <vt:i4>0</vt:i4>
      </vt:variant>
      <vt:variant>
        <vt:i4>5</vt:i4>
      </vt:variant>
      <vt:variant>
        <vt:lpwstr/>
      </vt:variant>
      <vt:variant>
        <vt:lpwstr>_Toc176277996</vt:lpwstr>
      </vt:variant>
      <vt:variant>
        <vt:i4>1835065</vt:i4>
      </vt:variant>
      <vt:variant>
        <vt:i4>164</vt:i4>
      </vt:variant>
      <vt:variant>
        <vt:i4>0</vt:i4>
      </vt:variant>
      <vt:variant>
        <vt:i4>5</vt:i4>
      </vt:variant>
      <vt:variant>
        <vt:lpwstr/>
      </vt:variant>
      <vt:variant>
        <vt:lpwstr>_Toc176277995</vt:lpwstr>
      </vt:variant>
      <vt:variant>
        <vt:i4>1835065</vt:i4>
      </vt:variant>
      <vt:variant>
        <vt:i4>158</vt:i4>
      </vt:variant>
      <vt:variant>
        <vt:i4>0</vt:i4>
      </vt:variant>
      <vt:variant>
        <vt:i4>5</vt:i4>
      </vt:variant>
      <vt:variant>
        <vt:lpwstr/>
      </vt:variant>
      <vt:variant>
        <vt:lpwstr>_Toc176277994</vt:lpwstr>
      </vt:variant>
      <vt:variant>
        <vt:i4>1835065</vt:i4>
      </vt:variant>
      <vt:variant>
        <vt:i4>152</vt:i4>
      </vt:variant>
      <vt:variant>
        <vt:i4>0</vt:i4>
      </vt:variant>
      <vt:variant>
        <vt:i4>5</vt:i4>
      </vt:variant>
      <vt:variant>
        <vt:lpwstr/>
      </vt:variant>
      <vt:variant>
        <vt:lpwstr>_Toc176277993</vt:lpwstr>
      </vt:variant>
      <vt:variant>
        <vt:i4>1835065</vt:i4>
      </vt:variant>
      <vt:variant>
        <vt:i4>146</vt:i4>
      </vt:variant>
      <vt:variant>
        <vt:i4>0</vt:i4>
      </vt:variant>
      <vt:variant>
        <vt:i4>5</vt:i4>
      </vt:variant>
      <vt:variant>
        <vt:lpwstr/>
      </vt:variant>
      <vt:variant>
        <vt:lpwstr>_Toc176277992</vt:lpwstr>
      </vt:variant>
      <vt:variant>
        <vt:i4>1835065</vt:i4>
      </vt:variant>
      <vt:variant>
        <vt:i4>140</vt:i4>
      </vt:variant>
      <vt:variant>
        <vt:i4>0</vt:i4>
      </vt:variant>
      <vt:variant>
        <vt:i4>5</vt:i4>
      </vt:variant>
      <vt:variant>
        <vt:lpwstr/>
      </vt:variant>
      <vt:variant>
        <vt:lpwstr>_Toc176277991</vt:lpwstr>
      </vt:variant>
      <vt:variant>
        <vt:i4>1835065</vt:i4>
      </vt:variant>
      <vt:variant>
        <vt:i4>134</vt:i4>
      </vt:variant>
      <vt:variant>
        <vt:i4>0</vt:i4>
      </vt:variant>
      <vt:variant>
        <vt:i4>5</vt:i4>
      </vt:variant>
      <vt:variant>
        <vt:lpwstr/>
      </vt:variant>
      <vt:variant>
        <vt:lpwstr>_Toc176277990</vt:lpwstr>
      </vt:variant>
      <vt:variant>
        <vt:i4>1900601</vt:i4>
      </vt:variant>
      <vt:variant>
        <vt:i4>128</vt:i4>
      </vt:variant>
      <vt:variant>
        <vt:i4>0</vt:i4>
      </vt:variant>
      <vt:variant>
        <vt:i4>5</vt:i4>
      </vt:variant>
      <vt:variant>
        <vt:lpwstr/>
      </vt:variant>
      <vt:variant>
        <vt:lpwstr>_Toc176277989</vt:lpwstr>
      </vt:variant>
      <vt:variant>
        <vt:i4>1900601</vt:i4>
      </vt:variant>
      <vt:variant>
        <vt:i4>122</vt:i4>
      </vt:variant>
      <vt:variant>
        <vt:i4>0</vt:i4>
      </vt:variant>
      <vt:variant>
        <vt:i4>5</vt:i4>
      </vt:variant>
      <vt:variant>
        <vt:lpwstr/>
      </vt:variant>
      <vt:variant>
        <vt:lpwstr>_Toc176277988</vt:lpwstr>
      </vt:variant>
      <vt:variant>
        <vt:i4>1900601</vt:i4>
      </vt:variant>
      <vt:variant>
        <vt:i4>116</vt:i4>
      </vt:variant>
      <vt:variant>
        <vt:i4>0</vt:i4>
      </vt:variant>
      <vt:variant>
        <vt:i4>5</vt:i4>
      </vt:variant>
      <vt:variant>
        <vt:lpwstr/>
      </vt:variant>
      <vt:variant>
        <vt:lpwstr>_Toc176277987</vt:lpwstr>
      </vt:variant>
      <vt:variant>
        <vt:i4>1900601</vt:i4>
      </vt:variant>
      <vt:variant>
        <vt:i4>110</vt:i4>
      </vt:variant>
      <vt:variant>
        <vt:i4>0</vt:i4>
      </vt:variant>
      <vt:variant>
        <vt:i4>5</vt:i4>
      </vt:variant>
      <vt:variant>
        <vt:lpwstr/>
      </vt:variant>
      <vt:variant>
        <vt:lpwstr>_Toc176277986</vt:lpwstr>
      </vt:variant>
      <vt:variant>
        <vt:i4>1900601</vt:i4>
      </vt:variant>
      <vt:variant>
        <vt:i4>104</vt:i4>
      </vt:variant>
      <vt:variant>
        <vt:i4>0</vt:i4>
      </vt:variant>
      <vt:variant>
        <vt:i4>5</vt:i4>
      </vt:variant>
      <vt:variant>
        <vt:lpwstr/>
      </vt:variant>
      <vt:variant>
        <vt:lpwstr>_Toc176277985</vt:lpwstr>
      </vt:variant>
      <vt:variant>
        <vt:i4>1900601</vt:i4>
      </vt:variant>
      <vt:variant>
        <vt:i4>98</vt:i4>
      </vt:variant>
      <vt:variant>
        <vt:i4>0</vt:i4>
      </vt:variant>
      <vt:variant>
        <vt:i4>5</vt:i4>
      </vt:variant>
      <vt:variant>
        <vt:lpwstr/>
      </vt:variant>
      <vt:variant>
        <vt:lpwstr>_Toc176277984</vt:lpwstr>
      </vt:variant>
      <vt:variant>
        <vt:i4>1900601</vt:i4>
      </vt:variant>
      <vt:variant>
        <vt:i4>92</vt:i4>
      </vt:variant>
      <vt:variant>
        <vt:i4>0</vt:i4>
      </vt:variant>
      <vt:variant>
        <vt:i4>5</vt:i4>
      </vt:variant>
      <vt:variant>
        <vt:lpwstr/>
      </vt:variant>
      <vt:variant>
        <vt:lpwstr>_Toc176277983</vt:lpwstr>
      </vt:variant>
      <vt:variant>
        <vt:i4>1900601</vt:i4>
      </vt:variant>
      <vt:variant>
        <vt:i4>86</vt:i4>
      </vt:variant>
      <vt:variant>
        <vt:i4>0</vt:i4>
      </vt:variant>
      <vt:variant>
        <vt:i4>5</vt:i4>
      </vt:variant>
      <vt:variant>
        <vt:lpwstr/>
      </vt:variant>
      <vt:variant>
        <vt:lpwstr>_Toc176277982</vt:lpwstr>
      </vt:variant>
      <vt:variant>
        <vt:i4>1900601</vt:i4>
      </vt:variant>
      <vt:variant>
        <vt:i4>80</vt:i4>
      </vt:variant>
      <vt:variant>
        <vt:i4>0</vt:i4>
      </vt:variant>
      <vt:variant>
        <vt:i4>5</vt:i4>
      </vt:variant>
      <vt:variant>
        <vt:lpwstr/>
      </vt:variant>
      <vt:variant>
        <vt:lpwstr>_Toc176277981</vt:lpwstr>
      </vt:variant>
      <vt:variant>
        <vt:i4>1900601</vt:i4>
      </vt:variant>
      <vt:variant>
        <vt:i4>74</vt:i4>
      </vt:variant>
      <vt:variant>
        <vt:i4>0</vt:i4>
      </vt:variant>
      <vt:variant>
        <vt:i4>5</vt:i4>
      </vt:variant>
      <vt:variant>
        <vt:lpwstr/>
      </vt:variant>
      <vt:variant>
        <vt:lpwstr>_Toc176277980</vt:lpwstr>
      </vt:variant>
      <vt:variant>
        <vt:i4>1179705</vt:i4>
      </vt:variant>
      <vt:variant>
        <vt:i4>68</vt:i4>
      </vt:variant>
      <vt:variant>
        <vt:i4>0</vt:i4>
      </vt:variant>
      <vt:variant>
        <vt:i4>5</vt:i4>
      </vt:variant>
      <vt:variant>
        <vt:lpwstr/>
      </vt:variant>
      <vt:variant>
        <vt:lpwstr>_Toc176277979</vt:lpwstr>
      </vt:variant>
      <vt:variant>
        <vt:i4>1179705</vt:i4>
      </vt:variant>
      <vt:variant>
        <vt:i4>62</vt:i4>
      </vt:variant>
      <vt:variant>
        <vt:i4>0</vt:i4>
      </vt:variant>
      <vt:variant>
        <vt:i4>5</vt:i4>
      </vt:variant>
      <vt:variant>
        <vt:lpwstr/>
      </vt:variant>
      <vt:variant>
        <vt:lpwstr>_Toc176277978</vt:lpwstr>
      </vt:variant>
      <vt:variant>
        <vt:i4>1179705</vt:i4>
      </vt:variant>
      <vt:variant>
        <vt:i4>56</vt:i4>
      </vt:variant>
      <vt:variant>
        <vt:i4>0</vt:i4>
      </vt:variant>
      <vt:variant>
        <vt:i4>5</vt:i4>
      </vt:variant>
      <vt:variant>
        <vt:lpwstr/>
      </vt:variant>
      <vt:variant>
        <vt:lpwstr>_Toc176277977</vt:lpwstr>
      </vt:variant>
      <vt:variant>
        <vt:i4>1179705</vt:i4>
      </vt:variant>
      <vt:variant>
        <vt:i4>50</vt:i4>
      </vt:variant>
      <vt:variant>
        <vt:i4>0</vt:i4>
      </vt:variant>
      <vt:variant>
        <vt:i4>5</vt:i4>
      </vt:variant>
      <vt:variant>
        <vt:lpwstr/>
      </vt:variant>
      <vt:variant>
        <vt:lpwstr>_Toc176277976</vt:lpwstr>
      </vt:variant>
      <vt:variant>
        <vt:i4>1179705</vt:i4>
      </vt:variant>
      <vt:variant>
        <vt:i4>44</vt:i4>
      </vt:variant>
      <vt:variant>
        <vt:i4>0</vt:i4>
      </vt:variant>
      <vt:variant>
        <vt:i4>5</vt:i4>
      </vt:variant>
      <vt:variant>
        <vt:lpwstr/>
      </vt:variant>
      <vt:variant>
        <vt:lpwstr>_Toc176277975</vt:lpwstr>
      </vt:variant>
      <vt:variant>
        <vt:i4>1179705</vt:i4>
      </vt:variant>
      <vt:variant>
        <vt:i4>38</vt:i4>
      </vt:variant>
      <vt:variant>
        <vt:i4>0</vt:i4>
      </vt:variant>
      <vt:variant>
        <vt:i4>5</vt:i4>
      </vt:variant>
      <vt:variant>
        <vt:lpwstr/>
      </vt:variant>
      <vt:variant>
        <vt:lpwstr>_Toc176277974</vt:lpwstr>
      </vt:variant>
      <vt:variant>
        <vt:i4>1179705</vt:i4>
      </vt:variant>
      <vt:variant>
        <vt:i4>32</vt:i4>
      </vt:variant>
      <vt:variant>
        <vt:i4>0</vt:i4>
      </vt:variant>
      <vt:variant>
        <vt:i4>5</vt:i4>
      </vt:variant>
      <vt:variant>
        <vt:lpwstr/>
      </vt:variant>
      <vt:variant>
        <vt:lpwstr>_Toc176277973</vt:lpwstr>
      </vt:variant>
      <vt:variant>
        <vt:i4>1179705</vt:i4>
      </vt:variant>
      <vt:variant>
        <vt:i4>26</vt:i4>
      </vt:variant>
      <vt:variant>
        <vt:i4>0</vt:i4>
      </vt:variant>
      <vt:variant>
        <vt:i4>5</vt:i4>
      </vt:variant>
      <vt:variant>
        <vt:lpwstr/>
      </vt:variant>
      <vt:variant>
        <vt:lpwstr>_Toc176277972</vt:lpwstr>
      </vt:variant>
      <vt:variant>
        <vt:i4>1179705</vt:i4>
      </vt:variant>
      <vt:variant>
        <vt:i4>20</vt:i4>
      </vt:variant>
      <vt:variant>
        <vt:i4>0</vt:i4>
      </vt:variant>
      <vt:variant>
        <vt:i4>5</vt:i4>
      </vt:variant>
      <vt:variant>
        <vt:lpwstr/>
      </vt:variant>
      <vt:variant>
        <vt:lpwstr>_Toc176277971</vt:lpwstr>
      </vt:variant>
      <vt:variant>
        <vt:i4>1179705</vt:i4>
      </vt:variant>
      <vt:variant>
        <vt:i4>14</vt:i4>
      </vt:variant>
      <vt:variant>
        <vt:i4>0</vt:i4>
      </vt:variant>
      <vt:variant>
        <vt:i4>5</vt:i4>
      </vt:variant>
      <vt:variant>
        <vt:lpwstr/>
      </vt:variant>
      <vt:variant>
        <vt:lpwstr>_Toc176277970</vt:lpwstr>
      </vt:variant>
      <vt:variant>
        <vt:i4>6357082</vt:i4>
      </vt:variant>
      <vt:variant>
        <vt:i4>9</vt:i4>
      </vt:variant>
      <vt:variant>
        <vt:i4>0</vt:i4>
      </vt:variant>
      <vt:variant>
        <vt:i4>5</vt:i4>
      </vt:variant>
      <vt:variant>
        <vt:lpwstr>mailto:ccc@coh.org</vt:lpwstr>
      </vt:variant>
      <vt:variant>
        <vt:lpwstr/>
      </vt:variant>
      <vt:variant>
        <vt:i4>131133</vt:i4>
      </vt:variant>
      <vt:variant>
        <vt:i4>6</vt:i4>
      </vt:variant>
      <vt:variant>
        <vt:i4>0</vt:i4>
      </vt:variant>
      <vt:variant>
        <vt:i4>5</vt:i4>
      </vt:variant>
      <vt:variant>
        <vt:lpwstr>mailto:jmpalmer@coh.org</vt:lpwstr>
      </vt:variant>
      <vt:variant>
        <vt:lpwstr/>
      </vt:variant>
      <vt:variant>
        <vt:i4>7340099</vt:i4>
      </vt:variant>
      <vt:variant>
        <vt:i4>3</vt:i4>
      </vt:variant>
      <vt:variant>
        <vt:i4>0</vt:i4>
      </vt:variant>
      <vt:variant>
        <vt:i4>5</vt:i4>
      </vt:variant>
      <vt:variant>
        <vt:lpwstr>mailto:terwilliams@coh.org</vt:lpwstr>
      </vt:variant>
      <vt:variant>
        <vt:lpwstr/>
      </vt:variant>
      <vt:variant>
        <vt:i4>7602267</vt:i4>
      </vt:variant>
      <vt:variant>
        <vt:i4>0</vt:i4>
      </vt:variant>
      <vt:variant>
        <vt:i4>0</vt:i4>
      </vt:variant>
      <vt:variant>
        <vt:i4>5</vt:i4>
      </vt:variant>
      <vt:variant>
        <vt:lpwstr>mailto:styoon@coh.org</vt:lpwstr>
      </vt:variant>
      <vt:variant>
        <vt:lpwstr/>
      </vt:variant>
      <vt:variant>
        <vt:i4>7471226</vt:i4>
      </vt:variant>
      <vt:variant>
        <vt:i4>6</vt:i4>
      </vt:variant>
      <vt:variant>
        <vt:i4>0</vt:i4>
      </vt:variant>
      <vt:variant>
        <vt:i4>5</vt:i4>
      </vt:variant>
      <vt:variant>
        <vt:lpwstr>https://ascopubs.org/doi/full/10.1200/JCO.23.01059</vt:lpwstr>
      </vt:variant>
      <vt:variant>
        <vt:lpwstr/>
      </vt:variant>
      <vt:variant>
        <vt:i4>2687065</vt:i4>
      </vt:variant>
      <vt:variant>
        <vt:i4>3</vt:i4>
      </vt:variant>
      <vt:variant>
        <vt:i4>0</vt:i4>
      </vt:variant>
      <vt:variant>
        <vt:i4>5</vt:i4>
      </vt:variant>
      <vt:variant>
        <vt:lpwstr>mailto:jgorelangton@tech-res.com</vt:lpwstr>
      </vt:variant>
      <vt:variant>
        <vt:lpwstr/>
      </vt:variant>
      <vt:variant>
        <vt:i4>917569</vt:i4>
      </vt:variant>
      <vt:variant>
        <vt:i4>0</vt:i4>
      </vt:variant>
      <vt:variant>
        <vt:i4>0</vt:i4>
      </vt:variant>
      <vt:variant>
        <vt:i4>5</vt:i4>
      </vt:variant>
      <vt:variant>
        <vt:lpwstr>https://www.cityofhope.org/joycelynne-palmer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CPWS</dc:creator>
  <cp:keywords/>
  <cp:lastModifiedBy>Gore-Langton, Jonathan</cp:lastModifiedBy>
  <cp:revision>22</cp:revision>
  <cp:lastPrinted>2020-03-21T15:18:00Z</cp:lastPrinted>
  <dcterms:created xsi:type="dcterms:W3CDTF">2024-09-19T19:21:00Z</dcterms:created>
  <dcterms:modified xsi:type="dcterms:W3CDTF">2024-09-20T14:28:00Z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0x010100B81F3FF0119BD64C8989F2727A0B8CB9</vt:lpwstr>
  </property>
  <property fmtid="{D5CDD505-2E9C-101B-9397-08002B2CF9AE}" pid="3" name="MediaServiceImageTags">
    <vt:lpwstr/>
  </property>
</Properties>
</file>